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887" w:rsidRDefault="00BA0C1C">
      <w:pPr>
        <w:spacing w:after="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6903720" cy="914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pag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887" w:rsidRDefault="00BA0C1C">
      <w:r>
        <w:br w:type="page"/>
      </w:r>
    </w:p>
    <w:p w:rsidR="00E91887" w:rsidRDefault="00BA0C1C">
      <w:pPr>
        <w:spacing w:after="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903720" cy="914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887" w:rsidRDefault="00BA0C1C">
      <w:r>
        <w:br w:type="page"/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lastRenderedPageBreak/>
        <w:t>1: Type-1 vs Type-2 Hypervisors</w:t>
      </w:r>
    </w:p>
    <w:p w:rsidR="00E91887" w:rsidRDefault="00BA0C1C">
      <w:pPr>
        <w:spacing w:after="80" w:line="252" w:lineRule="auto"/>
      </w:pPr>
      <w:r>
        <w:rPr>
          <w:sz w:val="21"/>
        </w:rPr>
        <w:t xml:space="preserve">A hypervisor creates and manages virtual machines (VMs). Type-1 </w:t>
      </w:r>
      <w:r>
        <w:rPr>
          <w:sz w:val="21"/>
        </w:rPr>
        <w:t>runs directly on physical hardware, while Type-2 runs on top of a host operating system.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Performance: Type-1 has less overhead and generally provides better performance for mission-critical workloads. Type-2 adds the host OS layer and may have more overhea</w:t>
      </w:r>
      <w:r>
        <w:rPr>
          <w:sz w:val="21"/>
        </w:rPr>
        <w:t>d.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Security: Type-1 has a smaller software stack and fewer layers to attack. Type-2 depends on the security of both the host OS and hypervisor.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Manageability: Type-1 platforms are designed for centralized datacenter management, monitoring, and high availab</w:t>
      </w:r>
      <w:r>
        <w:rPr>
          <w:sz w:val="21"/>
        </w:rPr>
        <w:t>ility. Type-2 is convenient for desktop testing and development.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Justification: Choose a Type-1 hypervisor for a cloud datacenter because it offers stronger performance, isolation, and operational control.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2: Workload Isolation and Attack Surfaces</w:t>
      </w:r>
    </w:p>
    <w:p w:rsidR="00E91887" w:rsidRDefault="00BA0C1C">
      <w:pPr>
        <w:spacing w:after="80" w:line="252" w:lineRule="auto"/>
      </w:pPr>
      <w:r>
        <w:rPr>
          <w:sz w:val="21"/>
        </w:rPr>
        <w:t>Virtualization allows finance, healthcare, and student-portal workloads to run in separate VMs on the same physical server.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Isolation: The hypervisor separates VM memory, CPU scheduling, virtual devices, and storage. Virtual networks, access controls, enc</w:t>
      </w:r>
      <w:r>
        <w:rPr>
          <w:sz w:val="21"/>
        </w:rPr>
        <w:t>ryption, and separate security policies add protection.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Attack surface 1 – Hypervisor: A vulnerability may allow a malicious VM to escape isolation and affect the host or other VMs.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Attack surface 2 – Virtual network/management plane: Misconfigured virtual</w:t>
      </w:r>
      <w:r>
        <w:rPr>
          <w:sz w:val="21"/>
        </w:rPr>
        <w:t xml:space="preserve"> switches, exposed management interfaces, or stolen administrator credentials may enable unauthorized access.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Controls: Patch the hypervisor, restrict management access, use MFA and least privilege, segment networks, monitor logs, and encrypt sensitive dat</w:t>
      </w:r>
      <w:r>
        <w:rPr>
          <w:sz w:val="21"/>
        </w:rPr>
        <w:t>a.</w:t>
      </w:r>
    </w:p>
    <w:p w:rsidR="00E91887" w:rsidRDefault="00BA0C1C" w:rsidP="00D2286D">
      <w:r w:rsidRPr="00D2286D">
        <w:rPr>
          <w:b/>
          <w:color w:val="1F4E79"/>
          <w:sz w:val="24"/>
          <w:szCs w:val="24"/>
        </w:rPr>
        <w:t>3:</w:t>
      </w:r>
      <w:r>
        <w:rPr>
          <w:b/>
          <w:color w:val="1F4E79"/>
          <w:sz w:val="42"/>
        </w:rPr>
        <w:t xml:space="preserve"> </w:t>
      </w:r>
      <w:r w:rsidRPr="00D2286D">
        <w:rPr>
          <w:b/>
          <w:color w:val="1F4E79"/>
          <w:sz w:val="24"/>
          <w:szCs w:val="24"/>
        </w:rPr>
        <w:t>VM HOST UTILIZATION</w:t>
      </w:r>
    </w:p>
    <w:p w:rsidR="00E91887" w:rsidRDefault="00BA0C1C">
      <w:pPr>
        <w:jc w:val="center"/>
      </w:pPr>
      <w:r>
        <w:rPr>
          <w:b/>
        </w:rPr>
        <w:t>Utilization Snapshot Analysis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Given values</w:t>
      </w:r>
    </w:p>
    <w:p w:rsidR="00E91887" w:rsidRDefault="00BA0C1C">
      <w:pPr>
        <w:spacing w:after="80" w:line="252" w:lineRule="auto"/>
      </w:pPr>
      <w:r>
        <w:rPr>
          <w:sz w:val="21"/>
        </w:rPr>
        <w:t>CPU: 92% | Memory: 88% | Storage I/O latency: 35 ms | Average VM boot time: 170 s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Likely bottlenecks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 xml:space="preserve">CPU at 92%: Very high utilization may cause CPU contention and longer VM </w:t>
      </w:r>
      <w:r>
        <w:rPr>
          <w:sz w:val="21"/>
        </w:rPr>
        <w:t>response times.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Memory at 88%: Limited free memory may cause memory pressure, swapping, or ballooning, which can reduce performance.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Storage latency at 35 ms: This is relatively high for many interactive workloads and may delay reads/writes, VM startup, an</w:t>
      </w:r>
      <w:r>
        <w:rPr>
          <w:sz w:val="21"/>
        </w:rPr>
        <w:t>d application operations.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Boot time at 170 seconds: Slow startup may result from storage delays, CPU/memory contention, or too many VMs starting simultaneously.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Corrective actions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Measure per-VM CPU use; right-size VMs, move workloads to less busy hosts, o</w:t>
      </w:r>
      <w:r>
        <w:rPr>
          <w:sz w:val="21"/>
        </w:rPr>
        <w:t>r add CPU capacity.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Review memory reservations and overcommitment; reclaim unused allocations or add RAM.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Check disk queue depth, IOPS, storage-array health, and noisy-neighbour workloads; move critical VMs to faster storage if needed.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 xml:space="preserve">Stagger VM startup, </w:t>
      </w:r>
      <w:r>
        <w:rPr>
          <w:sz w:val="21"/>
        </w:rPr>
        <w:t>use templates, and monitor performance before and after changes.</w:t>
      </w:r>
    </w:p>
    <w:p w:rsidR="00E91887" w:rsidRDefault="00BA0C1C">
      <w:pPr>
        <w:spacing w:after="80" w:line="252" w:lineRule="auto"/>
      </w:pPr>
      <w:r>
        <w:rPr>
          <w:sz w:val="21"/>
        </w:rPr>
        <w:t>Conclusion: CPU and memory are highly utilized, while storage latency is a likely contributor to slow VM boot. Confirm the causes with host and storage monitoring before changing capacity.</w:t>
      </w:r>
    </w:p>
    <w:p w:rsidR="00E91887" w:rsidRPr="00D2286D" w:rsidRDefault="00BA0C1C" w:rsidP="00D2286D">
      <w:pPr>
        <w:rPr>
          <w:sz w:val="24"/>
          <w:szCs w:val="24"/>
        </w:rPr>
      </w:pPr>
      <w:r w:rsidRPr="00D2286D">
        <w:rPr>
          <w:b/>
          <w:color w:val="1F4E79"/>
          <w:sz w:val="24"/>
          <w:szCs w:val="24"/>
        </w:rPr>
        <w:t xml:space="preserve"> 4: SOFTWARE-DEFINED DATACENTER</w:t>
      </w:r>
    </w:p>
    <w:p w:rsidR="00E91887" w:rsidRDefault="00BA0C1C">
      <w:pPr>
        <w:spacing w:after="80" w:line="252" w:lineRule="auto"/>
      </w:pPr>
      <w:r>
        <w:rPr>
          <w:sz w:val="21"/>
        </w:rPr>
        <w:t>A Software-Defined Datacenter (SDDC) uses software to pool and manage compute, storage, and networking resources. It improves agility compared with a traditional datacenter, where many changes require manual configurat</w:t>
      </w:r>
      <w:r>
        <w:rPr>
          <w:sz w:val="21"/>
        </w:rPr>
        <w:t>ion of separate hardware.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Compute virtualization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VMs can be created, resized, migrated, and recovered through software-based management.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lastRenderedPageBreak/>
        <w:t>Automation and templates speed up provisioning and improve resource utilization.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Storage virtualization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 xml:space="preserve">Storage from </w:t>
      </w:r>
      <w:r>
        <w:rPr>
          <w:sz w:val="21"/>
        </w:rPr>
        <w:t>multiple devices can be pooled and presented as logical storage.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Policies can automate capacity allocation, replication, and performance tiers.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Network virtualization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Virtual switches, overlays, and software-defined policies enable rapid network creation a</w:t>
      </w:r>
      <w:r>
        <w:rPr>
          <w:sz w:val="21"/>
        </w:rPr>
        <w:t>nd segmentation.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Workloads can be isolated consistently without repeatedly changing physical network hardware.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Overall benefits</w:t>
      </w:r>
    </w:p>
    <w:p w:rsidR="00E91887" w:rsidRDefault="00BA0C1C">
      <w:pPr>
        <w:spacing w:after="80" w:line="252" w:lineRule="auto"/>
      </w:pPr>
      <w:r>
        <w:rPr>
          <w:sz w:val="21"/>
        </w:rPr>
        <w:t>Centralized orchestration, policy-based automation, faster deployment, scalability, consistent security controls, and easier dis</w:t>
      </w:r>
      <w:r>
        <w:rPr>
          <w:sz w:val="21"/>
        </w:rPr>
        <w:t>aster recovery improve agility. However, SDDC needs skilled administration, strong management-plane security, and monitoring to avoid configuration-wide failures.</w:t>
      </w:r>
      <w:bookmarkStart w:id="0" w:name="_GoBack"/>
      <w:bookmarkEnd w:id="0"/>
    </w:p>
    <w:p w:rsidR="00E91887" w:rsidRPr="00D2286D" w:rsidRDefault="00BA0C1C" w:rsidP="00D2286D">
      <w:pPr>
        <w:rPr>
          <w:sz w:val="24"/>
          <w:szCs w:val="24"/>
        </w:rPr>
      </w:pPr>
      <w:r w:rsidRPr="00D2286D">
        <w:rPr>
          <w:b/>
          <w:color w:val="1F4E79"/>
          <w:sz w:val="24"/>
          <w:szCs w:val="24"/>
        </w:rPr>
        <w:t>5: MULTI-CLOUD IDENTITY FEDERATION</w:t>
      </w:r>
    </w:p>
    <w:p w:rsidR="00E91887" w:rsidRDefault="00BA0C1C">
      <w:pPr>
        <w:spacing w:after="80" w:line="252" w:lineRule="auto"/>
      </w:pPr>
      <w:r>
        <w:rPr>
          <w:sz w:val="21"/>
        </w:rPr>
        <w:t xml:space="preserve">Identity mismatches occur when cloud providers </w:t>
      </w:r>
      <w:r>
        <w:rPr>
          <w:sz w:val="21"/>
        </w:rPr>
        <w:t>use different identity formats, user identifiers, roles, authentication methods, or trust policies. As a result, users may be denied access or receive excessive privileges.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Secure identity design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Use a trusted identity provider (IdP) and federation standar</w:t>
      </w:r>
      <w:r>
        <w:rPr>
          <w:sz w:val="21"/>
        </w:rPr>
        <w:t>ds such as SAML 2.0 or OpenID Connect (OIDC), where supported by the providers.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Map identities and attributes consistently across clouds; use stable unique identifiers and a documented role/claim mapping.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Apply least privilege and role-based access control</w:t>
      </w:r>
      <w:r>
        <w:rPr>
          <w:sz w:val="21"/>
        </w:rPr>
        <w:t>. Grant only the permissions required for each workload and review mappings regularly.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Use multi-factor authentication, short-lived tokens, secure signing keys, TLS, and regular key rotation.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Validate issuer, audience, signature, expiry, and requested perm</w:t>
      </w:r>
      <w:r>
        <w:rPr>
          <w:sz w:val="21"/>
        </w:rPr>
        <w:t>issions before accepting a federated assertion or token.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Privacy and monitoring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Share only the minimum identity attributes needed; avoid sending unnecessary personal or health/financial information between providers.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Encrypt data in transit and at rest, de</w:t>
      </w:r>
      <w:r>
        <w:rPr>
          <w:sz w:val="21"/>
        </w:rPr>
        <w:t>fine retention rules, and log federation events without exposing secrets or excess personal data.</w:t>
      </w:r>
    </w:p>
    <w:p w:rsidR="00E91887" w:rsidRDefault="00BA0C1C">
      <w:pPr>
        <w:pStyle w:val="ListBullet"/>
        <w:spacing w:after="40" w:line="240" w:lineRule="auto"/>
      </w:pPr>
      <w:r>
        <w:rPr>
          <w:sz w:val="21"/>
        </w:rPr>
        <w:t>Revoke sessions and credentials promptly when accounts are disabled; audit cross-cloud access and alert on unusual activity.</w:t>
      </w:r>
    </w:p>
    <w:p w:rsidR="00E91887" w:rsidRDefault="00BA0C1C">
      <w:pPr>
        <w:spacing w:before="100" w:after="40"/>
      </w:pPr>
      <w:r>
        <w:rPr>
          <w:b/>
          <w:color w:val="1F4E79"/>
          <w:sz w:val="26"/>
        </w:rPr>
        <w:t>Conclusion</w:t>
      </w:r>
    </w:p>
    <w:p w:rsidR="00E91887" w:rsidRDefault="00BA0C1C">
      <w:pPr>
        <w:spacing w:after="80" w:line="252" w:lineRule="auto"/>
      </w:pPr>
      <w:r>
        <w:rPr>
          <w:sz w:val="21"/>
        </w:rPr>
        <w:t>A common federation tr</w:t>
      </w:r>
      <w:r>
        <w:rPr>
          <w:sz w:val="21"/>
        </w:rPr>
        <w:t>ust model with consistent identity mapping, strong authentication, least privilege, minimal attribute sharing, and continuous auditing can resolve mismatches while protecting privacy.</w:t>
      </w:r>
    </w:p>
    <w:sectPr w:rsidR="00E91887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C1C" w:rsidRDefault="00BA0C1C">
      <w:pPr>
        <w:spacing w:after="0" w:line="240" w:lineRule="auto"/>
      </w:pPr>
      <w:r>
        <w:separator/>
      </w:r>
    </w:p>
  </w:endnote>
  <w:endnote w:type="continuationSeparator" w:id="0">
    <w:p w:rsidR="00BA0C1C" w:rsidRDefault="00BA0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C1C" w:rsidRDefault="00BA0C1C">
      <w:pPr>
        <w:spacing w:after="0" w:line="240" w:lineRule="auto"/>
      </w:pPr>
      <w:r>
        <w:separator/>
      </w:r>
    </w:p>
  </w:footnote>
  <w:footnote w:type="continuationSeparator" w:id="0">
    <w:p w:rsidR="00BA0C1C" w:rsidRDefault="00BA0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0C1C"/>
    <w:rsid w:val="00CB0664"/>
    <w:rsid w:val="00D2286D"/>
    <w:rsid w:val="00E918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DD408"/>
  <w14:defaultImageDpi w14:val="300"/>
  <w15:docId w15:val="{0ABB728E-18CA-4199-82FC-3E0645D1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70EF4E-19C7-4262-9CC1-A9BDBD81C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2026-10-27T06:52:00Z</dcterms:created>
  <dcterms:modified xsi:type="dcterms:W3CDTF">2026-10-27T06:52:00Z</dcterms:modified>
  <cp:category/>
</cp:coreProperties>
</file>