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15FCB" w14:textId="77777777" w:rsidR="005F50A7" w:rsidRPr="00BF3B32" w:rsidRDefault="00702A2E" w:rsidP="00BF3B32">
      <w:pPr>
        <w:spacing w:after="40" w:line="360" w:lineRule="auto"/>
        <w:jc w:val="center"/>
        <w:rPr>
          <w:rFonts w:ascii="Times New Roman" w:hAnsi="Times New Roman" w:cs="Times New Roman"/>
          <w:sz w:val="24"/>
          <w:szCs w:val="24"/>
        </w:rPr>
      </w:pPr>
      <w:r w:rsidRPr="00BF3B32">
        <w:rPr>
          <w:rFonts w:ascii="Times New Roman" w:hAnsi="Times New Roman" w:cs="Times New Roman"/>
          <w:b/>
          <w:bCs/>
          <w:sz w:val="24"/>
          <w:szCs w:val="24"/>
        </w:rPr>
        <w:t>SIMATS ENGINEERING (SAVEETHA SCHOOL OF ENGINEERING)</w:t>
      </w:r>
    </w:p>
    <w:p w14:paraId="7754C416" w14:textId="77777777" w:rsidR="005F50A7" w:rsidRPr="00BF3B32" w:rsidRDefault="00702A2E" w:rsidP="00BF3B32">
      <w:pPr>
        <w:spacing w:after="40" w:line="360" w:lineRule="auto"/>
        <w:jc w:val="center"/>
        <w:rPr>
          <w:rFonts w:ascii="Times New Roman" w:hAnsi="Times New Roman" w:cs="Times New Roman"/>
          <w:sz w:val="24"/>
          <w:szCs w:val="24"/>
        </w:rPr>
      </w:pPr>
      <w:r w:rsidRPr="00BF3B32">
        <w:rPr>
          <w:rFonts w:ascii="Times New Roman" w:hAnsi="Times New Roman" w:cs="Times New Roman"/>
          <w:b/>
          <w:bCs/>
          <w:sz w:val="24"/>
          <w:szCs w:val="24"/>
        </w:rPr>
        <w:t>Department of Computer Science and Engineering</w:t>
      </w:r>
    </w:p>
    <w:p w14:paraId="09F37BED" w14:textId="77777777" w:rsidR="005F50A7" w:rsidRPr="00BF3B32" w:rsidRDefault="00702A2E" w:rsidP="00BF3B32">
      <w:pPr>
        <w:spacing w:after="300" w:line="360" w:lineRule="auto"/>
        <w:jc w:val="center"/>
        <w:rPr>
          <w:rFonts w:ascii="Times New Roman" w:hAnsi="Times New Roman" w:cs="Times New Roman"/>
          <w:sz w:val="24"/>
          <w:szCs w:val="24"/>
        </w:rPr>
      </w:pPr>
      <w:r w:rsidRPr="00BF3B32">
        <w:rPr>
          <w:rFonts w:ascii="Times New Roman" w:hAnsi="Times New Roman" w:cs="Times New Roman"/>
          <w:b/>
          <w:bCs/>
          <w:sz w:val="24"/>
          <w:szCs w:val="24"/>
        </w:rPr>
        <w:t>CO5 Assessment Tool 1 - Research Paper Review / Literature Survey</w:t>
      </w:r>
    </w:p>
    <w:p w14:paraId="5CE5F75B" w14:textId="77777777" w:rsidR="005F50A7" w:rsidRPr="00BF3B32" w:rsidRDefault="00702A2E" w:rsidP="00BF3B32">
      <w:pPr>
        <w:spacing w:after="60" w:line="360" w:lineRule="auto"/>
        <w:jc w:val="center"/>
        <w:rPr>
          <w:rFonts w:ascii="Times New Roman" w:hAnsi="Times New Roman" w:cs="Times New Roman"/>
          <w:sz w:val="24"/>
          <w:szCs w:val="24"/>
        </w:rPr>
      </w:pPr>
      <w:r w:rsidRPr="00BF3B32">
        <w:rPr>
          <w:rFonts w:ascii="Times New Roman" w:hAnsi="Times New Roman" w:cs="Times New Roman"/>
          <w:b/>
          <w:bCs/>
          <w:sz w:val="24"/>
          <w:szCs w:val="24"/>
        </w:rPr>
        <w:t>RESEARCH PAPER REVIEW / LITERATURE SURVEY REPORT</w:t>
      </w:r>
    </w:p>
    <w:p w14:paraId="7D4F4A1A" w14:textId="77777777" w:rsidR="005F50A7" w:rsidRPr="00BF3B32" w:rsidRDefault="00702A2E" w:rsidP="00BF3B32">
      <w:pPr>
        <w:spacing w:after="300" w:line="360" w:lineRule="auto"/>
        <w:jc w:val="center"/>
        <w:rPr>
          <w:rFonts w:ascii="Times New Roman" w:hAnsi="Times New Roman" w:cs="Times New Roman"/>
          <w:sz w:val="24"/>
          <w:szCs w:val="24"/>
        </w:rPr>
      </w:pPr>
      <w:r w:rsidRPr="00BF3B32">
        <w:rPr>
          <w:rFonts w:ascii="Times New Roman" w:hAnsi="Times New Roman" w:cs="Times New Roman"/>
          <w:b/>
          <w:bCs/>
          <w:i/>
          <w:iCs/>
          <w:sz w:val="24"/>
          <w:szCs w:val="24"/>
        </w:rPr>
        <w:t xml:space="preserve">Problem Statement 36: </w:t>
      </w:r>
      <w:proofErr w:type="spellStart"/>
      <w:r w:rsidRPr="00BF3B32">
        <w:rPr>
          <w:rFonts w:ascii="Times New Roman" w:hAnsi="Times New Roman" w:cs="Times New Roman"/>
          <w:b/>
          <w:bCs/>
          <w:i/>
          <w:iCs/>
          <w:sz w:val="24"/>
          <w:szCs w:val="24"/>
        </w:rPr>
        <w:t>MediSync</w:t>
      </w:r>
      <w:proofErr w:type="spellEnd"/>
      <w:r w:rsidRPr="00BF3B32">
        <w:rPr>
          <w:rFonts w:ascii="Times New Roman" w:hAnsi="Times New Roman" w:cs="Times New Roman"/>
          <w:b/>
          <w:bCs/>
          <w:i/>
          <w:iCs/>
          <w:sz w:val="24"/>
          <w:szCs w:val="24"/>
        </w:rPr>
        <w:t xml:space="preserve"> AI - Intelligent Hospital Resource and Patient Flow Management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F50A7" w:rsidRPr="00BF3B32" w14:paraId="286A043D" w14:textId="77777777">
        <w:tc>
          <w:tcPr>
            <w:tcW w:w="3120" w:type="dxa"/>
            <w:shd w:val="clear" w:color="auto" w:fill="D9E2F3"/>
            <w:tcMar>
              <w:top w:w="80" w:type="dxa"/>
              <w:left w:w="100" w:type="dxa"/>
              <w:bottom w:w="80" w:type="dxa"/>
              <w:right w:w="100" w:type="dxa"/>
            </w:tcMar>
            <w:vAlign w:val="center"/>
          </w:tcPr>
          <w:p w14:paraId="65DAC4CC"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Course Code</w:t>
            </w:r>
          </w:p>
        </w:tc>
        <w:tc>
          <w:tcPr>
            <w:tcW w:w="6240" w:type="dxa"/>
            <w:tcMar>
              <w:top w:w="80" w:type="dxa"/>
              <w:left w:w="100" w:type="dxa"/>
              <w:bottom w:w="80" w:type="dxa"/>
              <w:right w:w="100" w:type="dxa"/>
            </w:tcMar>
            <w:vAlign w:val="center"/>
          </w:tcPr>
          <w:p w14:paraId="14BCC1F8" w14:textId="3473166E"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CSA10</w:t>
            </w:r>
            <w:r w:rsidR="00BF3B32" w:rsidRPr="00BF3B32">
              <w:rPr>
                <w:rFonts w:ascii="Times New Roman" w:hAnsi="Times New Roman" w:cs="Times New Roman"/>
                <w:sz w:val="24"/>
                <w:szCs w:val="24"/>
              </w:rPr>
              <w:t>12</w:t>
            </w:r>
          </w:p>
        </w:tc>
      </w:tr>
      <w:tr w:rsidR="005F50A7" w:rsidRPr="00BF3B32" w14:paraId="73CB9A9B" w14:textId="77777777">
        <w:tc>
          <w:tcPr>
            <w:tcW w:w="3120" w:type="dxa"/>
            <w:shd w:val="clear" w:color="auto" w:fill="D9E2F3"/>
            <w:tcMar>
              <w:top w:w="80" w:type="dxa"/>
              <w:left w:w="100" w:type="dxa"/>
              <w:bottom w:w="80" w:type="dxa"/>
              <w:right w:w="100" w:type="dxa"/>
            </w:tcMar>
            <w:vAlign w:val="center"/>
          </w:tcPr>
          <w:p w14:paraId="06315408"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Course Title</w:t>
            </w:r>
          </w:p>
        </w:tc>
        <w:tc>
          <w:tcPr>
            <w:tcW w:w="6240" w:type="dxa"/>
            <w:tcMar>
              <w:top w:w="80" w:type="dxa"/>
              <w:left w:w="100" w:type="dxa"/>
              <w:bottom w:w="80" w:type="dxa"/>
              <w:right w:w="100" w:type="dxa"/>
            </w:tcMar>
            <w:vAlign w:val="center"/>
          </w:tcPr>
          <w:p w14:paraId="2D716F6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Software Engineering</w:t>
            </w:r>
          </w:p>
        </w:tc>
      </w:tr>
      <w:tr w:rsidR="005F50A7" w:rsidRPr="00BF3B32" w14:paraId="4511F46E" w14:textId="77777777">
        <w:tc>
          <w:tcPr>
            <w:tcW w:w="3120" w:type="dxa"/>
            <w:shd w:val="clear" w:color="auto" w:fill="D9E2F3"/>
            <w:tcMar>
              <w:top w:w="80" w:type="dxa"/>
              <w:left w:w="100" w:type="dxa"/>
              <w:bottom w:w="80" w:type="dxa"/>
              <w:right w:w="100" w:type="dxa"/>
            </w:tcMar>
            <w:vAlign w:val="center"/>
          </w:tcPr>
          <w:p w14:paraId="64F7247E"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CO Assessed</w:t>
            </w:r>
          </w:p>
        </w:tc>
        <w:tc>
          <w:tcPr>
            <w:tcW w:w="6240" w:type="dxa"/>
            <w:tcMar>
              <w:top w:w="80" w:type="dxa"/>
              <w:left w:w="100" w:type="dxa"/>
              <w:bottom w:w="80" w:type="dxa"/>
              <w:right w:w="100" w:type="dxa"/>
            </w:tcMar>
            <w:vAlign w:val="center"/>
          </w:tcPr>
          <w:p w14:paraId="783FDD19"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CO5 - Evaluate emerging technologies and societal impacts, maintaining and evolving software systems responsibly</w:t>
            </w:r>
          </w:p>
        </w:tc>
      </w:tr>
      <w:tr w:rsidR="005F50A7" w:rsidRPr="00BF3B32" w14:paraId="78B93B12" w14:textId="77777777">
        <w:tc>
          <w:tcPr>
            <w:tcW w:w="3120" w:type="dxa"/>
            <w:shd w:val="clear" w:color="auto" w:fill="D9E2F3"/>
            <w:tcMar>
              <w:top w:w="80" w:type="dxa"/>
              <w:left w:w="100" w:type="dxa"/>
              <w:bottom w:w="80" w:type="dxa"/>
              <w:right w:w="100" w:type="dxa"/>
            </w:tcMar>
            <w:vAlign w:val="center"/>
          </w:tcPr>
          <w:p w14:paraId="5CDAEC9C"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Student Name</w:t>
            </w:r>
          </w:p>
        </w:tc>
        <w:tc>
          <w:tcPr>
            <w:tcW w:w="6240" w:type="dxa"/>
            <w:tcMar>
              <w:top w:w="80" w:type="dxa"/>
              <w:left w:w="100" w:type="dxa"/>
              <w:bottom w:w="80" w:type="dxa"/>
              <w:right w:w="100" w:type="dxa"/>
            </w:tcMar>
            <w:vAlign w:val="center"/>
          </w:tcPr>
          <w:p w14:paraId="55B415E8" w14:textId="59386EB8" w:rsidR="005F50A7" w:rsidRPr="00BF3B32" w:rsidRDefault="00BF3B32"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Maniyam Anushka</w:t>
            </w:r>
          </w:p>
        </w:tc>
      </w:tr>
      <w:tr w:rsidR="005F50A7" w:rsidRPr="00BF3B32" w14:paraId="338FC455" w14:textId="77777777">
        <w:tc>
          <w:tcPr>
            <w:tcW w:w="3120" w:type="dxa"/>
            <w:shd w:val="clear" w:color="auto" w:fill="D9E2F3"/>
            <w:tcMar>
              <w:top w:w="80" w:type="dxa"/>
              <w:left w:w="100" w:type="dxa"/>
              <w:bottom w:w="80" w:type="dxa"/>
              <w:right w:w="100" w:type="dxa"/>
            </w:tcMar>
            <w:vAlign w:val="center"/>
          </w:tcPr>
          <w:p w14:paraId="751C20EA"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Register Number</w:t>
            </w:r>
          </w:p>
        </w:tc>
        <w:tc>
          <w:tcPr>
            <w:tcW w:w="6240" w:type="dxa"/>
            <w:tcMar>
              <w:top w:w="80" w:type="dxa"/>
              <w:left w:w="100" w:type="dxa"/>
              <w:bottom w:w="80" w:type="dxa"/>
              <w:right w:w="100" w:type="dxa"/>
            </w:tcMar>
            <w:vAlign w:val="center"/>
          </w:tcPr>
          <w:p w14:paraId="5327A91E" w14:textId="151E6891" w:rsidR="005F50A7" w:rsidRPr="00BF3B32" w:rsidRDefault="00BF3B32"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192525411</w:t>
            </w:r>
          </w:p>
        </w:tc>
      </w:tr>
      <w:tr w:rsidR="005F50A7" w:rsidRPr="00BF3B32" w14:paraId="053A2A24" w14:textId="77777777">
        <w:tc>
          <w:tcPr>
            <w:tcW w:w="3120" w:type="dxa"/>
            <w:shd w:val="clear" w:color="auto" w:fill="D9E2F3"/>
            <w:tcMar>
              <w:top w:w="80" w:type="dxa"/>
              <w:left w:w="100" w:type="dxa"/>
              <w:bottom w:w="80" w:type="dxa"/>
              <w:right w:w="100" w:type="dxa"/>
            </w:tcMar>
            <w:vAlign w:val="center"/>
          </w:tcPr>
          <w:p w14:paraId="2D6BC1F4"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Date</w:t>
            </w:r>
          </w:p>
        </w:tc>
        <w:tc>
          <w:tcPr>
            <w:tcW w:w="6240" w:type="dxa"/>
            <w:tcMar>
              <w:top w:w="80" w:type="dxa"/>
              <w:left w:w="100" w:type="dxa"/>
              <w:bottom w:w="80" w:type="dxa"/>
              <w:right w:w="100" w:type="dxa"/>
            </w:tcMar>
            <w:vAlign w:val="center"/>
          </w:tcPr>
          <w:p w14:paraId="19FC75A6" w14:textId="394021E1" w:rsidR="005F50A7" w:rsidRPr="00BF3B32" w:rsidRDefault="005F50A7" w:rsidP="00BF3B32">
            <w:pPr>
              <w:spacing w:line="360" w:lineRule="auto"/>
              <w:rPr>
                <w:rFonts w:ascii="Times New Roman" w:hAnsi="Times New Roman" w:cs="Times New Roman"/>
                <w:sz w:val="24"/>
                <w:szCs w:val="24"/>
              </w:rPr>
            </w:pPr>
          </w:p>
        </w:tc>
      </w:tr>
    </w:tbl>
    <w:p w14:paraId="236F4979" w14:textId="77777777" w:rsidR="005F50A7" w:rsidRPr="00BF3B32" w:rsidRDefault="005F50A7" w:rsidP="00BF3B32">
      <w:pPr>
        <w:spacing w:after="300" w:line="360" w:lineRule="auto"/>
        <w:rPr>
          <w:rFonts w:ascii="Times New Roman" w:hAnsi="Times New Roman" w:cs="Times New Roman"/>
          <w:sz w:val="24"/>
          <w:szCs w:val="24"/>
        </w:rPr>
      </w:pPr>
    </w:p>
    <w:p w14:paraId="7F6268BE"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br w:type="page"/>
      </w:r>
    </w:p>
    <w:p w14:paraId="7D592D4B"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lastRenderedPageBreak/>
        <w:t>1. Introduction / Industry Context</w:t>
      </w:r>
    </w:p>
    <w:p w14:paraId="612B8237"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Healthcare organizations worldwide are experiencing steadily increasing patient volumes, constrained medical resources, and rising expectations for efficient, high-quality care delivery. Hospitals must simultaneously manage beds, medical equipment, healthcare professionals, and patient appointments to sustain quality outcomes while controlling operational costs. Traditional hospital management systems tend to function as isolated administrative modules, making it difficult to coordinate patient movement across the emergency department, outpatient clinics, laboratories, and inpatient wards.</w:t>
      </w:r>
    </w:p>
    <w:p w14:paraId="5D2F6E71"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 xml:space="preserve">Advances in Artificial Intelligence (AI), the Internet of Things (IoT), and predictive analytics now allow hospitals to forecast patient admissions, monitor resource availability in real time, and optimize allocation decisions proactively rather than reactively. Intelligent patient-flow management systems that connect these previously siloed departments are increasingly viewed as a critical component of the modern digital healthcare ecosystem, motivating the proposed </w:t>
      </w:r>
      <w:proofErr w:type="spellStart"/>
      <w:r w:rsidRPr="00BF3B32">
        <w:rPr>
          <w:rFonts w:ascii="Times New Roman" w:hAnsi="Times New Roman" w:cs="Times New Roman"/>
          <w:sz w:val="24"/>
          <w:szCs w:val="24"/>
        </w:rPr>
        <w:t>MediSync</w:t>
      </w:r>
      <w:proofErr w:type="spellEnd"/>
      <w:r w:rsidRPr="00BF3B32">
        <w:rPr>
          <w:rFonts w:ascii="Times New Roman" w:hAnsi="Times New Roman" w:cs="Times New Roman"/>
          <w:sz w:val="24"/>
          <w:szCs w:val="24"/>
        </w:rPr>
        <w:t xml:space="preserve"> AI platform.</w:t>
      </w:r>
    </w:p>
    <w:p w14:paraId="7FACC58E"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2. Problem Statement</w:t>
      </w:r>
    </w:p>
    <w:p w14:paraId="2223D6FE"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Hospitals frequently experience overcrowding, prolonged patient waiting times, inefficient bed utilization, and uneven distribution of medical resources, all of which negatively affect healthcare quality and operational performance. Existing hospital information systems primarily manage administrative records but generally lack intelligent decision-support capabilities for optimizing patient flow and resource allocation. Delays in patient transfers, diagnostic procedures, and discharge planning contribute to increased treatment times and reduced hospital capacity.</w:t>
      </w:r>
    </w:p>
    <w:p w14:paraId="53FB923C"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 xml:space="preserve">Healthcare administrators also require predictive insight to prepare for fluctuating patient demand and emergency situations. There is therefore a need for an AI-powered hospital management platform that continuously </w:t>
      </w:r>
      <w:proofErr w:type="spellStart"/>
      <w:r w:rsidRPr="00BF3B32">
        <w:rPr>
          <w:rFonts w:ascii="Times New Roman" w:hAnsi="Times New Roman" w:cs="Times New Roman"/>
          <w:sz w:val="24"/>
          <w:szCs w:val="24"/>
        </w:rPr>
        <w:t>analyzes</w:t>
      </w:r>
      <w:proofErr w:type="spellEnd"/>
      <w:r w:rsidRPr="00BF3B32">
        <w:rPr>
          <w:rFonts w:ascii="Times New Roman" w:hAnsi="Times New Roman" w:cs="Times New Roman"/>
          <w:sz w:val="24"/>
          <w:szCs w:val="24"/>
        </w:rPr>
        <w:t xml:space="preserve"> patient movement, predicts resource requirements, optimizes scheduling, and recommends efficient allocation of beds, staff, and equipment - improving patient care while maximizing utilization of healthcare resources.</w:t>
      </w:r>
    </w:p>
    <w:p w14:paraId="7525D7F8"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3. Objectives</w:t>
      </w:r>
    </w:p>
    <w:p w14:paraId="47DB2C92"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Develop an AI-powered platform for intelligent hospital resource and patient flow management.</w:t>
      </w:r>
    </w:p>
    <w:p w14:paraId="3E49B109"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Monitor real-time availability of beds, medical equipment, and healthcare personnel.</w:t>
      </w:r>
    </w:p>
    <w:p w14:paraId="2C197180"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Predict patient admissions, discharge times, and resource demand using machine learning.</w:t>
      </w:r>
    </w:p>
    <w:p w14:paraId="6723FD0F"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Optimize patient scheduling, admissions, and interdepartmental transfers.</w:t>
      </w:r>
    </w:p>
    <w:p w14:paraId="6AB0262D"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lastRenderedPageBreak/>
        <w:t>Reduce patient waiting times through intelligent workflow management.</w:t>
      </w:r>
    </w:p>
    <w:p w14:paraId="02B5849D"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Provide real-time dashboards for hospital administrators and medical staff.</w:t>
      </w:r>
    </w:p>
    <w:p w14:paraId="08AD1C9B"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Generate predictive analytics to support emergency preparedness and capacity planning.</w:t>
      </w:r>
    </w:p>
    <w:p w14:paraId="742F282C"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Improve healthcare efficiency while maintaining high-quality patient care.</w:t>
      </w:r>
    </w:p>
    <w:p w14:paraId="502503DB"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br w:type="page"/>
      </w:r>
    </w:p>
    <w:p w14:paraId="3711B80F"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lastRenderedPageBreak/>
        <w:t>4. Literature Survey - Individual Paper Reviews</w:t>
      </w:r>
    </w:p>
    <w:p w14:paraId="3DCEE693"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 xml:space="preserve">Eight peer-reviewed studies published in reputed journals and conference proceedings were selected for their direct relevance to AI-driven hospital resource forecasting, patient-flow optimization, and IoT/digital-twin based real-time monitoring - the three pillars underlying the </w:t>
      </w:r>
      <w:proofErr w:type="spellStart"/>
      <w:r w:rsidRPr="00BF3B32">
        <w:rPr>
          <w:rFonts w:ascii="Times New Roman" w:hAnsi="Times New Roman" w:cs="Times New Roman"/>
          <w:sz w:val="24"/>
          <w:szCs w:val="24"/>
        </w:rPr>
        <w:t>MediSync</w:t>
      </w:r>
      <w:proofErr w:type="spellEnd"/>
      <w:r w:rsidRPr="00BF3B32">
        <w:rPr>
          <w:rFonts w:ascii="Times New Roman" w:hAnsi="Times New Roman" w:cs="Times New Roman"/>
          <w:sz w:val="24"/>
          <w:szCs w:val="24"/>
        </w:rPr>
        <w:t xml:space="preserve"> AI problem statement.</w:t>
      </w:r>
    </w:p>
    <w:p w14:paraId="4570680C"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4.1 Mahmoudian, Nemati &amp; Safaei (2023) - Forecasting Approach for Hospital Bed Capacity Planning Using ML and DL</w:t>
      </w:r>
    </w:p>
    <w:p w14:paraId="04547B9D"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forecast hospital bed capacity (HBC) by combining length-of-stay (LOS) classification with forecasts of the number of hospitalized patients (NHP).</w:t>
      </w:r>
    </w:p>
    <w:p w14:paraId="3816F50D"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 xml:space="preserve">LOS was classified using Bayesian network, K-nearest </w:t>
      </w:r>
      <w:proofErr w:type="spellStart"/>
      <w:r w:rsidRPr="00BF3B32">
        <w:rPr>
          <w:rFonts w:ascii="Times New Roman" w:hAnsi="Times New Roman" w:cs="Times New Roman"/>
          <w:sz w:val="24"/>
          <w:szCs w:val="24"/>
        </w:rPr>
        <w:t>neighbor</w:t>
      </w:r>
      <w:proofErr w:type="spellEnd"/>
      <w:r w:rsidRPr="00BF3B32">
        <w:rPr>
          <w:rFonts w:ascii="Times New Roman" w:hAnsi="Times New Roman" w:cs="Times New Roman"/>
          <w:sz w:val="24"/>
          <w:szCs w:val="24"/>
        </w:rPr>
        <w:t>, support vector machine, decision tree, and linear regression models; NHP was forecast using SARIMA, linear regression, and LSTM neural networks.</w:t>
      </w:r>
    </w:p>
    <w:p w14:paraId="63C3C458"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Historical time-series data on bed occupancy and patient admissions from public hospitals.</w:t>
      </w:r>
    </w:p>
    <w:p w14:paraId="68504EE4"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The combined LOS-classification and NHP-forecasting pipeline produced more accurate bed-capacity estimates than conventional simulation or integer-programming approaches used in earlier studies.</w:t>
      </w:r>
    </w:p>
    <w:p w14:paraId="6BEF6262"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The model depends solely on historical occupancy records and does not incorporate real-time sensor data or cross-departmental transfer patterns.</w:t>
      </w:r>
    </w:p>
    <w:p w14:paraId="599E3679"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4.2 Schiele, Koperna &amp; Brunner (2021) - Predicting ICU Bed Occupancy for Integrated Operating-Room Scheduling via Neural Networks</w:t>
      </w:r>
    </w:p>
    <w:p w14:paraId="259C96F3"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predict ICU bed occupancy so that operating-room (OR) schedules can be adjusted to avoid downstream ICU overflow.</w:t>
      </w:r>
    </w:p>
    <w:p w14:paraId="0357BDB3"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A neural network was trained to learn the nonlinear relationship between OR block schedules per medical specialty and occupancy levels in supporting units such as the ICU.</w:t>
      </w:r>
    </w:p>
    <w:p w14:paraId="58153233"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Historical OR scheduling and ICU occupancy records from a single hospital.</w:t>
      </w:r>
    </w:p>
    <w:p w14:paraId="4033B4E1"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The neural-network approach reflected real-world hospital complexity - including multiple patient types and paths - more effectively than earlier analytical or queueing-based models.</w:t>
      </w:r>
    </w:p>
    <w:p w14:paraId="1AAEFA3A"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lastRenderedPageBreak/>
        <w:t xml:space="preserve">Limitations: </w:t>
      </w:r>
      <w:r w:rsidRPr="00BF3B32">
        <w:rPr>
          <w:rFonts w:ascii="Times New Roman" w:hAnsi="Times New Roman" w:cs="Times New Roman"/>
          <w:sz w:val="24"/>
          <w:szCs w:val="24"/>
        </w:rPr>
        <w:t>Validated at only one hospital, and the model does not account for emergency-department arrivals or ward-to-ward transfers outside the OR-ICU pathway.</w:t>
      </w:r>
    </w:p>
    <w:p w14:paraId="45C2386B"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 xml:space="preserve">4.3 Fattouh, </w:t>
      </w:r>
      <w:proofErr w:type="spellStart"/>
      <w:r w:rsidRPr="00BF3B32">
        <w:rPr>
          <w:rFonts w:ascii="Times New Roman" w:hAnsi="Times New Roman" w:cs="Times New Roman"/>
          <w:b/>
          <w:bCs/>
          <w:color w:val="auto"/>
          <w:sz w:val="24"/>
          <w:szCs w:val="24"/>
        </w:rPr>
        <w:t>Lyssenko</w:t>
      </w:r>
      <w:proofErr w:type="spellEnd"/>
      <w:r w:rsidRPr="00BF3B32">
        <w:rPr>
          <w:rFonts w:ascii="Times New Roman" w:hAnsi="Times New Roman" w:cs="Times New Roman"/>
          <w:b/>
          <w:bCs/>
          <w:color w:val="auto"/>
          <w:sz w:val="24"/>
          <w:szCs w:val="24"/>
        </w:rPr>
        <w:t xml:space="preserve">, </w:t>
      </w:r>
      <w:proofErr w:type="spellStart"/>
      <w:r w:rsidRPr="00BF3B32">
        <w:rPr>
          <w:rFonts w:ascii="Times New Roman" w:hAnsi="Times New Roman" w:cs="Times New Roman"/>
          <w:b/>
          <w:bCs/>
          <w:color w:val="auto"/>
          <w:sz w:val="24"/>
          <w:szCs w:val="24"/>
        </w:rPr>
        <w:t>Heilmeyer</w:t>
      </w:r>
      <w:proofErr w:type="spellEnd"/>
      <w:r w:rsidRPr="00BF3B32">
        <w:rPr>
          <w:rFonts w:ascii="Times New Roman" w:hAnsi="Times New Roman" w:cs="Times New Roman"/>
          <w:b/>
          <w:bCs/>
          <w:color w:val="auto"/>
          <w:sz w:val="24"/>
          <w:szCs w:val="24"/>
        </w:rPr>
        <w:t xml:space="preserve"> et al. (2026) - Forecasting Hospital Bed Occupancy: A Time Series Approach with Prophet</w:t>
      </w:r>
    </w:p>
    <w:p w14:paraId="46FB474C"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evaluate a parsimonious, interpretable time-series model for mid-term (30-180 day) hospital bed-occupancy forecasting.</w:t>
      </w:r>
    </w:p>
    <w:p w14:paraId="30EB1410"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The Prophet time-series model was applied with public-holiday and COVID-19 pandemic indicators as exogenous regressors, decomposing occupancy into trend, seasonality, and holiday effects; validated using rolling cross-validation.</w:t>
      </w:r>
    </w:p>
    <w:p w14:paraId="456D8167"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 xml:space="preserve">Daily bed-occupancy data (2010-2023) from the Medical </w:t>
      </w:r>
      <w:proofErr w:type="spellStart"/>
      <w:r w:rsidRPr="00BF3B32">
        <w:rPr>
          <w:rFonts w:ascii="Times New Roman" w:hAnsi="Times New Roman" w:cs="Times New Roman"/>
          <w:sz w:val="24"/>
          <w:szCs w:val="24"/>
        </w:rPr>
        <w:t>Center</w:t>
      </w:r>
      <w:proofErr w:type="spellEnd"/>
      <w:r w:rsidRPr="00BF3B32">
        <w:rPr>
          <w:rFonts w:ascii="Times New Roman" w:hAnsi="Times New Roman" w:cs="Times New Roman"/>
          <w:sz w:val="24"/>
          <w:szCs w:val="24"/>
        </w:rPr>
        <w:t>, University of Freiburg.</w:t>
      </w:r>
    </w:p>
    <w:p w14:paraId="150A3339"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Prophet achieved mean absolute percentage errors of approximately 3.2% for 30- and 60-day horizons, outperforming several more complex machine-learning and deep-learning baselines while remaining interpretable and low-maintenance.</w:t>
      </w:r>
    </w:p>
    <w:p w14:paraId="435BCD46"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Its relative simplicity may not capture complex nonlinear interactions between individual wards or departments that more elaborate deep-learning models can represent.</w:t>
      </w:r>
    </w:p>
    <w:p w14:paraId="33DEDFC8"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4.4 Systematic Review (2025) - Impact of Artificial Intelligence on Hospital Admission Prediction and Flow Optimization</w:t>
      </w:r>
    </w:p>
    <w:p w14:paraId="083BBDF9"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systematically evaluate the effect of AI-assisted admission-prediction tools on emergency-department (ED) patient flow and resource allocation.</w:t>
      </w:r>
    </w:p>
    <w:p w14:paraId="76F3A36A"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A systematic review and synthesis of published studies applying machine-learning models to predict hospital admissions at ED triage.</w:t>
      </w:r>
    </w:p>
    <w:p w14:paraId="7BD10EEB"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Pooled evidence from multiple ED admission-prediction studies across different healthcare settings.</w:t>
      </w:r>
    </w:p>
    <w:p w14:paraId="1E363F7D"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AI-driven admission prediction reduced avoidable hospitalizations, optimized bed occupancy, and decreased emergency-room overcrowding, enabling proactive rather than reactive decision-making.</w:t>
      </w:r>
    </w:p>
    <w:p w14:paraId="222E6A77"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Most underlying primary studies are retrospective and single-site, with limited prospective or multi-institutional validation of real-world impact.</w:t>
      </w:r>
    </w:p>
    <w:p w14:paraId="69B718B7"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lastRenderedPageBreak/>
        <w:t xml:space="preserve">4.5 Vural, </w:t>
      </w:r>
      <w:proofErr w:type="spellStart"/>
      <w:r w:rsidRPr="00BF3B32">
        <w:rPr>
          <w:rFonts w:ascii="Times New Roman" w:hAnsi="Times New Roman" w:cs="Times New Roman"/>
          <w:b/>
          <w:bCs/>
          <w:color w:val="auto"/>
          <w:sz w:val="24"/>
          <w:szCs w:val="24"/>
        </w:rPr>
        <w:t>Ozaydin</w:t>
      </w:r>
      <w:proofErr w:type="spellEnd"/>
      <w:r w:rsidRPr="00BF3B32">
        <w:rPr>
          <w:rFonts w:ascii="Times New Roman" w:hAnsi="Times New Roman" w:cs="Times New Roman"/>
          <w:b/>
          <w:bCs/>
          <w:color w:val="auto"/>
          <w:sz w:val="24"/>
          <w:szCs w:val="24"/>
        </w:rPr>
        <w:t>, Aram, Booth, Lindsey &amp; Ahmed (2025) - AI-Based Framework for Predicting Emergency Department Overcrowding</w:t>
      </w:r>
    </w:p>
    <w:p w14:paraId="303C1B3E"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forecast ED waiting-room occupancy at hourly and daily resolutions so that overcrowding can be anticipated and mitigated proactively.</w:t>
      </w:r>
    </w:p>
    <w:p w14:paraId="0CEDEF8B"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Eleven machine-learning and deep-learning algorithms - including a time-series vision transformer (</w:t>
      </w:r>
      <w:proofErr w:type="spellStart"/>
      <w:r w:rsidRPr="00BF3B32">
        <w:rPr>
          <w:rFonts w:ascii="Times New Roman" w:hAnsi="Times New Roman" w:cs="Times New Roman"/>
          <w:sz w:val="24"/>
          <w:szCs w:val="24"/>
        </w:rPr>
        <w:t>TSiTPlus</w:t>
      </w:r>
      <w:proofErr w:type="spellEnd"/>
      <w:r w:rsidRPr="00BF3B32">
        <w:rPr>
          <w:rFonts w:ascii="Times New Roman" w:hAnsi="Times New Roman" w:cs="Times New Roman"/>
          <w:sz w:val="24"/>
          <w:szCs w:val="24"/>
        </w:rPr>
        <w:t>) - were trained and compared for hourly (6-hour-ahead) and daily waiting-count prediction.</w:t>
      </w:r>
    </w:p>
    <w:p w14:paraId="1F0B6F0E"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Operational ED data from a partner hospital in the southeastern United States, combining internal metrics with external features.</w:t>
      </w:r>
    </w:p>
    <w:p w14:paraId="14B03179"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The best hourly model achieved a mean absolute error of about 4.19 patients, supporting proactive staffing and capacity-planning decisions before congestion occurred.</w:t>
      </w:r>
    </w:p>
    <w:p w14:paraId="4666AA13"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Developed and validated on a single ED; generalizability to hospitals with different patient-flow characteristics is not yet established.</w:t>
      </w:r>
    </w:p>
    <w:p w14:paraId="6B9780CD"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4.6 Moreno-Sanchez, Aalto &amp; van Gils (2024) - Prediction of Patient Flow in the Emergency Department Using Explainable AI</w:t>
      </w:r>
    </w:p>
    <w:p w14:paraId="2E3539E0"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predict, at the point of triage, whether a patient will be admitted and which specialty of care is required, easing early resource allocation.</w:t>
      </w:r>
    </w:p>
    <w:p w14:paraId="4AFA1486"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Explainable artificial intelligence (XAI) models were developed to generate interpretable admission and specialty predictions directly usable by clinical staff.</w:t>
      </w:r>
    </w:p>
    <w:p w14:paraId="76F243D3"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Triage-time emergency-department patient records.</w:t>
      </w:r>
    </w:p>
    <w:p w14:paraId="4720EC1D"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Interpretable, triage-time predictions increased clinician trust and enabled earlier, more confident resource-allocation decisions compared to opaque black-box models.</w:t>
      </w:r>
    </w:p>
    <w:p w14:paraId="550EF51E"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Explainability adds computational overhead, and the study addresses prediction only, without extending into automated scheduling or bed-allocation optimization.</w:t>
      </w:r>
    </w:p>
    <w:p w14:paraId="39DE5EE9"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4.7 Systematic Review (2025) - Digital Twins in Healthcare IoT</w:t>
      </w:r>
    </w:p>
    <w:p w14:paraId="22EBD069"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review how digital-twin and IoT architectures are being applied to hospital-level resource management and patient-flow simulation.</w:t>
      </w:r>
    </w:p>
    <w:p w14:paraId="4BA715B9"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lastRenderedPageBreak/>
        <w:t xml:space="preserve">Methodology: </w:t>
      </w:r>
      <w:r w:rsidRPr="00BF3B32">
        <w:rPr>
          <w:rFonts w:ascii="Times New Roman" w:hAnsi="Times New Roman" w:cs="Times New Roman"/>
          <w:sz w:val="24"/>
          <w:szCs w:val="24"/>
        </w:rPr>
        <w:t>Systematic review of published digital-twin implementations that integrate IoT sensor streams with hospital information systems and electronic health records.</w:t>
      </w:r>
    </w:p>
    <w:p w14:paraId="63F94248"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Multiple published digital-twin and smart-hospital IoT case studies.</w:t>
      </w:r>
    </w:p>
    <w:p w14:paraId="6C70A975"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Hospital-level digital twins can simulate emergency-department workflows, predict ICU bed occupancy, and identify operational bottlenecks in real time by continuously synchronizing a virtual model with live IoT data.</w:t>
      </w:r>
    </w:p>
    <w:p w14:paraId="3921DD86"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The field remains an emerging area with limited large-scale, long-term deployment evidence and comparatively high integration cost and complexity.</w:t>
      </w:r>
    </w:p>
    <w:p w14:paraId="633C266F" w14:textId="77777777" w:rsidR="005F50A7" w:rsidRPr="00BF3B32" w:rsidRDefault="00702A2E" w:rsidP="00BF3B32">
      <w:pPr>
        <w:pStyle w:val="Heading2"/>
        <w:spacing w:before="260" w:after="12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4.8 Wei, Zhou, Zhang, Yuan, Gu, Luk, Brent, Clifton, Walker &amp; Eyre (2024) - Predicting Individual Patient and Hospital-Level Discharge Using Machine Learning</w:t>
      </w:r>
    </w:p>
    <w:p w14:paraId="159B587A"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Objective: </w:t>
      </w:r>
      <w:r w:rsidRPr="00BF3B32">
        <w:rPr>
          <w:rFonts w:ascii="Times New Roman" w:hAnsi="Times New Roman" w:cs="Times New Roman"/>
          <w:sz w:val="24"/>
          <w:szCs w:val="24"/>
        </w:rPr>
        <w:t>To predict individual patient discharge within the next 24 hours and aggregate hospital-wide daily discharge totals to improve patient flow.</w:t>
      </w:r>
    </w:p>
    <w:p w14:paraId="039E063C"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Methodology: </w:t>
      </w:r>
      <w:r w:rsidRPr="00BF3B32">
        <w:rPr>
          <w:rFonts w:ascii="Times New Roman" w:hAnsi="Times New Roman" w:cs="Times New Roman"/>
          <w:sz w:val="24"/>
          <w:szCs w:val="24"/>
        </w:rPr>
        <w:t>Separate extreme gradient boosting (</w:t>
      </w:r>
      <w:proofErr w:type="spellStart"/>
      <w:r w:rsidRPr="00BF3B32">
        <w:rPr>
          <w:rFonts w:ascii="Times New Roman" w:hAnsi="Times New Roman" w:cs="Times New Roman"/>
          <w:sz w:val="24"/>
          <w:szCs w:val="24"/>
        </w:rPr>
        <w:t>XGBoost</w:t>
      </w:r>
      <w:proofErr w:type="spellEnd"/>
      <w:r w:rsidRPr="00BF3B32">
        <w:rPr>
          <w:rFonts w:ascii="Times New Roman" w:hAnsi="Times New Roman" w:cs="Times New Roman"/>
          <w:sz w:val="24"/>
          <w:szCs w:val="24"/>
        </w:rPr>
        <w:t>) models were fitted for elective and emergency admissions using a wide range of structured EHR features, benchmarked against logistic regression.</w:t>
      </w:r>
    </w:p>
    <w:p w14:paraId="6061CAF7"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Dataset / Tools: </w:t>
      </w:r>
      <w:r w:rsidRPr="00BF3B32">
        <w:rPr>
          <w:rFonts w:ascii="Times New Roman" w:hAnsi="Times New Roman" w:cs="Times New Roman"/>
          <w:sz w:val="24"/>
          <w:szCs w:val="24"/>
        </w:rPr>
        <w:t>Electronic health record data (February 2017-January 2020) from four hospitals in Oxfordshire, UK, covering 126,054 emergency and 45,609 planned admissions.</w:t>
      </w:r>
    </w:p>
    <w:p w14:paraId="22B45527"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Key Findings: </w:t>
      </w:r>
      <w:r w:rsidRPr="00BF3B32">
        <w:rPr>
          <w:rFonts w:ascii="Times New Roman" w:hAnsi="Times New Roman" w:cs="Times New Roman"/>
          <w:sz w:val="24"/>
          <w:szCs w:val="24"/>
        </w:rPr>
        <w:t xml:space="preserve">The </w:t>
      </w:r>
      <w:proofErr w:type="spellStart"/>
      <w:r w:rsidRPr="00BF3B32">
        <w:rPr>
          <w:rFonts w:ascii="Times New Roman" w:hAnsi="Times New Roman" w:cs="Times New Roman"/>
          <w:sz w:val="24"/>
          <w:szCs w:val="24"/>
        </w:rPr>
        <w:t>XGBoost</w:t>
      </w:r>
      <w:proofErr w:type="spellEnd"/>
      <w:r w:rsidRPr="00BF3B32">
        <w:rPr>
          <w:rFonts w:ascii="Times New Roman" w:hAnsi="Times New Roman" w:cs="Times New Roman"/>
          <w:sz w:val="24"/>
          <w:szCs w:val="24"/>
        </w:rPr>
        <w:t xml:space="preserve"> models achieved AUROCs of 0.87-0.88 for individual-level discharge prediction and mean absolute errors of 4.9-8.9% for hospital-level daily discharge totals, substantially outperforming logistic-regression baselines.</w:t>
      </w:r>
    </w:p>
    <w:p w14:paraId="7B337076" w14:textId="77777777" w:rsidR="005F50A7" w:rsidRPr="00BF3B32" w:rsidRDefault="00702A2E" w:rsidP="00BF3B32">
      <w:pPr>
        <w:spacing w:after="120" w:line="360" w:lineRule="auto"/>
        <w:jc w:val="both"/>
        <w:rPr>
          <w:rFonts w:ascii="Times New Roman" w:hAnsi="Times New Roman" w:cs="Times New Roman"/>
          <w:sz w:val="24"/>
          <w:szCs w:val="24"/>
        </w:rPr>
      </w:pPr>
      <w:r w:rsidRPr="00BF3B32">
        <w:rPr>
          <w:rFonts w:ascii="Times New Roman" w:hAnsi="Times New Roman" w:cs="Times New Roman"/>
          <w:b/>
          <w:bCs/>
          <w:sz w:val="24"/>
          <w:szCs w:val="24"/>
        </w:rPr>
        <w:t xml:space="preserve">Limitations: </w:t>
      </w:r>
      <w:r w:rsidRPr="00BF3B32">
        <w:rPr>
          <w:rFonts w:ascii="Times New Roman" w:hAnsi="Times New Roman" w:cs="Times New Roman"/>
          <w:sz w:val="24"/>
          <w:szCs w:val="24"/>
        </w:rPr>
        <w:t>Only structured EHR data was used - unstructured clinical notes were excluded - and predictive performance was lower for long-stay patients and those who died in hospital.</w:t>
      </w:r>
    </w:p>
    <w:p w14:paraId="7F6E6104"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br w:type="page"/>
      </w:r>
    </w:p>
    <w:p w14:paraId="488CC3EC"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lastRenderedPageBreak/>
        <w:t>5. Comparative Literature Survey Table</w:t>
      </w:r>
    </w:p>
    <w:p w14:paraId="5B451D1C"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The table below consolidates the reviewed studies for side-by-side comparison across methodology, data, findings, limitations, and the specific research gap each leaves open.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2"/>
        <w:gridCol w:w="1215"/>
        <w:gridCol w:w="1419"/>
        <w:gridCol w:w="1129"/>
        <w:gridCol w:w="2018"/>
        <w:gridCol w:w="1337"/>
        <w:gridCol w:w="1490"/>
      </w:tblGrid>
      <w:tr w:rsidR="005F50A7" w:rsidRPr="00BF3B32" w14:paraId="70926BDA" w14:textId="77777777">
        <w:trPr>
          <w:tblHeader/>
        </w:trPr>
        <w:tc>
          <w:tcPr>
            <w:tcW w:w="1150" w:type="dxa"/>
            <w:shd w:val="clear" w:color="auto" w:fill="1F3864"/>
            <w:tcMar>
              <w:top w:w="80" w:type="dxa"/>
              <w:left w:w="100" w:type="dxa"/>
              <w:bottom w:w="80" w:type="dxa"/>
              <w:right w:w="100" w:type="dxa"/>
            </w:tcMar>
            <w:vAlign w:val="center"/>
          </w:tcPr>
          <w:p w14:paraId="057A95F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Author / Year</w:t>
            </w:r>
          </w:p>
        </w:tc>
        <w:tc>
          <w:tcPr>
            <w:tcW w:w="1450" w:type="dxa"/>
            <w:shd w:val="clear" w:color="auto" w:fill="1F3864"/>
            <w:tcMar>
              <w:top w:w="80" w:type="dxa"/>
              <w:left w:w="100" w:type="dxa"/>
              <w:bottom w:w="80" w:type="dxa"/>
              <w:right w:w="100" w:type="dxa"/>
            </w:tcMar>
            <w:vAlign w:val="center"/>
          </w:tcPr>
          <w:p w14:paraId="4AD8C415"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Research Problem</w:t>
            </w:r>
          </w:p>
        </w:tc>
        <w:tc>
          <w:tcPr>
            <w:tcW w:w="1500" w:type="dxa"/>
            <w:shd w:val="clear" w:color="auto" w:fill="1F3864"/>
            <w:tcMar>
              <w:top w:w="80" w:type="dxa"/>
              <w:left w:w="100" w:type="dxa"/>
              <w:bottom w:w="80" w:type="dxa"/>
              <w:right w:w="100" w:type="dxa"/>
            </w:tcMar>
            <w:vAlign w:val="center"/>
          </w:tcPr>
          <w:p w14:paraId="78E723CE"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Methodology</w:t>
            </w:r>
          </w:p>
        </w:tc>
        <w:tc>
          <w:tcPr>
            <w:tcW w:w="1350" w:type="dxa"/>
            <w:shd w:val="clear" w:color="auto" w:fill="1F3864"/>
            <w:tcMar>
              <w:top w:w="80" w:type="dxa"/>
              <w:left w:w="100" w:type="dxa"/>
              <w:bottom w:w="80" w:type="dxa"/>
              <w:right w:w="100" w:type="dxa"/>
            </w:tcMar>
            <w:vAlign w:val="center"/>
          </w:tcPr>
          <w:p w14:paraId="56558F4B"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Dataset / Tools</w:t>
            </w:r>
          </w:p>
        </w:tc>
        <w:tc>
          <w:tcPr>
            <w:tcW w:w="1650" w:type="dxa"/>
            <w:shd w:val="clear" w:color="auto" w:fill="1F3864"/>
            <w:tcMar>
              <w:top w:w="80" w:type="dxa"/>
              <w:left w:w="100" w:type="dxa"/>
              <w:bottom w:w="80" w:type="dxa"/>
              <w:right w:w="100" w:type="dxa"/>
            </w:tcMar>
            <w:vAlign w:val="center"/>
          </w:tcPr>
          <w:p w14:paraId="2B671B05"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Key Findings</w:t>
            </w:r>
          </w:p>
        </w:tc>
        <w:tc>
          <w:tcPr>
            <w:tcW w:w="1500" w:type="dxa"/>
            <w:shd w:val="clear" w:color="auto" w:fill="1F3864"/>
            <w:tcMar>
              <w:top w:w="80" w:type="dxa"/>
              <w:left w:w="100" w:type="dxa"/>
              <w:bottom w:w="80" w:type="dxa"/>
              <w:right w:w="100" w:type="dxa"/>
            </w:tcMar>
            <w:vAlign w:val="center"/>
          </w:tcPr>
          <w:p w14:paraId="2D846270"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Limitations</w:t>
            </w:r>
          </w:p>
        </w:tc>
        <w:tc>
          <w:tcPr>
            <w:tcW w:w="1500" w:type="dxa"/>
            <w:shd w:val="clear" w:color="auto" w:fill="1F3864"/>
            <w:tcMar>
              <w:top w:w="80" w:type="dxa"/>
              <w:left w:w="100" w:type="dxa"/>
              <w:bottom w:w="80" w:type="dxa"/>
              <w:right w:w="100" w:type="dxa"/>
            </w:tcMar>
            <w:vAlign w:val="center"/>
          </w:tcPr>
          <w:p w14:paraId="4AC13170"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b/>
                <w:bCs/>
                <w:sz w:val="24"/>
                <w:szCs w:val="24"/>
              </w:rPr>
              <w:t>Research Gap</w:t>
            </w:r>
          </w:p>
        </w:tc>
      </w:tr>
      <w:tr w:rsidR="005F50A7" w:rsidRPr="00BF3B32" w14:paraId="1505682C" w14:textId="77777777">
        <w:tc>
          <w:tcPr>
            <w:tcW w:w="1150" w:type="dxa"/>
            <w:tcMar>
              <w:top w:w="80" w:type="dxa"/>
              <w:left w:w="100" w:type="dxa"/>
              <w:bottom w:w="80" w:type="dxa"/>
              <w:right w:w="100" w:type="dxa"/>
            </w:tcMar>
            <w:vAlign w:val="center"/>
          </w:tcPr>
          <w:p w14:paraId="3C40860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Mahmoudian, Nemati &amp; Safaei (2023)</w:t>
            </w:r>
          </w:p>
        </w:tc>
        <w:tc>
          <w:tcPr>
            <w:tcW w:w="1450" w:type="dxa"/>
            <w:tcMar>
              <w:top w:w="80" w:type="dxa"/>
              <w:left w:w="100" w:type="dxa"/>
              <w:bottom w:w="80" w:type="dxa"/>
              <w:right w:w="100" w:type="dxa"/>
            </w:tcMar>
            <w:vAlign w:val="center"/>
          </w:tcPr>
          <w:p w14:paraId="1263844E"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Forecasting hospital bed capacity (HBC) for public hospitals</w:t>
            </w:r>
          </w:p>
        </w:tc>
        <w:tc>
          <w:tcPr>
            <w:tcW w:w="1500" w:type="dxa"/>
            <w:tcMar>
              <w:top w:w="80" w:type="dxa"/>
              <w:left w:w="100" w:type="dxa"/>
              <w:bottom w:w="80" w:type="dxa"/>
              <w:right w:w="100" w:type="dxa"/>
            </w:tcMar>
            <w:vAlign w:val="center"/>
          </w:tcPr>
          <w:p w14:paraId="0ED7672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ML classifiers (Bayesian network, KNN, SVM, decision tree, linear regression) for length-of-stay classes; SARIMA, linear regression and LSTM for admissions forecasting</w:t>
            </w:r>
          </w:p>
        </w:tc>
        <w:tc>
          <w:tcPr>
            <w:tcW w:w="1350" w:type="dxa"/>
            <w:tcMar>
              <w:top w:w="80" w:type="dxa"/>
              <w:left w:w="100" w:type="dxa"/>
              <w:bottom w:w="80" w:type="dxa"/>
              <w:right w:w="100" w:type="dxa"/>
            </w:tcMar>
            <w:vAlign w:val="center"/>
          </w:tcPr>
          <w:p w14:paraId="789DDDB8"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Historical admission and bed-occupancy time-series data from public hospitals; Python-based ML/DL toolkits</w:t>
            </w:r>
          </w:p>
        </w:tc>
        <w:tc>
          <w:tcPr>
            <w:tcW w:w="1650" w:type="dxa"/>
            <w:tcMar>
              <w:top w:w="80" w:type="dxa"/>
              <w:left w:w="100" w:type="dxa"/>
              <w:bottom w:w="80" w:type="dxa"/>
              <w:right w:w="100" w:type="dxa"/>
            </w:tcMar>
            <w:vAlign w:val="center"/>
          </w:tcPr>
          <w:p w14:paraId="5B4FDAC5"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Combining LOS classification with admissions forecasting produced more accurate bed-capacity estimates than pure simulation/programming models</w:t>
            </w:r>
          </w:p>
        </w:tc>
        <w:tc>
          <w:tcPr>
            <w:tcW w:w="1500" w:type="dxa"/>
            <w:tcMar>
              <w:top w:w="80" w:type="dxa"/>
              <w:left w:w="100" w:type="dxa"/>
              <w:bottom w:w="80" w:type="dxa"/>
              <w:right w:w="100" w:type="dxa"/>
            </w:tcMar>
            <w:vAlign w:val="center"/>
          </w:tcPr>
          <w:p w14:paraId="2188AC62"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Relies only on historical occupancy data; does not incorporate real-time IoT sensor feeds or cross-department transfer dynamics</w:t>
            </w:r>
          </w:p>
        </w:tc>
        <w:tc>
          <w:tcPr>
            <w:tcW w:w="1500" w:type="dxa"/>
            <w:tcMar>
              <w:top w:w="80" w:type="dxa"/>
              <w:left w:w="100" w:type="dxa"/>
              <w:bottom w:w="80" w:type="dxa"/>
              <w:right w:w="100" w:type="dxa"/>
            </w:tcMar>
            <w:vAlign w:val="center"/>
          </w:tcPr>
          <w:p w14:paraId="1349E5E6"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No integration of live resource-monitoring data into the forecasting loop</w:t>
            </w:r>
          </w:p>
        </w:tc>
      </w:tr>
      <w:tr w:rsidR="005F50A7" w:rsidRPr="00BF3B32" w14:paraId="0DA1D0B5" w14:textId="77777777">
        <w:tc>
          <w:tcPr>
            <w:tcW w:w="1150" w:type="dxa"/>
            <w:shd w:val="clear" w:color="auto" w:fill="F2F5FB"/>
            <w:tcMar>
              <w:top w:w="80" w:type="dxa"/>
              <w:left w:w="100" w:type="dxa"/>
              <w:bottom w:w="80" w:type="dxa"/>
              <w:right w:w="100" w:type="dxa"/>
            </w:tcMar>
            <w:vAlign w:val="center"/>
          </w:tcPr>
          <w:p w14:paraId="0B7A1BA1"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Schiele, Koperna &amp; Brunner (2021)</w:t>
            </w:r>
          </w:p>
        </w:tc>
        <w:tc>
          <w:tcPr>
            <w:tcW w:w="1450" w:type="dxa"/>
            <w:shd w:val="clear" w:color="auto" w:fill="F2F5FB"/>
            <w:tcMar>
              <w:top w:w="80" w:type="dxa"/>
              <w:left w:w="100" w:type="dxa"/>
              <w:bottom w:w="80" w:type="dxa"/>
              <w:right w:w="100" w:type="dxa"/>
            </w:tcMar>
            <w:vAlign w:val="center"/>
          </w:tcPr>
          <w:p w14:paraId="6682B971"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Predicting ICU bed occupancy to support integrated operating-</w:t>
            </w:r>
            <w:r w:rsidRPr="00BF3B32">
              <w:rPr>
                <w:rFonts w:ascii="Times New Roman" w:hAnsi="Times New Roman" w:cs="Times New Roman"/>
                <w:sz w:val="24"/>
                <w:szCs w:val="24"/>
              </w:rPr>
              <w:lastRenderedPageBreak/>
              <w:t>room (OR) scheduling</w:t>
            </w:r>
          </w:p>
        </w:tc>
        <w:tc>
          <w:tcPr>
            <w:tcW w:w="1500" w:type="dxa"/>
            <w:shd w:val="clear" w:color="auto" w:fill="F2F5FB"/>
            <w:tcMar>
              <w:top w:w="80" w:type="dxa"/>
              <w:left w:w="100" w:type="dxa"/>
              <w:bottom w:w="80" w:type="dxa"/>
              <w:right w:w="100" w:type="dxa"/>
            </w:tcMar>
            <w:vAlign w:val="center"/>
          </w:tcPr>
          <w:p w14:paraId="4011089B"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Feed-forward neural network trained on historical OR block </w:t>
            </w:r>
            <w:r w:rsidRPr="00BF3B32">
              <w:rPr>
                <w:rFonts w:ascii="Times New Roman" w:hAnsi="Times New Roman" w:cs="Times New Roman"/>
                <w:sz w:val="24"/>
                <w:szCs w:val="24"/>
              </w:rPr>
              <w:lastRenderedPageBreak/>
              <w:t>allocation and supporting-unit occupancy data</w:t>
            </w:r>
          </w:p>
        </w:tc>
        <w:tc>
          <w:tcPr>
            <w:tcW w:w="1350" w:type="dxa"/>
            <w:shd w:val="clear" w:color="auto" w:fill="F2F5FB"/>
            <w:tcMar>
              <w:top w:w="80" w:type="dxa"/>
              <w:left w:w="100" w:type="dxa"/>
              <w:bottom w:w="80" w:type="dxa"/>
              <w:right w:w="100" w:type="dxa"/>
            </w:tcMar>
            <w:vAlign w:val="center"/>
          </w:tcPr>
          <w:p w14:paraId="6883F301"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Single-hospital OR scheduling and ICU </w:t>
            </w:r>
            <w:r w:rsidRPr="00BF3B32">
              <w:rPr>
                <w:rFonts w:ascii="Times New Roman" w:hAnsi="Times New Roman" w:cs="Times New Roman"/>
                <w:sz w:val="24"/>
                <w:szCs w:val="24"/>
              </w:rPr>
              <w:lastRenderedPageBreak/>
              <w:t>occupancy records</w:t>
            </w:r>
          </w:p>
        </w:tc>
        <w:tc>
          <w:tcPr>
            <w:tcW w:w="1650" w:type="dxa"/>
            <w:shd w:val="clear" w:color="auto" w:fill="F2F5FB"/>
            <w:tcMar>
              <w:top w:w="80" w:type="dxa"/>
              <w:left w:w="100" w:type="dxa"/>
              <w:bottom w:w="80" w:type="dxa"/>
              <w:right w:w="100" w:type="dxa"/>
            </w:tcMar>
            <w:vAlign w:val="center"/>
          </w:tcPr>
          <w:p w14:paraId="290E5F42"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Neural network captured nonlinear relationships between OR schedules and ICU occupancy better than </w:t>
            </w:r>
            <w:r w:rsidRPr="00BF3B32">
              <w:rPr>
                <w:rFonts w:ascii="Times New Roman" w:hAnsi="Times New Roman" w:cs="Times New Roman"/>
                <w:sz w:val="24"/>
                <w:szCs w:val="24"/>
              </w:rPr>
              <w:lastRenderedPageBreak/>
              <w:t>analytical/queueing models</w:t>
            </w:r>
          </w:p>
        </w:tc>
        <w:tc>
          <w:tcPr>
            <w:tcW w:w="1500" w:type="dxa"/>
            <w:shd w:val="clear" w:color="auto" w:fill="F2F5FB"/>
            <w:tcMar>
              <w:top w:w="80" w:type="dxa"/>
              <w:left w:w="100" w:type="dxa"/>
              <w:bottom w:w="80" w:type="dxa"/>
              <w:right w:w="100" w:type="dxa"/>
            </w:tcMar>
            <w:vAlign w:val="center"/>
          </w:tcPr>
          <w:p w14:paraId="27691E0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Validated at a single hospital only; excludes emergency-department </w:t>
            </w:r>
            <w:r w:rsidRPr="00BF3B32">
              <w:rPr>
                <w:rFonts w:ascii="Times New Roman" w:hAnsi="Times New Roman" w:cs="Times New Roman"/>
                <w:sz w:val="24"/>
                <w:szCs w:val="24"/>
              </w:rPr>
              <w:lastRenderedPageBreak/>
              <w:t>arrivals and ward-to-ward transfers</w:t>
            </w:r>
          </w:p>
        </w:tc>
        <w:tc>
          <w:tcPr>
            <w:tcW w:w="1500" w:type="dxa"/>
            <w:shd w:val="clear" w:color="auto" w:fill="F2F5FB"/>
            <w:tcMar>
              <w:top w:w="80" w:type="dxa"/>
              <w:left w:w="100" w:type="dxa"/>
              <w:bottom w:w="80" w:type="dxa"/>
              <w:right w:w="100" w:type="dxa"/>
            </w:tcMar>
            <w:vAlign w:val="center"/>
          </w:tcPr>
          <w:p w14:paraId="06B29F9C"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Lack of a multi-department model linking OR, ICU and ED resource </w:t>
            </w:r>
            <w:r w:rsidRPr="00BF3B32">
              <w:rPr>
                <w:rFonts w:ascii="Times New Roman" w:hAnsi="Times New Roman" w:cs="Times New Roman"/>
                <w:sz w:val="24"/>
                <w:szCs w:val="24"/>
              </w:rPr>
              <w:lastRenderedPageBreak/>
              <w:t>states simultaneously</w:t>
            </w:r>
          </w:p>
        </w:tc>
      </w:tr>
      <w:tr w:rsidR="005F50A7" w:rsidRPr="00BF3B32" w14:paraId="455BF0B6" w14:textId="77777777">
        <w:tc>
          <w:tcPr>
            <w:tcW w:w="1150" w:type="dxa"/>
            <w:tcMar>
              <w:top w:w="80" w:type="dxa"/>
              <w:left w:w="100" w:type="dxa"/>
              <w:bottom w:w="80" w:type="dxa"/>
              <w:right w:w="100" w:type="dxa"/>
            </w:tcMar>
            <w:vAlign w:val="center"/>
          </w:tcPr>
          <w:p w14:paraId="13D0699A"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Fattouh, </w:t>
            </w:r>
            <w:proofErr w:type="spellStart"/>
            <w:r w:rsidRPr="00BF3B32">
              <w:rPr>
                <w:rFonts w:ascii="Times New Roman" w:hAnsi="Times New Roman" w:cs="Times New Roman"/>
                <w:sz w:val="24"/>
                <w:szCs w:val="24"/>
              </w:rPr>
              <w:t>Lyssenko</w:t>
            </w:r>
            <w:proofErr w:type="spellEnd"/>
            <w:r w:rsidRPr="00BF3B32">
              <w:rPr>
                <w:rFonts w:ascii="Times New Roman" w:hAnsi="Times New Roman" w:cs="Times New Roman"/>
                <w:sz w:val="24"/>
                <w:szCs w:val="24"/>
              </w:rPr>
              <w:t xml:space="preserve">, </w:t>
            </w:r>
            <w:proofErr w:type="spellStart"/>
            <w:r w:rsidRPr="00BF3B32">
              <w:rPr>
                <w:rFonts w:ascii="Times New Roman" w:hAnsi="Times New Roman" w:cs="Times New Roman"/>
                <w:sz w:val="24"/>
                <w:szCs w:val="24"/>
              </w:rPr>
              <w:t>Heilmeyer</w:t>
            </w:r>
            <w:proofErr w:type="spellEnd"/>
            <w:r w:rsidRPr="00BF3B32">
              <w:rPr>
                <w:rFonts w:ascii="Times New Roman" w:hAnsi="Times New Roman" w:cs="Times New Roman"/>
                <w:sz w:val="24"/>
                <w:szCs w:val="24"/>
              </w:rPr>
              <w:t xml:space="preserve"> et al. (2026)</w:t>
            </w:r>
          </w:p>
        </w:tc>
        <w:tc>
          <w:tcPr>
            <w:tcW w:w="1450" w:type="dxa"/>
            <w:tcMar>
              <w:top w:w="80" w:type="dxa"/>
              <w:left w:w="100" w:type="dxa"/>
              <w:bottom w:w="80" w:type="dxa"/>
              <w:right w:w="100" w:type="dxa"/>
            </w:tcMar>
            <w:vAlign w:val="center"/>
          </w:tcPr>
          <w:p w14:paraId="3D6FF51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Mid-term hospital bed-occupancy forecasting</w:t>
            </w:r>
          </w:p>
        </w:tc>
        <w:tc>
          <w:tcPr>
            <w:tcW w:w="1500" w:type="dxa"/>
            <w:tcMar>
              <w:top w:w="80" w:type="dxa"/>
              <w:left w:w="100" w:type="dxa"/>
              <w:bottom w:w="80" w:type="dxa"/>
              <w:right w:w="100" w:type="dxa"/>
            </w:tcMar>
            <w:vAlign w:val="center"/>
          </w:tcPr>
          <w:p w14:paraId="0B1B2DE8"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Prophet time-series model with holiday and COVID-19 indicator regressors; rolling cross-validation</w:t>
            </w:r>
          </w:p>
        </w:tc>
        <w:tc>
          <w:tcPr>
            <w:tcW w:w="1350" w:type="dxa"/>
            <w:tcMar>
              <w:top w:w="80" w:type="dxa"/>
              <w:left w:w="100" w:type="dxa"/>
              <w:bottom w:w="80" w:type="dxa"/>
              <w:right w:w="100" w:type="dxa"/>
            </w:tcMar>
            <w:vAlign w:val="center"/>
          </w:tcPr>
          <w:p w14:paraId="2CBCE4F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 xml:space="preserve">Daily bed-occupancy data (2010-2023), Medical </w:t>
            </w:r>
            <w:proofErr w:type="spellStart"/>
            <w:r w:rsidRPr="00BF3B32">
              <w:rPr>
                <w:rFonts w:ascii="Times New Roman" w:hAnsi="Times New Roman" w:cs="Times New Roman"/>
                <w:sz w:val="24"/>
                <w:szCs w:val="24"/>
              </w:rPr>
              <w:t>Center</w:t>
            </w:r>
            <w:proofErr w:type="spellEnd"/>
            <w:r w:rsidRPr="00BF3B32">
              <w:rPr>
                <w:rFonts w:ascii="Times New Roman" w:hAnsi="Times New Roman" w:cs="Times New Roman"/>
                <w:sz w:val="24"/>
                <w:szCs w:val="24"/>
              </w:rPr>
              <w:t xml:space="preserve"> - University of Freiburg</w:t>
            </w:r>
          </w:p>
        </w:tc>
        <w:tc>
          <w:tcPr>
            <w:tcW w:w="1650" w:type="dxa"/>
            <w:tcMar>
              <w:top w:w="80" w:type="dxa"/>
              <w:left w:w="100" w:type="dxa"/>
              <w:bottom w:w="80" w:type="dxa"/>
              <w:right w:w="100" w:type="dxa"/>
            </w:tcMar>
            <w:vAlign w:val="center"/>
          </w:tcPr>
          <w:p w14:paraId="65A9913A"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Achieved MAPE of about 3.2% for 30- and 60-day horizons, outperforming several ML/DL baselines while remaining interpretable</w:t>
            </w:r>
          </w:p>
        </w:tc>
        <w:tc>
          <w:tcPr>
            <w:tcW w:w="1500" w:type="dxa"/>
            <w:tcMar>
              <w:top w:w="80" w:type="dxa"/>
              <w:left w:w="100" w:type="dxa"/>
              <w:bottom w:w="80" w:type="dxa"/>
              <w:right w:w="100" w:type="dxa"/>
            </w:tcMar>
            <w:vAlign w:val="center"/>
          </w:tcPr>
          <w:p w14:paraId="35355DA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Interpretable but simpler model may miss complex nonlinear ward-level interactions captured by deep learning</w:t>
            </w:r>
          </w:p>
        </w:tc>
        <w:tc>
          <w:tcPr>
            <w:tcW w:w="1500" w:type="dxa"/>
            <w:tcMar>
              <w:top w:w="80" w:type="dxa"/>
              <w:left w:w="100" w:type="dxa"/>
              <w:bottom w:w="80" w:type="dxa"/>
              <w:right w:w="100" w:type="dxa"/>
            </w:tcMar>
            <w:vAlign w:val="center"/>
          </w:tcPr>
          <w:p w14:paraId="5B577623"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Trade-off between interpretability and modelling complex interdepartmental patient flow remains unresolved</w:t>
            </w:r>
          </w:p>
        </w:tc>
      </w:tr>
      <w:tr w:rsidR="005F50A7" w:rsidRPr="00BF3B32" w14:paraId="6A5EE27A" w14:textId="77777777">
        <w:tc>
          <w:tcPr>
            <w:tcW w:w="1150" w:type="dxa"/>
            <w:shd w:val="clear" w:color="auto" w:fill="F2F5FB"/>
            <w:tcMar>
              <w:top w:w="80" w:type="dxa"/>
              <w:left w:w="100" w:type="dxa"/>
              <w:bottom w:w="80" w:type="dxa"/>
              <w:right w:w="100" w:type="dxa"/>
            </w:tcMar>
            <w:vAlign w:val="center"/>
          </w:tcPr>
          <w:p w14:paraId="732E4158"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Systematic review - Impact of AI on hospital admission prediction and flow optimization (2025)</w:t>
            </w:r>
          </w:p>
        </w:tc>
        <w:tc>
          <w:tcPr>
            <w:tcW w:w="1450" w:type="dxa"/>
            <w:shd w:val="clear" w:color="auto" w:fill="F2F5FB"/>
            <w:tcMar>
              <w:top w:w="80" w:type="dxa"/>
              <w:left w:w="100" w:type="dxa"/>
              <w:bottom w:w="80" w:type="dxa"/>
              <w:right w:w="100" w:type="dxa"/>
            </w:tcMar>
            <w:vAlign w:val="center"/>
          </w:tcPr>
          <w:p w14:paraId="508DB4E5"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Effectiveness of AI-assisted admission prediction on ED patient flow and resource allocation</w:t>
            </w:r>
          </w:p>
        </w:tc>
        <w:tc>
          <w:tcPr>
            <w:tcW w:w="1500" w:type="dxa"/>
            <w:shd w:val="clear" w:color="auto" w:fill="F2F5FB"/>
            <w:tcMar>
              <w:top w:w="80" w:type="dxa"/>
              <w:left w:w="100" w:type="dxa"/>
              <w:bottom w:w="80" w:type="dxa"/>
              <w:right w:w="100" w:type="dxa"/>
            </w:tcMar>
            <w:vAlign w:val="center"/>
          </w:tcPr>
          <w:p w14:paraId="67618CA1"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Systematic review of ML/AI admission-prediction studies across emergency departments</w:t>
            </w:r>
          </w:p>
        </w:tc>
        <w:tc>
          <w:tcPr>
            <w:tcW w:w="1350" w:type="dxa"/>
            <w:shd w:val="clear" w:color="auto" w:fill="F2F5FB"/>
            <w:tcMar>
              <w:top w:w="80" w:type="dxa"/>
              <w:left w:w="100" w:type="dxa"/>
              <w:bottom w:w="80" w:type="dxa"/>
              <w:right w:w="100" w:type="dxa"/>
            </w:tcMar>
            <w:vAlign w:val="center"/>
          </w:tcPr>
          <w:p w14:paraId="245CFBB8"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Pooled evidence from multiple published ED admission-prediction studies</w:t>
            </w:r>
          </w:p>
        </w:tc>
        <w:tc>
          <w:tcPr>
            <w:tcW w:w="1650" w:type="dxa"/>
            <w:shd w:val="clear" w:color="auto" w:fill="F2F5FB"/>
            <w:tcMar>
              <w:top w:w="80" w:type="dxa"/>
              <w:left w:w="100" w:type="dxa"/>
              <w:bottom w:w="80" w:type="dxa"/>
              <w:right w:w="100" w:type="dxa"/>
            </w:tcMar>
            <w:vAlign w:val="center"/>
          </w:tcPr>
          <w:p w14:paraId="1E3185A8"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AI-driven admission prediction reduced avoidable hospitalizations, optimized bed occupancy and reduced ED overcrowding</w:t>
            </w:r>
          </w:p>
        </w:tc>
        <w:tc>
          <w:tcPr>
            <w:tcW w:w="1500" w:type="dxa"/>
            <w:shd w:val="clear" w:color="auto" w:fill="F2F5FB"/>
            <w:tcMar>
              <w:top w:w="80" w:type="dxa"/>
              <w:left w:w="100" w:type="dxa"/>
              <w:bottom w:w="80" w:type="dxa"/>
              <w:right w:w="100" w:type="dxa"/>
            </w:tcMar>
            <w:vAlign w:val="center"/>
          </w:tcPr>
          <w:p w14:paraId="6CE14044"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Most underlying studies are retrospective and single-site; limited prospective, multi-site validation</w:t>
            </w:r>
          </w:p>
        </w:tc>
        <w:tc>
          <w:tcPr>
            <w:tcW w:w="1500" w:type="dxa"/>
            <w:shd w:val="clear" w:color="auto" w:fill="F2F5FB"/>
            <w:tcMar>
              <w:top w:w="80" w:type="dxa"/>
              <w:left w:w="100" w:type="dxa"/>
              <w:bottom w:w="80" w:type="dxa"/>
              <w:right w:w="100" w:type="dxa"/>
            </w:tcMar>
            <w:vAlign w:val="center"/>
          </w:tcPr>
          <w:p w14:paraId="186B606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Need for prospective, multi-hospital trials validating real-world clinical and operational impact</w:t>
            </w:r>
          </w:p>
        </w:tc>
      </w:tr>
      <w:tr w:rsidR="005F50A7" w:rsidRPr="00BF3B32" w14:paraId="605BB35E" w14:textId="77777777">
        <w:tc>
          <w:tcPr>
            <w:tcW w:w="1150" w:type="dxa"/>
            <w:tcMar>
              <w:top w:w="80" w:type="dxa"/>
              <w:left w:w="100" w:type="dxa"/>
              <w:bottom w:w="80" w:type="dxa"/>
              <w:right w:w="100" w:type="dxa"/>
            </w:tcMar>
            <w:vAlign w:val="center"/>
          </w:tcPr>
          <w:p w14:paraId="55235AF4"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 xml:space="preserve">Vural, </w:t>
            </w:r>
            <w:proofErr w:type="spellStart"/>
            <w:r w:rsidRPr="00BF3B32">
              <w:rPr>
                <w:rFonts w:ascii="Times New Roman" w:hAnsi="Times New Roman" w:cs="Times New Roman"/>
                <w:sz w:val="24"/>
                <w:szCs w:val="24"/>
              </w:rPr>
              <w:t>Ozaydin</w:t>
            </w:r>
            <w:proofErr w:type="spellEnd"/>
            <w:r w:rsidRPr="00BF3B32">
              <w:rPr>
                <w:rFonts w:ascii="Times New Roman" w:hAnsi="Times New Roman" w:cs="Times New Roman"/>
                <w:sz w:val="24"/>
                <w:szCs w:val="24"/>
              </w:rPr>
              <w:t>, Aram, Booth, Lindsey &amp; Ahmed (2025)</w:t>
            </w:r>
          </w:p>
        </w:tc>
        <w:tc>
          <w:tcPr>
            <w:tcW w:w="1450" w:type="dxa"/>
            <w:tcMar>
              <w:top w:w="80" w:type="dxa"/>
              <w:left w:w="100" w:type="dxa"/>
              <w:bottom w:w="80" w:type="dxa"/>
              <w:right w:w="100" w:type="dxa"/>
            </w:tcMar>
            <w:vAlign w:val="center"/>
          </w:tcPr>
          <w:p w14:paraId="48652D6A"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Predicting ED waiting-room occupancy to pre-empt overcrowding</w:t>
            </w:r>
          </w:p>
        </w:tc>
        <w:tc>
          <w:tcPr>
            <w:tcW w:w="1500" w:type="dxa"/>
            <w:tcMar>
              <w:top w:w="80" w:type="dxa"/>
              <w:left w:w="100" w:type="dxa"/>
              <w:bottom w:w="80" w:type="dxa"/>
              <w:right w:w="100" w:type="dxa"/>
            </w:tcMar>
            <w:vAlign w:val="center"/>
          </w:tcPr>
          <w:p w14:paraId="6C8C0F20"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Eleven ML/DL algorithms, including a time-series vision transformer (</w:t>
            </w:r>
            <w:proofErr w:type="spellStart"/>
            <w:r w:rsidRPr="00BF3B32">
              <w:rPr>
                <w:rFonts w:ascii="Times New Roman" w:hAnsi="Times New Roman" w:cs="Times New Roman"/>
                <w:sz w:val="24"/>
                <w:szCs w:val="24"/>
              </w:rPr>
              <w:t>TSiTPlus</w:t>
            </w:r>
            <w:proofErr w:type="spellEnd"/>
            <w:r w:rsidRPr="00BF3B32">
              <w:rPr>
                <w:rFonts w:ascii="Times New Roman" w:hAnsi="Times New Roman" w:cs="Times New Roman"/>
                <w:sz w:val="24"/>
                <w:szCs w:val="24"/>
              </w:rPr>
              <w:t>), compared for hourly and daily waiting-count forecasts</w:t>
            </w:r>
          </w:p>
        </w:tc>
        <w:tc>
          <w:tcPr>
            <w:tcW w:w="1350" w:type="dxa"/>
            <w:tcMar>
              <w:top w:w="80" w:type="dxa"/>
              <w:left w:w="100" w:type="dxa"/>
              <w:bottom w:w="80" w:type="dxa"/>
              <w:right w:w="100" w:type="dxa"/>
            </w:tcMar>
            <w:vAlign w:val="center"/>
          </w:tcPr>
          <w:p w14:paraId="542D33B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Operational ED data from a partner hospital in the southeastern United States, integrating internal and external features</w:t>
            </w:r>
          </w:p>
        </w:tc>
        <w:tc>
          <w:tcPr>
            <w:tcW w:w="1650" w:type="dxa"/>
            <w:tcMar>
              <w:top w:w="80" w:type="dxa"/>
              <w:left w:w="100" w:type="dxa"/>
              <w:bottom w:w="80" w:type="dxa"/>
              <w:right w:w="100" w:type="dxa"/>
            </w:tcMar>
            <w:vAlign w:val="center"/>
          </w:tcPr>
          <w:p w14:paraId="6526AFE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Best hourly model achieved MAE of about 4.19 patients; enabled proactive staffing and capacity decisions before congestion occurred</w:t>
            </w:r>
          </w:p>
        </w:tc>
        <w:tc>
          <w:tcPr>
            <w:tcW w:w="1500" w:type="dxa"/>
            <w:tcMar>
              <w:top w:w="80" w:type="dxa"/>
              <w:left w:w="100" w:type="dxa"/>
              <w:bottom w:w="80" w:type="dxa"/>
              <w:right w:w="100" w:type="dxa"/>
            </w:tcMar>
            <w:vAlign w:val="center"/>
          </w:tcPr>
          <w:p w14:paraId="18370D62"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Model trained on a single ED; generalizability to hospitals with different patient-flow patterns not established</w:t>
            </w:r>
          </w:p>
        </w:tc>
        <w:tc>
          <w:tcPr>
            <w:tcW w:w="1500" w:type="dxa"/>
            <w:tcMar>
              <w:top w:w="80" w:type="dxa"/>
              <w:left w:w="100" w:type="dxa"/>
              <w:bottom w:w="80" w:type="dxa"/>
              <w:right w:w="100" w:type="dxa"/>
            </w:tcMar>
            <w:vAlign w:val="center"/>
          </w:tcPr>
          <w:p w14:paraId="130921A0"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Cross-site validation and integration with hospital-wide (not just ED-level) resource optimization is lacking</w:t>
            </w:r>
          </w:p>
        </w:tc>
      </w:tr>
      <w:tr w:rsidR="005F50A7" w:rsidRPr="00BF3B32" w14:paraId="77A2059E" w14:textId="77777777">
        <w:tc>
          <w:tcPr>
            <w:tcW w:w="1150" w:type="dxa"/>
            <w:shd w:val="clear" w:color="auto" w:fill="F2F5FB"/>
            <w:tcMar>
              <w:top w:w="80" w:type="dxa"/>
              <w:left w:w="100" w:type="dxa"/>
              <w:bottom w:w="80" w:type="dxa"/>
              <w:right w:w="100" w:type="dxa"/>
            </w:tcMar>
            <w:vAlign w:val="center"/>
          </w:tcPr>
          <w:p w14:paraId="38FCF87D"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Moreno-Sanchez, Aalto &amp; van Gils (2024)</w:t>
            </w:r>
          </w:p>
        </w:tc>
        <w:tc>
          <w:tcPr>
            <w:tcW w:w="1450" w:type="dxa"/>
            <w:shd w:val="clear" w:color="auto" w:fill="F2F5FB"/>
            <w:tcMar>
              <w:top w:w="80" w:type="dxa"/>
              <w:left w:w="100" w:type="dxa"/>
              <w:bottom w:w="80" w:type="dxa"/>
              <w:right w:w="100" w:type="dxa"/>
            </w:tcMar>
            <w:vAlign w:val="center"/>
          </w:tcPr>
          <w:p w14:paraId="5BD596FE"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Predicting ED patient flow (admission likelihood and specialty of care) to guide early resource allocation</w:t>
            </w:r>
          </w:p>
        </w:tc>
        <w:tc>
          <w:tcPr>
            <w:tcW w:w="1500" w:type="dxa"/>
            <w:shd w:val="clear" w:color="auto" w:fill="F2F5FB"/>
            <w:tcMar>
              <w:top w:w="80" w:type="dxa"/>
              <w:left w:w="100" w:type="dxa"/>
              <w:bottom w:w="80" w:type="dxa"/>
              <w:right w:w="100" w:type="dxa"/>
            </w:tcMar>
            <w:vAlign w:val="center"/>
          </w:tcPr>
          <w:p w14:paraId="2C0E8855"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Explainable AI (XAI) models applied at the point of triage to predict admission and required specialty</w:t>
            </w:r>
          </w:p>
        </w:tc>
        <w:tc>
          <w:tcPr>
            <w:tcW w:w="1350" w:type="dxa"/>
            <w:shd w:val="clear" w:color="auto" w:fill="F2F5FB"/>
            <w:tcMar>
              <w:top w:w="80" w:type="dxa"/>
              <w:left w:w="100" w:type="dxa"/>
              <w:bottom w:w="80" w:type="dxa"/>
              <w:right w:w="100" w:type="dxa"/>
            </w:tcMar>
            <w:vAlign w:val="center"/>
          </w:tcPr>
          <w:p w14:paraId="4490FA99"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Triage-time ED patient records</w:t>
            </w:r>
          </w:p>
        </w:tc>
        <w:tc>
          <w:tcPr>
            <w:tcW w:w="1650" w:type="dxa"/>
            <w:shd w:val="clear" w:color="auto" w:fill="F2F5FB"/>
            <w:tcMar>
              <w:top w:w="80" w:type="dxa"/>
              <w:left w:w="100" w:type="dxa"/>
              <w:bottom w:w="80" w:type="dxa"/>
              <w:right w:w="100" w:type="dxa"/>
            </w:tcMar>
            <w:vAlign w:val="center"/>
          </w:tcPr>
          <w:p w14:paraId="08EA91A2"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Early, interpretable predictions allowed clinicians to trust and act on ML recommendations for resource allocation</w:t>
            </w:r>
          </w:p>
        </w:tc>
        <w:tc>
          <w:tcPr>
            <w:tcW w:w="1500" w:type="dxa"/>
            <w:shd w:val="clear" w:color="auto" w:fill="F2F5FB"/>
            <w:tcMar>
              <w:top w:w="80" w:type="dxa"/>
              <w:left w:w="100" w:type="dxa"/>
              <w:bottom w:w="80" w:type="dxa"/>
              <w:right w:w="100" w:type="dxa"/>
            </w:tcMar>
            <w:vAlign w:val="center"/>
          </w:tcPr>
          <w:p w14:paraId="29E1A35C"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 xml:space="preserve">Explainability improves trust but adds computational overhead; limited to prediction, not downstream scheduling </w:t>
            </w:r>
            <w:r w:rsidRPr="00BF3B32">
              <w:rPr>
                <w:rFonts w:ascii="Times New Roman" w:hAnsi="Times New Roman" w:cs="Times New Roman"/>
                <w:sz w:val="24"/>
                <w:szCs w:val="24"/>
              </w:rPr>
              <w:lastRenderedPageBreak/>
              <w:t>optimization</w:t>
            </w:r>
          </w:p>
        </w:tc>
        <w:tc>
          <w:tcPr>
            <w:tcW w:w="1500" w:type="dxa"/>
            <w:shd w:val="clear" w:color="auto" w:fill="F2F5FB"/>
            <w:tcMar>
              <w:top w:w="80" w:type="dxa"/>
              <w:left w:w="100" w:type="dxa"/>
              <w:bottom w:w="80" w:type="dxa"/>
              <w:right w:w="100" w:type="dxa"/>
            </w:tcMar>
            <w:vAlign w:val="center"/>
          </w:tcPr>
          <w:p w14:paraId="5044BA0B"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Little work links explainable predictions directly to automated bed/staff allocation decisions</w:t>
            </w:r>
          </w:p>
        </w:tc>
      </w:tr>
      <w:tr w:rsidR="005F50A7" w:rsidRPr="00BF3B32" w14:paraId="70EBCC4A" w14:textId="77777777">
        <w:tc>
          <w:tcPr>
            <w:tcW w:w="1150" w:type="dxa"/>
            <w:tcMar>
              <w:top w:w="80" w:type="dxa"/>
              <w:left w:w="100" w:type="dxa"/>
              <w:bottom w:w="80" w:type="dxa"/>
              <w:right w:w="100" w:type="dxa"/>
            </w:tcMar>
            <w:vAlign w:val="center"/>
          </w:tcPr>
          <w:p w14:paraId="1DBE857F"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Systematic review - Digital twins in healthcare IoT (2025)</w:t>
            </w:r>
          </w:p>
        </w:tc>
        <w:tc>
          <w:tcPr>
            <w:tcW w:w="1450" w:type="dxa"/>
            <w:tcMar>
              <w:top w:w="80" w:type="dxa"/>
              <w:left w:w="100" w:type="dxa"/>
              <w:bottom w:w="80" w:type="dxa"/>
              <w:right w:w="100" w:type="dxa"/>
            </w:tcMar>
            <w:vAlign w:val="center"/>
          </w:tcPr>
          <w:p w14:paraId="31141FCC"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Role of digital twin and IoT architectures in hospital resource management and patient-flow simulation</w:t>
            </w:r>
          </w:p>
        </w:tc>
        <w:tc>
          <w:tcPr>
            <w:tcW w:w="1500" w:type="dxa"/>
            <w:tcMar>
              <w:top w:w="80" w:type="dxa"/>
              <w:left w:w="100" w:type="dxa"/>
              <w:bottom w:w="80" w:type="dxa"/>
              <w:right w:w="100" w:type="dxa"/>
            </w:tcMar>
            <w:vAlign w:val="center"/>
          </w:tcPr>
          <w:p w14:paraId="6C149399"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Systematic review of digital-twin implementations integrating IoT sensor data with hospital information systems</w:t>
            </w:r>
          </w:p>
        </w:tc>
        <w:tc>
          <w:tcPr>
            <w:tcW w:w="1350" w:type="dxa"/>
            <w:tcMar>
              <w:top w:w="80" w:type="dxa"/>
              <w:left w:w="100" w:type="dxa"/>
              <w:bottom w:w="80" w:type="dxa"/>
              <w:right w:w="100" w:type="dxa"/>
            </w:tcMar>
            <w:vAlign w:val="center"/>
          </w:tcPr>
          <w:p w14:paraId="6C6F412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Multiple published digital-twin and IoT healthcare case studies</w:t>
            </w:r>
          </w:p>
        </w:tc>
        <w:tc>
          <w:tcPr>
            <w:tcW w:w="1650" w:type="dxa"/>
            <w:tcMar>
              <w:top w:w="80" w:type="dxa"/>
              <w:left w:w="100" w:type="dxa"/>
              <w:bottom w:w="80" w:type="dxa"/>
              <w:right w:w="100" w:type="dxa"/>
            </w:tcMar>
            <w:vAlign w:val="center"/>
          </w:tcPr>
          <w:p w14:paraId="032356A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Digital twins can simulate ED workflows, predict ICU bed occupancy and identify operational bottlenecks in real time</w:t>
            </w:r>
          </w:p>
        </w:tc>
        <w:tc>
          <w:tcPr>
            <w:tcW w:w="1500" w:type="dxa"/>
            <w:tcMar>
              <w:top w:w="80" w:type="dxa"/>
              <w:left w:w="100" w:type="dxa"/>
              <w:bottom w:w="80" w:type="dxa"/>
              <w:right w:w="100" w:type="dxa"/>
            </w:tcMar>
            <w:vAlign w:val="center"/>
          </w:tcPr>
          <w:p w14:paraId="7DC0044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Field remains an 'emerging topic' with limited large-scale, long-term deployment evidence and high integration cost</w:t>
            </w:r>
          </w:p>
        </w:tc>
        <w:tc>
          <w:tcPr>
            <w:tcW w:w="1500" w:type="dxa"/>
            <w:tcMar>
              <w:top w:w="80" w:type="dxa"/>
              <w:left w:w="100" w:type="dxa"/>
              <w:bottom w:w="80" w:type="dxa"/>
              <w:right w:w="100" w:type="dxa"/>
            </w:tcMar>
            <w:vAlign w:val="center"/>
          </w:tcPr>
          <w:p w14:paraId="4A71202A"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Absence of standardized, scalable digital-twin frameworks validated across diverse hospital settings</w:t>
            </w:r>
          </w:p>
        </w:tc>
      </w:tr>
      <w:tr w:rsidR="005F50A7" w:rsidRPr="00BF3B32" w14:paraId="13912CCA" w14:textId="77777777">
        <w:tc>
          <w:tcPr>
            <w:tcW w:w="1150" w:type="dxa"/>
            <w:shd w:val="clear" w:color="auto" w:fill="F2F5FB"/>
            <w:tcMar>
              <w:top w:w="80" w:type="dxa"/>
              <w:left w:w="100" w:type="dxa"/>
              <w:bottom w:w="80" w:type="dxa"/>
              <w:right w:w="100" w:type="dxa"/>
            </w:tcMar>
            <w:vAlign w:val="center"/>
          </w:tcPr>
          <w:p w14:paraId="2109155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Wei, Zhou, Zhang, Yuan, Gu, Luk, Brent, Clifton, Walker &amp; Eyre (2024)</w:t>
            </w:r>
          </w:p>
        </w:tc>
        <w:tc>
          <w:tcPr>
            <w:tcW w:w="1450" w:type="dxa"/>
            <w:shd w:val="clear" w:color="auto" w:fill="F2F5FB"/>
            <w:tcMar>
              <w:top w:w="80" w:type="dxa"/>
              <w:left w:w="100" w:type="dxa"/>
              <w:bottom w:w="80" w:type="dxa"/>
              <w:right w:w="100" w:type="dxa"/>
            </w:tcMar>
            <w:vAlign w:val="center"/>
          </w:tcPr>
          <w:p w14:paraId="7484782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Predicting individual patient and hospital-level discharge events within the next 24 hours</w:t>
            </w:r>
          </w:p>
        </w:tc>
        <w:tc>
          <w:tcPr>
            <w:tcW w:w="1500" w:type="dxa"/>
            <w:shd w:val="clear" w:color="auto" w:fill="F2F5FB"/>
            <w:tcMar>
              <w:top w:w="80" w:type="dxa"/>
              <w:left w:w="100" w:type="dxa"/>
              <w:bottom w:w="80" w:type="dxa"/>
              <w:right w:w="100" w:type="dxa"/>
            </w:tcMar>
            <w:vAlign w:val="center"/>
          </w:tcPr>
          <w:p w14:paraId="1902704C"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 xml:space="preserve">Separate </w:t>
            </w:r>
            <w:proofErr w:type="spellStart"/>
            <w:r w:rsidRPr="00BF3B32">
              <w:rPr>
                <w:rFonts w:ascii="Times New Roman" w:hAnsi="Times New Roman" w:cs="Times New Roman"/>
                <w:sz w:val="24"/>
                <w:szCs w:val="24"/>
              </w:rPr>
              <w:t>XGBoost</w:t>
            </w:r>
            <w:proofErr w:type="spellEnd"/>
            <w:r w:rsidRPr="00BF3B32">
              <w:rPr>
                <w:rFonts w:ascii="Times New Roman" w:hAnsi="Times New Roman" w:cs="Times New Roman"/>
                <w:sz w:val="24"/>
                <w:szCs w:val="24"/>
              </w:rPr>
              <w:t xml:space="preserve"> models for elective and emergency admissions using diverse EHR features</w:t>
            </w:r>
          </w:p>
        </w:tc>
        <w:tc>
          <w:tcPr>
            <w:tcW w:w="1350" w:type="dxa"/>
            <w:shd w:val="clear" w:color="auto" w:fill="F2F5FB"/>
            <w:tcMar>
              <w:top w:w="80" w:type="dxa"/>
              <w:left w:w="100" w:type="dxa"/>
              <w:bottom w:w="80" w:type="dxa"/>
              <w:right w:w="100" w:type="dxa"/>
            </w:tcMar>
            <w:vAlign w:val="center"/>
          </w:tcPr>
          <w:p w14:paraId="0D9ADE77"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 xml:space="preserve">EHR data (2017-2020) from four Oxfordshire, UK hospitals; 126,054 emergency and 45,609 planned </w:t>
            </w:r>
            <w:r w:rsidRPr="00BF3B32">
              <w:rPr>
                <w:rFonts w:ascii="Times New Roman" w:hAnsi="Times New Roman" w:cs="Times New Roman"/>
                <w:sz w:val="24"/>
                <w:szCs w:val="24"/>
              </w:rPr>
              <w:lastRenderedPageBreak/>
              <w:t>admissions</w:t>
            </w:r>
          </w:p>
        </w:tc>
        <w:tc>
          <w:tcPr>
            <w:tcW w:w="1650" w:type="dxa"/>
            <w:shd w:val="clear" w:color="auto" w:fill="F2F5FB"/>
            <w:tcMar>
              <w:top w:w="80" w:type="dxa"/>
              <w:left w:w="100" w:type="dxa"/>
              <w:bottom w:w="80" w:type="dxa"/>
              <w:right w:w="100" w:type="dxa"/>
            </w:tcMar>
            <w:vAlign w:val="center"/>
          </w:tcPr>
          <w:p w14:paraId="09554051"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lastRenderedPageBreak/>
              <w:t>Achieved AUROC of 0.87-0.88 for individual discharge prediction and MAE of 4.9-8.9% for hospital-level daily discharge totals</w:t>
            </w:r>
          </w:p>
        </w:tc>
        <w:tc>
          <w:tcPr>
            <w:tcW w:w="1500" w:type="dxa"/>
            <w:shd w:val="clear" w:color="auto" w:fill="F2F5FB"/>
            <w:tcMar>
              <w:top w:w="80" w:type="dxa"/>
              <w:left w:w="100" w:type="dxa"/>
              <w:bottom w:w="80" w:type="dxa"/>
              <w:right w:w="100" w:type="dxa"/>
            </w:tcMar>
            <w:vAlign w:val="center"/>
          </w:tcPr>
          <w:p w14:paraId="26912909"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Uses only structured EHR data; unstructured clinical notes not incorporated; performance lower for long-stay and deceased patients</w:t>
            </w:r>
          </w:p>
        </w:tc>
        <w:tc>
          <w:tcPr>
            <w:tcW w:w="1500" w:type="dxa"/>
            <w:shd w:val="clear" w:color="auto" w:fill="F2F5FB"/>
            <w:tcMar>
              <w:top w:w="80" w:type="dxa"/>
              <w:left w:w="100" w:type="dxa"/>
              <w:bottom w:w="80" w:type="dxa"/>
              <w:right w:w="100" w:type="dxa"/>
            </w:tcMar>
            <w:vAlign w:val="center"/>
          </w:tcPr>
          <w:p w14:paraId="29E00E4B"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t>Discharge prediction is not yet coupled with downstream bed-reallocation or discharge-workflow automation</w:t>
            </w:r>
          </w:p>
        </w:tc>
      </w:tr>
    </w:tbl>
    <w:p w14:paraId="436FF72E" w14:textId="77777777" w:rsidR="005F50A7" w:rsidRPr="00BF3B32" w:rsidRDefault="005F50A7" w:rsidP="00BF3B32">
      <w:pPr>
        <w:spacing w:after="200" w:line="360" w:lineRule="auto"/>
        <w:rPr>
          <w:rFonts w:ascii="Times New Roman" w:hAnsi="Times New Roman" w:cs="Times New Roman"/>
          <w:sz w:val="24"/>
          <w:szCs w:val="24"/>
        </w:rPr>
      </w:pPr>
    </w:p>
    <w:p w14:paraId="396A8996"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br w:type="page"/>
      </w:r>
    </w:p>
    <w:p w14:paraId="472D0C38"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lastRenderedPageBreak/>
        <w:t>6. Limitations and Challenges of Existing Approaches</w:t>
      </w:r>
    </w:p>
    <w:p w14:paraId="263A9A2F"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Fragmented, single-department focus: most bed-capacity and admission-prediction models (e.g., Mahmoudian et al., Schiele et al.) are optimized for one unit - ICU, OR, or a single ward - rather than the hospital as a coordinated whole.</w:t>
      </w:r>
    </w:p>
    <w:p w14:paraId="3139CEBF"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Limited real-time and IoT integration: classical forecasting studies rely on retrospective, batch-processed historical data rather than continuously streamed sensor or IoT telemetry on equipment, staff, and bed status.</w:t>
      </w:r>
    </w:p>
    <w:p w14:paraId="11BD4EC8"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Single-site validation and weak generalizability: several high-performing models (Vural et al., Schiele et al.) are trained and tested on data from only one hospital or ED, so their accuracy in other settings with different patient-flow patterns is unverified.</w:t>
      </w:r>
    </w:p>
    <w:p w14:paraId="2683F685"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Interpretability versus accuracy trade-off: simpler, interpretable models such as Prophet sacrifice some ability to model complex nonlinear, multi-ward interactions, while more accurate deep-learning and transformer-based models are harder for hospital administrators to interpret and trust.</w:t>
      </w:r>
    </w:p>
    <w:p w14:paraId="2F951812"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Prediction without action: several studies (Moreno-Sanchez et al., Wei et al.) stop at generating an accurate prediction and do not extend into automated scheduling, bed-reallocation, or staff-deployment decisions.</w:t>
      </w:r>
    </w:p>
    <w:p w14:paraId="05C93685"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Emerging and unstandardized digital-twin practice: IoT-based digital-twin systems for hospitals remain an early-stage research area with no standardized, scalable architecture validated across diverse hospital environments.</w:t>
      </w:r>
    </w:p>
    <w:p w14:paraId="133D46D7"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Data quality and completeness: most models depend exclusively on structured EHR or administrative data, omitting unstructured clinical notes and real-time device data that could improve predictive accuracy.</w:t>
      </w:r>
    </w:p>
    <w:p w14:paraId="30D35443"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7. Research Gap Analysis</w:t>
      </w:r>
    </w:p>
    <w:p w14:paraId="365463FC"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Across the reviewed literature, individual studies address isolated pieces of the hospital resource and patient-flow problem - bed-capacity forecasting, ED overcrowding prediction, discharge-time prediction, or IoT/digital-twin monitoring - but a clear gap exists in unifying these capabilities into a single, real-time, hospital-wide decision-support platform. Specifically:</w:t>
      </w:r>
    </w:p>
    <w:p w14:paraId="5E8C85A0"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 xml:space="preserve">No reviewed study integrates bed, staff, and equipment monitoring with admission, discharge, and interdepartmental transfer prediction within one coordinated system, as </w:t>
      </w:r>
      <w:proofErr w:type="spellStart"/>
      <w:r w:rsidRPr="00BF3B32">
        <w:rPr>
          <w:rFonts w:ascii="Times New Roman" w:hAnsi="Times New Roman" w:cs="Times New Roman"/>
          <w:sz w:val="24"/>
          <w:szCs w:val="24"/>
        </w:rPr>
        <w:t>MediSync</w:t>
      </w:r>
      <w:proofErr w:type="spellEnd"/>
      <w:r w:rsidRPr="00BF3B32">
        <w:rPr>
          <w:rFonts w:ascii="Times New Roman" w:hAnsi="Times New Roman" w:cs="Times New Roman"/>
          <w:sz w:val="24"/>
          <w:szCs w:val="24"/>
        </w:rPr>
        <w:t xml:space="preserve"> AI proposes.</w:t>
      </w:r>
    </w:p>
    <w:p w14:paraId="4FEF251D"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lastRenderedPageBreak/>
        <w:t>Real-time IoT sensor data is rarely combined with predictive analytics; most forecasting models rely purely on historical, retrospectively logged occupancy or admission records.</w:t>
      </w:r>
    </w:p>
    <w:p w14:paraId="246FA925"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Cross-site and cross-hospital validation is largely absent, leaving open questions about how well AI-driven flow-optimization systems generalize beyond the single institution where they were developed.</w:t>
      </w:r>
    </w:p>
    <w:p w14:paraId="6AB8C196"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Explainable predictions are seldom connected to automated or semi-automated resource-allocation actions, leaving a gap between accurate forecasting and actionable, closed-loop optimization.</w:t>
      </w:r>
    </w:p>
    <w:p w14:paraId="4CE78CD4" w14:textId="77777777" w:rsidR="005F50A7" w:rsidRPr="00BF3B32" w:rsidRDefault="00702A2E" w:rsidP="00BF3B32">
      <w:pPr>
        <w:pStyle w:val="ListParagraph"/>
        <w:numPr>
          <w:ilvl w:val="0"/>
          <w:numId w:val="3"/>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Digital-twin approaches for hospital-wide operations remain exploratory, with no widely validated, scalable framework suitable for direct adoption by hospital administrators.</w:t>
      </w:r>
    </w:p>
    <w:p w14:paraId="6A128C16"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8. Future Research Directions</w:t>
      </w:r>
    </w:p>
    <w:p w14:paraId="6495177C"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 xml:space="preserve">Develop unified, hospital-wide AI platforms - such as </w:t>
      </w:r>
      <w:proofErr w:type="spellStart"/>
      <w:r w:rsidRPr="00BF3B32">
        <w:rPr>
          <w:rFonts w:ascii="Times New Roman" w:hAnsi="Times New Roman" w:cs="Times New Roman"/>
          <w:sz w:val="24"/>
          <w:szCs w:val="24"/>
        </w:rPr>
        <w:t>MediSync</w:t>
      </w:r>
      <w:proofErr w:type="spellEnd"/>
      <w:r w:rsidRPr="00BF3B32">
        <w:rPr>
          <w:rFonts w:ascii="Times New Roman" w:hAnsi="Times New Roman" w:cs="Times New Roman"/>
          <w:sz w:val="24"/>
          <w:szCs w:val="24"/>
        </w:rPr>
        <w:t xml:space="preserve"> AI - that combine bed, staff, and equipment monitoring with predictive admission, discharge, and transfer models in a single decision-support layer.</w:t>
      </w:r>
    </w:p>
    <w:p w14:paraId="46B2D4AD"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Integrate real-time IoT sensor streams (bed sensors, equipment trackers, staff location systems) with predictive models to move from retrospective forecasting to continuous, live optimization.</w:t>
      </w:r>
    </w:p>
    <w:p w14:paraId="5595C883"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Conduct multi-hospital and multi-region validation studies to test the generalizability and robustness of AI-driven patient-flow and resource-allocation models.</w:t>
      </w:r>
    </w:p>
    <w:p w14:paraId="6E3A375B"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Combine explainable AI techniques with automated or semi-automated scheduling and bed-reallocation actions, closing the loop between prediction and operational response.</w:t>
      </w:r>
    </w:p>
    <w:p w14:paraId="4A6AA23B"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Advance digital-twin frameworks for hospitals into standardized, scalable architectures that can be deployed cost-effectively across hospitals of varying size and resource level.</w:t>
      </w:r>
    </w:p>
    <w:p w14:paraId="77DE9B28"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Incorporate unstructured data sources, such as clinical notes and real-time vital-sign streams, alongside structured EHR data to further improve prediction accuracy for admissions, discharge timing, and resource demand.</w:t>
      </w:r>
    </w:p>
    <w:p w14:paraId="31F332B0"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Design predictive-analytics dashboards specifically for emergency-preparedness and surge-capacity planning, extending day-to-day operational forecasting to disaster and pandemic scenarios.</w:t>
      </w:r>
    </w:p>
    <w:p w14:paraId="59EC45CE" w14:textId="77777777" w:rsidR="005F50A7" w:rsidRPr="00BF3B32" w:rsidRDefault="00702A2E" w:rsidP="00BF3B32">
      <w:pPr>
        <w:spacing w:line="360" w:lineRule="auto"/>
        <w:rPr>
          <w:rFonts w:ascii="Times New Roman" w:hAnsi="Times New Roman" w:cs="Times New Roman"/>
          <w:sz w:val="24"/>
          <w:szCs w:val="24"/>
        </w:rPr>
      </w:pPr>
      <w:r w:rsidRPr="00BF3B32">
        <w:rPr>
          <w:rFonts w:ascii="Times New Roman" w:hAnsi="Times New Roman" w:cs="Times New Roman"/>
          <w:sz w:val="24"/>
          <w:szCs w:val="24"/>
        </w:rPr>
        <w:br w:type="page"/>
      </w:r>
    </w:p>
    <w:p w14:paraId="583ECEB2"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lastRenderedPageBreak/>
        <w:t xml:space="preserve">9. Expected Outcomes of the Proposed </w:t>
      </w:r>
      <w:proofErr w:type="spellStart"/>
      <w:r w:rsidRPr="00BF3B32">
        <w:rPr>
          <w:rFonts w:ascii="Times New Roman" w:hAnsi="Times New Roman" w:cs="Times New Roman"/>
          <w:b/>
          <w:bCs/>
          <w:color w:val="auto"/>
          <w:sz w:val="24"/>
          <w:szCs w:val="24"/>
        </w:rPr>
        <w:t>MediSync</w:t>
      </w:r>
      <w:proofErr w:type="spellEnd"/>
      <w:r w:rsidRPr="00BF3B32">
        <w:rPr>
          <w:rFonts w:ascii="Times New Roman" w:hAnsi="Times New Roman" w:cs="Times New Roman"/>
          <w:b/>
          <w:bCs/>
          <w:color w:val="auto"/>
          <w:sz w:val="24"/>
          <w:szCs w:val="24"/>
        </w:rPr>
        <w:t xml:space="preserve"> AI System</w:t>
      </w:r>
    </w:p>
    <w:p w14:paraId="7C8C5ADA"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Reduced patient waiting times and treatment delays.</w:t>
      </w:r>
    </w:p>
    <w:p w14:paraId="2F865562"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Improved utilization of hospital beds, staff, and medical equipment.</w:t>
      </w:r>
    </w:p>
    <w:p w14:paraId="4F865190"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Enhanced patient flow across hospital departments.</w:t>
      </w:r>
    </w:p>
    <w:p w14:paraId="6EF3EDA8"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Increased operational efficiency through AI-driven resource optimization.</w:t>
      </w:r>
    </w:p>
    <w:p w14:paraId="1EF138E6"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Better decision-making using predictive analytics and real-time dashboards.</w:t>
      </w:r>
    </w:p>
    <w:p w14:paraId="27209491"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Higher patient satisfaction and improved quality of healthcare services.</w:t>
      </w:r>
    </w:p>
    <w:p w14:paraId="27F03D51"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Reduced hospital operational costs through optimized resource management.</w:t>
      </w:r>
    </w:p>
    <w:p w14:paraId="466D2092" w14:textId="77777777" w:rsidR="005F50A7" w:rsidRPr="00BF3B32" w:rsidRDefault="00702A2E" w:rsidP="00BF3B32">
      <w:pPr>
        <w:pStyle w:val="ListParagraph"/>
        <w:numPr>
          <w:ilvl w:val="0"/>
          <w:numId w:val="2"/>
        </w:numPr>
        <w:spacing w:after="100" w:line="360" w:lineRule="auto"/>
        <w:jc w:val="both"/>
        <w:rPr>
          <w:rFonts w:ascii="Times New Roman" w:hAnsi="Times New Roman" w:cs="Times New Roman"/>
          <w:sz w:val="24"/>
          <w:szCs w:val="24"/>
        </w:rPr>
      </w:pPr>
      <w:r w:rsidRPr="00BF3B32">
        <w:rPr>
          <w:rFonts w:ascii="Times New Roman" w:hAnsi="Times New Roman" w:cs="Times New Roman"/>
          <w:sz w:val="24"/>
          <w:szCs w:val="24"/>
        </w:rPr>
        <w:t>A scalable, intelligent hospital management system supporting smart healthcare initiatives.</w:t>
      </w:r>
    </w:p>
    <w:p w14:paraId="63875A34"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10. Conclusion</w:t>
      </w:r>
    </w:p>
    <w:p w14:paraId="5A9C5C93" w14:textId="77777777" w:rsidR="005F50A7" w:rsidRPr="00BF3B32" w:rsidRDefault="00702A2E" w:rsidP="00BF3B32">
      <w:pPr>
        <w:spacing w:after="160" w:line="360" w:lineRule="auto"/>
        <w:jc w:val="both"/>
        <w:rPr>
          <w:rFonts w:ascii="Times New Roman" w:hAnsi="Times New Roman" w:cs="Times New Roman"/>
          <w:sz w:val="24"/>
          <w:szCs w:val="24"/>
        </w:rPr>
      </w:pPr>
      <w:r w:rsidRPr="00BF3B32">
        <w:rPr>
          <w:rFonts w:ascii="Times New Roman" w:hAnsi="Times New Roman" w:cs="Times New Roman"/>
          <w:sz w:val="24"/>
          <w:szCs w:val="24"/>
        </w:rPr>
        <w:t xml:space="preserve">The reviewed literature confirms strong and growing evidence that AI, machine learning, and IoT-enabled digital-twin technologies can meaningfully improve hospital bed-capacity forecasting, emergency-department flow, and discharge-time prediction. However, existing solutions remain fragmented across individual departments, rely largely on retrospective rather than real-time data, and are rarely validated across multiple hospital sites. The proposed </w:t>
      </w:r>
      <w:proofErr w:type="spellStart"/>
      <w:r w:rsidRPr="00BF3B32">
        <w:rPr>
          <w:rFonts w:ascii="Times New Roman" w:hAnsi="Times New Roman" w:cs="Times New Roman"/>
          <w:sz w:val="24"/>
          <w:szCs w:val="24"/>
        </w:rPr>
        <w:t>MediSync</w:t>
      </w:r>
      <w:proofErr w:type="spellEnd"/>
      <w:r w:rsidRPr="00BF3B32">
        <w:rPr>
          <w:rFonts w:ascii="Times New Roman" w:hAnsi="Times New Roman" w:cs="Times New Roman"/>
          <w:sz w:val="24"/>
          <w:szCs w:val="24"/>
        </w:rPr>
        <w:t xml:space="preserve"> AI platform directly addresses these gaps by unifying real-time resource monitoring, predictive analytics, and intelligent scheduling into a single, scalable hospital resource and patient-flow management system, aligning with the future research directions identified in this survey.</w:t>
      </w:r>
    </w:p>
    <w:p w14:paraId="3B984B85" w14:textId="77777777" w:rsidR="005F50A7" w:rsidRPr="00BF3B32" w:rsidRDefault="00702A2E" w:rsidP="00BF3B32">
      <w:pPr>
        <w:pStyle w:val="Heading1"/>
        <w:spacing w:before="320" w:after="160" w:line="360" w:lineRule="auto"/>
        <w:rPr>
          <w:rFonts w:ascii="Times New Roman" w:hAnsi="Times New Roman" w:cs="Times New Roman"/>
          <w:color w:val="auto"/>
          <w:sz w:val="24"/>
          <w:szCs w:val="24"/>
        </w:rPr>
      </w:pPr>
      <w:r w:rsidRPr="00BF3B32">
        <w:rPr>
          <w:rFonts w:ascii="Times New Roman" w:hAnsi="Times New Roman" w:cs="Times New Roman"/>
          <w:b/>
          <w:bCs/>
          <w:color w:val="auto"/>
          <w:sz w:val="24"/>
          <w:szCs w:val="24"/>
        </w:rPr>
        <w:t>11. References</w:t>
      </w:r>
    </w:p>
    <w:p w14:paraId="5C95F82B"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[1] Y. Mahmoudian, A. Nemati, and A. S. Safaei, "A forecasting approach for hospital bed capacity planning using machine learning and deep learning with application to public hospitals," Healthcare Analytics, vol. 4, Art. no. 100245, 2023.</w:t>
      </w:r>
    </w:p>
    <w:p w14:paraId="005E7513" w14:textId="7C75DA7C"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[2] P. Schiele, N. Koperna, and T. Brunner, "Predicting intensive care unit bed occupancy for integrated operating room scheduling via neural networks," Naval Research Logistics, vol. 68, no. 7, pp. 1017-1033, 202</w:t>
      </w:r>
      <w:r w:rsidR="00433B38">
        <w:rPr>
          <w:rFonts w:ascii="Times New Roman" w:hAnsi="Times New Roman" w:cs="Times New Roman"/>
          <w:sz w:val="24"/>
          <w:szCs w:val="24"/>
        </w:rPr>
        <w:t>5</w:t>
      </w:r>
      <w:r w:rsidRPr="00BF3B32">
        <w:rPr>
          <w:rFonts w:ascii="Times New Roman" w:hAnsi="Times New Roman" w:cs="Times New Roman"/>
          <w:sz w:val="24"/>
          <w:szCs w:val="24"/>
        </w:rPr>
        <w:t>.</w:t>
      </w:r>
    </w:p>
    <w:p w14:paraId="42BDF926"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 xml:space="preserve">[3] M. Fattouh, L. Lyssenko, F. </w:t>
      </w:r>
      <w:proofErr w:type="spellStart"/>
      <w:r w:rsidRPr="00BF3B32">
        <w:rPr>
          <w:rFonts w:ascii="Times New Roman" w:hAnsi="Times New Roman" w:cs="Times New Roman"/>
          <w:sz w:val="24"/>
          <w:szCs w:val="24"/>
        </w:rPr>
        <w:t>Heilmeyer</w:t>
      </w:r>
      <w:proofErr w:type="spellEnd"/>
      <w:r w:rsidRPr="00BF3B32">
        <w:rPr>
          <w:rFonts w:ascii="Times New Roman" w:hAnsi="Times New Roman" w:cs="Times New Roman"/>
          <w:sz w:val="24"/>
          <w:szCs w:val="24"/>
        </w:rPr>
        <w:t>, T. Ball, and C. Haverkamp, "Forecasting hospital bed occupancy: a time series approach with Prophet," BMC Medical Informatics and Decision Making, 2026.</w:t>
      </w:r>
    </w:p>
    <w:p w14:paraId="0D0BF6D5"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lastRenderedPageBreak/>
        <w:t>[4] "Impact of artificial intelligence on hospital admission prediction and flow optimization in health services: a systematic review," Journal reference, 2025.</w:t>
      </w:r>
    </w:p>
    <w:p w14:paraId="1F090AF2"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 xml:space="preserve">[5] O. Vural, B. </w:t>
      </w:r>
      <w:proofErr w:type="spellStart"/>
      <w:r w:rsidRPr="00BF3B32">
        <w:rPr>
          <w:rFonts w:ascii="Times New Roman" w:hAnsi="Times New Roman" w:cs="Times New Roman"/>
          <w:sz w:val="24"/>
          <w:szCs w:val="24"/>
        </w:rPr>
        <w:t>Ozaydin</w:t>
      </w:r>
      <w:proofErr w:type="spellEnd"/>
      <w:r w:rsidRPr="00BF3B32">
        <w:rPr>
          <w:rFonts w:ascii="Times New Roman" w:hAnsi="Times New Roman" w:cs="Times New Roman"/>
          <w:sz w:val="24"/>
          <w:szCs w:val="24"/>
        </w:rPr>
        <w:t>, K. Y. Aram, J. Booth, B. F. Lindsey, and A. Ahmed, "An artificial intelligence-based framework for predicting emergency department overcrowding: development and evaluation study," JMIR Medical Informatics, vol. 13, Art. no. e73960, 2025.</w:t>
      </w:r>
    </w:p>
    <w:p w14:paraId="38F596EB"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[6] P. A. Moreno-Sanchez, M. Aalto, and M. van Gils, "Prediction of patient flow in the emergency department using explainable artificial intelligence," DIGITAL HEALTH, vol. 10, 2024.</w:t>
      </w:r>
    </w:p>
    <w:p w14:paraId="40AB8745"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[7] "Digital twins in healthcare IoT: A systematic review," Healthcare Analytics / related journal, 2025.</w:t>
      </w:r>
    </w:p>
    <w:p w14:paraId="0F712A00" w14:textId="77777777" w:rsidR="005F50A7" w:rsidRPr="00BF3B32" w:rsidRDefault="00702A2E" w:rsidP="00BF3B32">
      <w:pPr>
        <w:spacing w:after="140" w:line="360" w:lineRule="auto"/>
        <w:ind w:left="450" w:hanging="450"/>
        <w:jc w:val="both"/>
        <w:rPr>
          <w:rFonts w:ascii="Times New Roman" w:hAnsi="Times New Roman" w:cs="Times New Roman"/>
          <w:sz w:val="24"/>
          <w:szCs w:val="24"/>
        </w:rPr>
      </w:pPr>
      <w:r w:rsidRPr="00BF3B32">
        <w:rPr>
          <w:rFonts w:ascii="Times New Roman" w:hAnsi="Times New Roman" w:cs="Times New Roman"/>
          <w:sz w:val="24"/>
          <w:szCs w:val="24"/>
        </w:rPr>
        <w:t>[8] J. Wei, J. Zhou, Z. Zhang, K. Yuan, Q. Gu, A. Luk, A. J. Brent, D. A. Clifton, A. S. Walker, and D. W. Eyre, "Predicting individual patient and hospital-level discharge using machine learning," Communications Medicine, vol. 4, Art. no. 236, 2024.</w:t>
      </w:r>
    </w:p>
    <w:sectPr w:rsidR="005F50A7" w:rsidRPr="00BF3B32" w:rsidSect="00BF3B32">
      <w:pgSz w:w="12240" w:h="15840"/>
      <w:pgMar w:top="1080" w:right="1200" w:bottom="1080" w:left="12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45D4A"/>
    <w:multiLevelType w:val="hybridMultilevel"/>
    <w:tmpl w:val="339084FC"/>
    <w:lvl w:ilvl="0" w:tplc="3222A0E4">
      <w:start w:val="1"/>
      <w:numFmt w:val="decimal"/>
      <w:lvlText w:val="%1."/>
      <w:lvlJc w:val="left"/>
      <w:pPr>
        <w:ind w:left="450" w:hanging="300"/>
      </w:pPr>
    </w:lvl>
    <w:lvl w:ilvl="1" w:tplc="CDE20A3E">
      <w:numFmt w:val="decimal"/>
      <w:lvlText w:val=""/>
      <w:lvlJc w:val="left"/>
    </w:lvl>
    <w:lvl w:ilvl="2" w:tplc="657486F4">
      <w:numFmt w:val="decimal"/>
      <w:lvlText w:val=""/>
      <w:lvlJc w:val="left"/>
    </w:lvl>
    <w:lvl w:ilvl="3" w:tplc="BC84B27A">
      <w:numFmt w:val="decimal"/>
      <w:lvlText w:val=""/>
      <w:lvlJc w:val="left"/>
    </w:lvl>
    <w:lvl w:ilvl="4" w:tplc="822AF056">
      <w:numFmt w:val="decimal"/>
      <w:lvlText w:val=""/>
      <w:lvlJc w:val="left"/>
    </w:lvl>
    <w:lvl w:ilvl="5" w:tplc="AC245D74">
      <w:numFmt w:val="decimal"/>
      <w:lvlText w:val=""/>
      <w:lvlJc w:val="left"/>
    </w:lvl>
    <w:lvl w:ilvl="6" w:tplc="BEE4C150">
      <w:numFmt w:val="decimal"/>
      <w:lvlText w:val=""/>
      <w:lvlJc w:val="left"/>
    </w:lvl>
    <w:lvl w:ilvl="7" w:tplc="D27A332C">
      <w:numFmt w:val="decimal"/>
      <w:lvlText w:val=""/>
      <w:lvlJc w:val="left"/>
    </w:lvl>
    <w:lvl w:ilvl="8" w:tplc="A09C233C">
      <w:numFmt w:val="decimal"/>
      <w:lvlText w:val=""/>
      <w:lvlJc w:val="left"/>
    </w:lvl>
  </w:abstractNum>
  <w:abstractNum w:abstractNumId="1" w15:restartNumberingAfterBreak="0">
    <w:nsid w:val="67BC7117"/>
    <w:multiLevelType w:val="hybridMultilevel"/>
    <w:tmpl w:val="A1EC51C8"/>
    <w:lvl w:ilvl="0" w:tplc="CDBC5180">
      <w:start w:val="1"/>
      <w:numFmt w:val="bullet"/>
      <w:lvlText w:val="•"/>
      <w:lvlJc w:val="left"/>
      <w:pPr>
        <w:ind w:left="450" w:hanging="260"/>
      </w:pPr>
    </w:lvl>
    <w:lvl w:ilvl="1" w:tplc="02A01B3C">
      <w:numFmt w:val="decimal"/>
      <w:lvlText w:val=""/>
      <w:lvlJc w:val="left"/>
    </w:lvl>
    <w:lvl w:ilvl="2" w:tplc="2A648BE4">
      <w:numFmt w:val="decimal"/>
      <w:lvlText w:val=""/>
      <w:lvlJc w:val="left"/>
    </w:lvl>
    <w:lvl w:ilvl="3" w:tplc="0DDCF886">
      <w:numFmt w:val="decimal"/>
      <w:lvlText w:val=""/>
      <w:lvlJc w:val="left"/>
    </w:lvl>
    <w:lvl w:ilvl="4" w:tplc="C4FA1E3E">
      <w:numFmt w:val="decimal"/>
      <w:lvlText w:val=""/>
      <w:lvlJc w:val="left"/>
    </w:lvl>
    <w:lvl w:ilvl="5" w:tplc="AF64099A">
      <w:numFmt w:val="decimal"/>
      <w:lvlText w:val=""/>
      <w:lvlJc w:val="left"/>
    </w:lvl>
    <w:lvl w:ilvl="6" w:tplc="DE5AE264">
      <w:numFmt w:val="decimal"/>
      <w:lvlText w:val=""/>
      <w:lvlJc w:val="left"/>
    </w:lvl>
    <w:lvl w:ilvl="7" w:tplc="C46ABAA6">
      <w:numFmt w:val="decimal"/>
      <w:lvlText w:val=""/>
      <w:lvlJc w:val="left"/>
    </w:lvl>
    <w:lvl w:ilvl="8" w:tplc="1F7091A8">
      <w:numFmt w:val="decimal"/>
      <w:lvlText w:val=""/>
      <w:lvlJc w:val="left"/>
    </w:lvl>
  </w:abstractNum>
  <w:abstractNum w:abstractNumId="2" w15:restartNumberingAfterBreak="0">
    <w:nsid w:val="7039063E"/>
    <w:multiLevelType w:val="hybridMultilevel"/>
    <w:tmpl w:val="2E7EEC1A"/>
    <w:lvl w:ilvl="0" w:tplc="240E6DFE">
      <w:start w:val="1"/>
      <w:numFmt w:val="bullet"/>
      <w:lvlText w:val="●"/>
      <w:lvlJc w:val="left"/>
      <w:pPr>
        <w:ind w:left="720" w:hanging="360"/>
      </w:pPr>
    </w:lvl>
    <w:lvl w:ilvl="1" w:tplc="28188AA2">
      <w:start w:val="1"/>
      <w:numFmt w:val="bullet"/>
      <w:lvlText w:val="○"/>
      <w:lvlJc w:val="left"/>
      <w:pPr>
        <w:ind w:left="1440" w:hanging="360"/>
      </w:pPr>
    </w:lvl>
    <w:lvl w:ilvl="2" w:tplc="FF724610">
      <w:start w:val="1"/>
      <w:numFmt w:val="bullet"/>
      <w:lvlText w:val="■"/>
      <w:lvlJc w:val="left"/>
      <w:pPr>
        <w:ind w:left="2160" w:hanging="360"/>
      </w:pPr>
    </w:lvl>
    <w:lvl w:ilvl="3" w:tplc="56A68500">
      <w:start w:val="1"/>
      <w:numFmt w:val="bullet"/>
      <w:lvlText w:val="●"/>
      <w:lvlJc w:val="left"/>
      <w:pPr>
        <w:ind w:left="2880" w:hanging="360"/>
      </w:pPr>
    </w:lvl>
    <w:lvl w:ilvl="4" w:tplc="B0CE6D2C">
      <w:start w:val="1"/>
      <w:numFmt w:val="bullet"/>
      <w:lvlText w:val="○"/>
      <w:lvlJc w:val="left"/>
      <w:pPr>
        <w:ind w:left="3600" w:hanging="360"/>
      </w:pPr>
    </w:lvl>
    <w:lvl w:ilvl="5" w:tplc="D2DE17E4">
      <w:start w:val="1"/>
      <w:numFmt w:val="bullet"/>
      <w:lvlText w:val="■"/>
      <w:lvlJc w:val="left"/>
      <w:pPr>
        <w:ind w:left="4320" w:hanging="360"/>
      </w:pPr>
    </w:lvl>
    <w:lvl w:ilvl="6" w:tplc="C84A4E8E">
      <w:start w:val="1"/>
      <w:numFmt w:val="bullet"/>
      <w:lvlText w:val="●"/>
      <w:lvlJc w:val="left"/>
      <w:pPr>
        <w:ind w:left="5040" w:hanging="360"/>
      </w:pPr>
    </w:lvl>
    <w:lvl w:ilvl="7" w:tplc="26062B70">
      <w:start w:val="1"/>
      <w:numFmt w:val="bullet"/>
      <w:lvlText w:val="●"/>
      <w:lvlJc w:val="left"/>
      <w:pPr>
        <w:ind w:left="5760" w:hanging="360"/>
      </w:pPr>
    </w:lvl>
    <w:lvl w:ilvl="8" w:tplc="CE4E107A">
      <w:start w:val="1"/>
      <w:numFmt w:val="bullet"/>
      <w:lvlText w:val="●"/>
      <w:lvlJc w:val="left"/>
      <w:pPr>
        <w:ind w:left="6480" w:hanging="360"/>
      </w:pPr>
    </w:lvl>
  </w:abstractNum>
  <w:num w:numId="1" w16cid:durableId="1752578656">
    <w:abstractNumId w:val="2"/>
    <w:lvlOverride w:ilvl="0">
      <w:startOverride w:val="1"/>
    </w:lvlOverride>
  </w:num>
  <w:num w:numId="2" w16cid:durableId="1502888579">
    <w:abstractNumId w:val="0"/>
    <w:lvlOverride w:ilvl="0">
      <w:startOverride w:val="1"/>
    </w:lvlOverride>
  </w:num>
  <w:num w:numId="3" w16cid:durableId="21392577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0A7"/>
    <w:rsid w:val="002C5EC2"/>
    <w:rsid w:val="00433B38"/>
    <w:rsid w:val="005F50A7"/>
    <w:rsid w:val="006F2FC8"/>
    <w:rsid w:val="00702A2E"/>
    <w:rsid w:val="00BF3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7DEA"/>
  <w15:docId w15:val="{2A39A091-A0FA-495A-ABCC-A4719AA7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3642</Words>
  <Characters>20765</Characters>
  <Application>Microsoft Office Word</Application>
  <DocSecurity>0</DocSecurity>
  <Lines>173</Lines>
  <Paragraphs>48</Paragraphs>
  <ScaleCrop>false</ScaleCrop>
  <Company/>
  <LinksUpToDate>false</LinksUpToDate>
  <CharactersWithSpaces>24359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maniyam</cp:lastModifiedBy>
  <cp:revision>2</cp:revision>
  <dcterms:created xsi:type="dcterms:W3CDTF">2026-08-24T03:20:00Z</dcterms:created>
  <dcterms:modified xsi:type="dcterms:W3CDTF">2026-08-24T03:20:00Z</dcterms:modified>
</cp:coreProperties>
</file>