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15FCB" w14:textId="77777777" w:rsidR="005F50A7" w:rsidRPr="00BF3B32" w:rsidRDefault="00702A2E" w:rsidP="00BF3B32">
      <w:pPr>
        <w:spacing w:after="40" w:line="360" w:lineRule="auto"/>
        <w:jc w:val="center"/>
        <w:rPr>
          <w:rFonts w:ascii="Times New Roman" w:hAnsi="Times New Roman" w:cs="Times New Roman"/>
          <w:sz w:val="24"/>
          <w:szCs w:val="24"/>
        </w:rPr>
      </w:pPr>
      <w:r w:rsidRPr="00BF3B32">
        <w:rPr>
          <w:rFonts w:ascii="Times New Roman" w:hAnsi="Times New Roman" w:cs="Times New Roman"/>
          <w:b/>
          <w:bCs/>
          <w:sz w:val="24"/>
          <w:szCs w:val="24"/>
        </w:rPr>
        <w:t>SIMATS ENGINEERING (SAVEETHA SCHOOL OF ENGINEERING)</w:t>
      </w:r>
    </w:p>
    <w:p w14:paraId="7754C416" w14:textId="77777777" w:rsidR="005F50A7" w:rsidRPr="00BF3B32" w:rsidRDefault="00702A2E" w:rsidP="00BF3B32">
      <w:pPr>
        <w:spacing w:after="40" w:line="360" w:lineRule="auto"/>
        <w:jc w:val="center"/>
        <w:rPr>
          <w:rFonts w:ascii="Times New Roman" w:hAnsi="Times New Roman" w:cs="Times New Roman"/>
          <w:sz w:val="24"/>
          <w:szCs w:val="24"/>
        </w:rPr>
      </w:pPr>
      <w:r w:rsidRPr="00BF3B32">
        <w:rPr>
          <w:rFonts w:ascii="Times New Roman" w:hAnsi="Times New Roman" w:cs="Times New Roman"/>
          <w:b/>
          <w:bCs/>
          <w:sz w:val="24"/>
          <w:szCs w:val="24"/>
        </w:rPr>
        <w:t>Department of Computer Science and Engineering</w:t>
      </w:r>
    </w:p>
    <w:p w14:paraId="09F37BED" w14:textId="77777777" w:rsidR="005F50A7" w:rsidRPr="00BF3B32" w:rsidRDefault="00702A2E" w:rsidP="00BF3B32">
      <w:pPr>
        <w:spacing w:after="300" w:line="360" w:lineRule="auto"/>
        <w:jc w:val="center"/>
        <w:rPr>
          <w:rFonts w:ascii="Times New Roman" w:hAnsi="Times New Roman" w:cs="Times New Roman"/>
          <w:sz w:val="24"/>
          <w:szCs w:val="24"/>
        </w:rPr>
      </w:pPr>
      <w:r w:rsidRPr="00BF3B32">
        <w:rPr>
          <w:rFonts w:ascii="Times New Roman" w:hAnsi="Times New Roman" w:cs="Times New Roman"/>
          <w:b/>
          <w:bCs/>
          <w:sz w:val="24"/>
          <w:szCs w:val="24"/>
        </w:rPr>
        <w:t>CO5 Assessment Tool 1 - Research Paper Review / Literature Survey</w:t>
      </w:r>
    </w:p>
    <w:p w14:paraId="5CE5F75B" w14:textId="77777777" w:rsidR="005F50A7" w:rsidRPr="00BF3B32" w:rsidRDefault="00702A2E" w:rsidP="00BF3B32">
      <w:pPr>
        <w:spacing w:after="60" w:line="360" w:lineRule="auto"/>
        <w:jc w:val="center"/>
        <w:rPr>
          <w:rFonts w:ascii="Times New Roman" w:hAnsi="Times New Roman" w:cs="Times New Roman"/>
          <w:sz w:val="24"/>
          <w:szCs w:val="24"/>
        </w:rPr>
      </w:pPr>
      <w:r w:rsidRPr="00BF3B32">
        <w:rPr>
          <w:rFonts w:ascii="Times New Roman" w:hAnsi="Times New Roman" w:cs="Times New Roman"/>
          <w:b/>
          <w:bCs/>
          <w:sz w:val="24"/>
          <w:szCs w:val="24"/>
        </w:rPr>
        <w:t>RESEARCH PAPER REVIEW / LITERATURE SURVEY REPORT</w:t>
      </w:r>
    </w:p>
    <w:p w14:paraId="7D4F4A1A" w14:textId="77777777" w:rsidR="005F50A7" w:rsidRPr="00BF3B32" w:rsidRDefault="00702A2E" w:rsidP="00BF3B32">
      <w:pPr>
        <w:spacing w:after="300" w:line="360" w:lineRule="auto"/>
        <w:jc w:val="center"/>
        <w:rPr>
          <w:rFonts w:ascii="Times New Roman" w:hAnsi="Times New Roman" w:cs="Times New Roman"/>
          <w:sz w:val="24"/>
          <w:szCs w:val="24"/>
        </w:rPr>
      </w:pPr>
      <w:r w:rsidRPr="00BF3B32">
        <w:rPr>
          <w:rFonts w:ascii="Times New Roman" w:hAnsi="Times New Roman" w:cs="Times New Roman"/>
          <w:b/>
          <w:bCs/>
          <w:i/>
          <w:iCs/>
          <w:sz w:val="24"/>
          <w:szCs w:val="24"/>
        </w:rPr>
        <w:t xml:space="preserve">Problem Statement 36: </w:t>
      </w:r>
      <w:proofErr w:type="spellStart"/>
      <w:r w:rsidRPr="00BF3B32">
        <w:rPr>
          <w:rFonts w:ascii="Times New Roman" w:hAnsi="Times New Roman" w:cs="Times New Roman"/>
          <w:b/>
          <w:bCs/>
          <w:i/>
          <w:iCs/>
          <w:sz w:val="24"/>
          <w:szCs w:val="24"/>
        </w:rPr>
        <w:t>MediSync</w:t>
      </w:r>
      <w:proofErr w:type="spellEnd"/>
      <w:r w:rsidRPr="00BF3B32">
        <w:rPr>
          <w:rFonts w:ascii="Times New Roman" w:hAnsi="Times New Roman" w:cs="Times New Roman"/>
          <w:b/>
          <w:bCs/>
          <w:i/>
          <w:iCs/>
          <w:sz w:val="24"/>
          <w:szCs w:val="24"/>
        </w:rPr>
        <w:t xml:space="preserve"> AI - Intelligent Hospital Resource and Patient Flow Management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F50A7" w:rsidRPr="00BF3B32" w14:paraId="286A043D" w14:textId="77777777">
        <w:tblPrEx>
          <w:tblCellMar>
            <w:top w:w="0" w:type="dxa"/>
            <w:bottom w:w="0" w:type="dxa"/>
          </w:tblCellMar>
        </w:tblPrEx>
        <w:tc>
          <w:tcPr>
            <w:tcW w:w="3120" w:type="dxa"/>
            <w:shd w:val="clear" w:color="auto" w:fill="D9E2F3"/>
            <w:tcMar>
              <w:top w:w="80" w:type="dxa"/>
              <w:left w:w="100" w:type="dxa"/>
              <w:bottom w:w="80" w:type="dxa"/>
              <w:right w:w="100" w:type="dxa"/>
            </w:tcMar>
            <w:vAlign w:val="center"/>
          </w:tcPr>
          <w:p w14:paraId="65DAC4CC"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Course Code</w:t>
            </w:r>
          </w:p>
        </w:tc>
        <w:tc>
          <w:tcPr>
            <w:tcW w:w="6240" w:type="dxa"/>
            <w:tcMar>
              <w:top w:w="80" w:type="dxa"/>
              <w:left w:w="100" w:type="dxa"/>
              <w:bottom w:w="80" w:type="dxa"/>
              <w:right w:w="100" w:type="dxa"/>
            </w:tcMar>
            <w:vAlign w:val="center"/>
          </w:tcPr>
          <w:p w14:paraId="14BCC1F8" w14:textId="3473166E"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CSA10</w:t>
            </w:r>
            <w:r w:rsidR="00BF3B32" w:rsidRPr="00BF3B32">
              <w:rPr>
                <w:rFonts w:ascii="Times New Roman" w:hAnsi="Times New Roman" w:cs="Times New Roman"/>
                <w:sz w:val="24"/>
                <w:szCs w:val="24"/>
              </w:rPr>
              <w:t>12</w:t>
            </w:r>
          </w:p>
        </w:tc>
      </w:tr>
      <w:tr w:rsidR="005F50A7" w:rsidRPr="00BF3B32" w14:paraId="73CB9A9B" w14:textId="77777777">
        <w:tblPrEx>
          <w:tblCellMar>
            <w:top w:w="0" w:type="dxa"/>
            <w:bottom w:w="0" w:type="dxa"/>
          </w:tblCellMar>
        </w:tblPrEx>
        <w:tc>
          <w:tcPr>
            <w:tcW w:w="3120" w:type="dxa"/>
            <w:shd w:val="clear" w:color="auto" w:fill="D9E2F3"/>
            <w:tcMar>
              <w:top w:w="80" w:type="dxa"/>
              <w:left w:w="100" w:type="dxa"/>
              <w:bottom w:w="80" w:type="dxa"/>
              <w:right w:w="100" w:type="dxa"/>
            </w:tcMar>
            <w:vAlign w:val="center"/>
          </w:tcPr>
          <w:p w14:paraId="06315408"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Course Title</w:t>
            </w:r>
          </w:p>
        </w:tc>
        <w:tc>
          <w:tcPr>
            <w:tcW w:w="6240" w:type="dxa"/>
            <w:tcMar>
              <w:top w:w="80" w:type="dxa"/>
              <w:left w:w="100" w:type="dxa"/>
              <w:bottom w:w="80" w:type="dxa"/>
              <w:right w:w="100" w:type="dxa"/>
            </w:tcMar>
            <w:vAlign w:val="center"/>
          </w:tcPr>
          <w:p w14:paraId="2D716F67"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Software Engineering</w:t>
            </w:r>
          </w:p>
        </w:tc>
      </w:tr>
      <w:tr w:rsidR="005F50A7" w:rsidRPr="00BF3B32" w14:paraId="4511F46E" w14:textId="77777777">
        <w:tblPrEx>
          <w:tblCellMar>
            <w:top w:w="0" w:type="dxa"/>
            <w:bottom w:w="0" w:type="dxa"/>
          </w:tblCellMar>
        </w:tblPrEx>
        <w:tc>
          <w:tcPr>
            <w:tcW w:w="3120" w:type="dxa"/>
            <w:shd w:val="clear" w:color="auto" w:fill="D9E2F3"/>
            <w:tcMar>
              <w:top w:w="80" w:type="dxa"/>
              <w:left w:w="100" w:type="dxa"/>
              <w:bottom w:w="80" w:type="dxa"/>
              <w:right w:w="100" w:type="dxa"/>
            </w:tcMar>
            <w:vAlign w:val="center"/>
          </w:tcPr>
          <w:p w14:paraId="64F7247E"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CO Assessed</w:t>
            </w:r>
          </w:p>
        </w:tc>
        <w:tc>
          <w:tcPr>
            <w:tcW w:w="6240" w:type="dxa"/>
            <w:tcMar>
              <w:top w:w="80" w:type="dxa"/>
              <w:left w:w="100" w:type="dxa"/>
              <w:bottom w:w="80" w:type="dxa"/>
              <w:right w:w="100" w:type="dxa"/>
            </w:tcMar>
            <w:vAlign w:val="center"/>
          </w:tcPr>
          <w:p w14:paraId="783FDD19"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CO5 - Evaluate emerging technologies and societal impacts, maintaining and evolving software systems responsibly</w:t>
            </w:r>
          </w:p>
        </w:tc>
      </w:tr>
      <w:tr w:rsidR="005F50A7" w:rsidRPr="00BF3B32" w14:paraId="78B93B12" w14:textId="77777777">
        <w:tblPrEx>
          <w:tblCellMar>
            <w:top w:w="0" w:type="dxa"/>
            <w:bottom w:w="0" w:type="dxa"/>
          </w:tblCellMar>
        </w:tblPrEx>
        <w:tc>
          <w:tcPr>
            <w:tcW w:w="3120" w:type="dxa"/>
            <w:shd w:val="clear" w:color="auto" w:fill="D9E2F3"/>
            <w:tcMar>
              <w:top w:w="80" w:type="dxa"/>
              <w:left w:w="100" w:type="dxa"/>
              <w:bottom w:w="80" w:type="dxa"/>
              <w:right w:w="100" w:type="dxa"/>
            </w:tcMar>
            <w:vAlign w:val="center"/>
          </w:tcPr>
          <w:p w14:paraId="5CDAEC9C"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Student Name</w:t>
            </w:r>
          </w:p>
        </w:tc>
        <w:tc>
          <w:tcPr>
            <w:tcW w:w="6240" w:type="dxa"/>
            <w:tcMar>
              <w:top w:w="80" w:type="dxa"/>
              <w:left w:w="100" w:type="dxa"/>
              <w:bottom w:w="80" w:type="dxa"/>
              <w:right w:w="100" w:type="dxa"/>
            </w:tcMar>
            <w:vAlign w:val="center"/>
          </w:tcPr>
          <w:p w14:paraId="55B415E8" w14:textId="59386EB8" w:rsidR="005F50A7" w:rsidRPr="00BF3B32" w:rsidRDefault="00BF3B32"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Maniyam Anushka</w:t>
            </w:r>
          </w:p>
        </w:tc>
      </w:tr>
      <w:tr w:rsidR="005F50A7" w:rsidRPr="00BF3B32" w14:paraId="338FC455" w14:textId="77777777">
        <w:tblPrEx>
          <w:tblCellMar>
            <w:top w:w="0" w:type="dxa"/>
            <w:bottom w:w="0" w:type="dxa"/>
          </w:tblCellMar>
        </w:tblPrEx>
        <w:tc>
          <w:tcPr>
            <w:tcW w:w="3120" w:type="dxa"/>
            <w:shd w:val="clear" w:color="auto" w:fill="D9E2F3"/>
            <w:tcMar>
              <w:top w:w="80" w:type="dxa"/>
              <w:left w:w="100" w:type="dxa"/>
              <w:bottom w:w="80" w:type="dxa"/>
              <w:right w:w="100" w:type="dxa"/>
            </w:tcMar>
            <w:vAlign w:val="center"/>
          </w:tcPr>
          <w:p w14:paraId="751C20EA"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Register Number</w:t>
            </w:r>
          </w:p>
        </w:tc>
        <w:tc>
          <w:tcPr>
            <w:tcW w:w="6240" w:type="dxa"/>
            <w:tcMar>
              <w:top w:w="80" w:type="dxa"/>
              <w:left w:w="100" w:type="dxa"/>
              <w:bottom w:w="80" w:type="dxa"/>
              <w:right w:w="100" w:type="dxa"/>
            </w:tcMar>
            <w:vAlign w:val="center"/>
          </w:tcPr>
          <w:p w14:paraId="5327A91E" w14:textId="151E6891" w:rsidR="005F50A7" w:rsidRPr="00BF3B32" w:rsidRDefault="00BF3B32"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192525411</w:t>
            </w:r>
          </w:p>
        </w:tc>
      </w:tr>
      <w:tr w:rsidR="005F50A7" w:rsidRPr="00BF3B32" w14:paraId="053A2A24" w14:textId="77777777">
        <w:tblPrEx>
          <w:tblCellMar>
            <w:top w:w="0" w:type="dxa"/>
            <w:bottom w:w="0" w:type="dxa"/>
          </w:tblCellMar>
        </w:tblPrEx>
        <w:tc>
          <w:tcPr>
            <w:tcW w:w="3120" w:type="dxa"/>
            <w:shd w:val="clear" w:color="auto" w:fill="D9E2F3"/>
            <w:tcMar>
              <w:top w:w="80" w:type="dxa"/>
              <w:left w:w="100" w:type="dxa"/>
              <w:bottom w:w="80" w:type="dxa"/>
              <w:right w:w="100" w:type="dxa"/>
            </w:tcMar>
            <w:vAlign w:val="center"/>
          </w:tcPr>
          <w:p w14:paraId="2D6BC1F4"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Date</w:t>
            </w:r>
          </w:p>
        </w:tc>
        <w:tc>
          <w:tcPr>
            <w:tcW w:w="6240" w:type="dxa"/>
            <w:tcMar>
              <w:top w:w="80" w:type="dxa"/>
              <w:left w:w="100" w:type="dxa"/>
              <w:bottom w:w="80" w:type="dxa"/>
              <w:right w:w="100" w:type="dxa"/>
            </w:tcMar>
            <w:vAlign w:val="center"/>
          </w:tcPr>
          <w:p w14:paraId="19FC75A6" w14:textId="394021E1" w:rsidR="005F50A7" w:rsidRPr="00BF3B32" w:rsidRDefault="005F50A7" w:rsidP="00BF3B32">
            <w:pPr>
              <w:spacing w:line="360" w:lineRule="auto"/>
              <w:rPr>
                <w:rFonts w:ascii="Times New Roman" w:hAnsi="Times New Roman" w:cs="Times New Roman"/>
                <w:sz w:val="24"/>
                <w:szCs w:val="24"/>
              </w:rPr>
            </w:pPr>
          </w:p>
        </w:tc>
      </w:tr>
    </w:tbl>
    <w:p w14:paraId="236F4979" w14:textId="77777777" w:rsidR="005F50A7" w:rsidRPr="00BF3B32" w:rsidRDefault="005F50A7" w:rsidP="00BF3B32">
      <w:pPr>
        <w:spacing w:after="300" w:line="360" w:lineRule="auto"/>
        <w:rPr>
          <w:rFonts w:ascii="Times New Roman" w:hAnsi="Times New Roman" w:cs="Times New Roman"/>
          <w:sz w:val="24"/>
          <w:szCs w:val="24"/>
        </w:rPr>
      </w:pPr>
    </w:p>
    <w:p w14:paraId="7F6268BE"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br w:type="page"/>
      </w:r>
    </w:p>
    <w:p w14:paraId="7D592D4B" w14:textId="77777777" w:rsidR="005F50A7" w:rsidRPr="00BF3B32" w:rsidRDefault="00702A2E" w:rsidP="00BF3B32">
      <w:pPr>
        <w:pStyle w:val="Heading1"/>
        <w:spacing w:before="320" w:after="160" w:line="360" w:lineRule="auto"/>
        <w:rPr>
          <w:rFonts w:ascii="Times New Roman" w:hAnsi="Times New Roman" w:cs="Times New Roman"/>
          <w:color w:val="auto"/>
          <w:sz w:val="24"/>
          <w:szCs w:val="24"/>
        </w:rPr>
      </w:pPr>
      <w:r w:rsidRPr="00BF3B32">
        <w:rPr>
          <w:rFonts w:ascii="Times New Roman" w:hAnsi="Times New Roman" w:cs="Times New Roman"/>
          <w:b/>
          <w:bCs/>
          <w:color w:val="auto"/>
          <w:sz w:val="24"/>
          <w:szCs w:val="24"/>
        </w:rPr>
        <w:lastRenderedPageBreak/>
        <w:t>1. Introduction / Industry Context</w:t>
      </w:r>
    </w:p>
    <w:p w14:paraId="612B8237" w14:textId="77777777" w:rsidR="005F50A7" w:rsidRPr="00BF3B32" w:rsidRDefault="00702A2E" w:rsidP="00BF3B32">
      <w:pPr>
        <w:spacing w:after="160" w:line="360" w:lineRule="auto"/>
        <w:jc w:val="both"/>
        <w:rPr>
          <w:rFonts w:ascii="Times New Roman" w:hAnsi="Times New Roman" w:cs="Times New Roman"/>
          <w:sz w:val="24"/>
          <w:szCs w:val="24"/>
        </w:rPr>
      </w:pPr>
      <w:r w:rsidRPr="00BF3B32">
        <w:rPr>
          <w:rFonts w:ascii="Times New Roman" w:hAnsi="Times New Roman" w:cs="Times New Roman"/>
          <w:sz w:val="24"/>
          <w:szCs w:val="24"/>
        </w:rPr>
        <w:t>Healthcare organizations worldwide are experiencing steadily increasing patient volumes, constrained medical resources, and rising expectations for efficient, high-quality care delivery. Hospitals must simultaneously manage beds, medical equipment, healthcare professionals, and patient appointments to sustain quality outcomes while controlling operational costs. Traditional hospital management systems tend to function as isolated administrative modules, making it difficult to coordinate patient movement acr</w:t>
      </w:r>
      <w:r w:rsidRPr="00BF3B32">
        <w:rPr>
          <w:rFonts w:ascii="Times New Roman" w:hAnsi="Times New Roman" w:cs="Times New Roman"/>
          <w:sz w:val="24"/>
          <w:szCs w:val="24"/>
        </w:rPr>
        <w:t>oss the emergency department, outpatient clinics, laboratories, and inpatient wards.</w:t>
      </w:r>
    </w:p>
    <w:p w14:paraId="5D2F6E71" w14:textId="77777777" w:rsidR="005F50A7" w:rsidRPr="00BF3B32" w:rsidRDefault="00702A2E" w:rsidP="00BF3B32">
      <w:pPr>
        <w:spacing w:after="160" w:line="360" w:lineRule="auto"/>
        <w:jc w:val="both"/>
        <w:rPr>
          <w:rFonts w:ascii="Times New Roman" w:hAnsi="Times New Roman" w:cs="Times New Roman"/>
          <w:sz w:val="24"/>
          <w:szCs w:val="24"/>
        </w:rPr>
      </w:pPr>
      <w:r w:rsidRPr="00BF3B32">
        <w:rPr>
          <w:rFonts w:ascii="Times New Roman" w:hAnsi="Times New Roman" w:cs="Times New Roman"/>
          <w:sz w:val="24"/>
          <w:szCs w:val="24"/>
        </w:rPr>
        <w:t xml:space="preserve">Advances in Artificial Intelligence (AI), the Internet of Things (IoT), and predictive analytics now allow hospitals to forecast patient admissions, monitor resource availability in real time, and optimize allocation decisions proactively rather than reactively. Intelligent patient-flow management systems that connect these previously siloed departments are increasingly viewed as a critical component of the modern digital healthcare ecosystem, motivating the proposed </w:t>
      </w:r>
      <w:proofErr w:type="spellStart"/>
      <w:r w:rsidRPr="00BF3B32">
        <w:rPr>
          <w:rFonts w:ascii="Times New Roman" w:hAnsi="Times New Roman" w:cs="Times New Roman"/>
          <w:sz w:val="24"/>
          <w:szCs w:val="24"/>
        </w:rPr>
        <w:t>MediSync</w:t>
      </w:r>
      <w:proofErr w:type="spellEnd"/>
      <w:r w:rsidRPr="00BF3B32">
        <w:rPr>
          <w:rFonts w:ascii="Times New Roman" w:hAnsi="Times New Roman" w:cs="Times New Roman"/>
          <w:sz w:val="24"/>
          <w:szCs w:val="24"/>
        </w:rPr>
        <w:t xml:space="preserve"> AI platform.</w:t>
      </w:r>
    </w:p>
    <w:p w14:paraId="7FACC58E" w14:textId="77777777" w:rsidR="005F50A7" w:rsidRPr="00BF3B32" w:rsidRDefault="00702A2E" w:rsidP="00BF3B32">
      <w:pPr>
        <w:pStyle w:val="Heading1"/>
        <w:spacing w:before="320" w:after="160" w:line="360" w:lineRule="auto"/>
        <w:rPr>
          <w:rFonts w:ascii="Times New Roman" w:hAnsi="Times New Roman" w:cs="Times New Roman"/>
          <w:color w:val="auto"/>
          <w:sz w:val="24"/>
          <w:szCs w:val="24"/>
        </w:rPr>
      </w:pPr>
      <w:r w:rsidRPr="00BF3B32">
        <w:rPr>
          <w:rFonts w:ascii="Times New Roman" w:hAnsi="Times New Roman" w:cs="Times New Roman"/>
          <w:b/>
          <w:bCs/>
          <w:color w:val="auto"/>
          <w:sz w:val="24"/>
          <w:szCs w:val="24"/>
        </w:rPr>
        <w:t>2. Problem Statement</w:t>
      </w:r>
    </w:p>
    <w:p w14:paraId="2223D6FE" w14:textId="77777777" w:rsidR="005F50A7" w:rsidRPr="00BF3B32" w:rsidRDefault="00702A2E" w:rsidP="00BF3B32">
      <w:pPr>
        <w:spacing w:after="160" w:line="360" w:lineRule="auto"/>
        <w:jc w:val="both"/>
        <w:rPr>
          <w:rFonts w:ascii="Times New Roman" w:hAnsi="Times New Roman" w:cs="Times New Roman"/>
          <w:sz w:val="24"/>
          <w:szCs w:val="24"/>
        </w:rPr>
      </w:pPr>
      <w:r w:rsidRPr="00BF3B32">
        <w:rPr>
          <w:rFonts w:ascii="Times New Roman" w:hAnsi="Times New Roman" w:cs="Times New Roman"/>
          <w:sz w:val="24"/>
          <w:szCs w:val="24"/>
        </w:rPr>
        <w:t>Hospitals frequently experience overcrowding, prolonged patient waiting times, inefficient bed utilization, and uneven distribution of medical resources, all of which negatively affect healthcare quality and operational performance. Existing hospital information systems primarily manage administrative records but generally lack intelligent decision-support capabilities for optimizing patient flow and resource allocation. Delays in patient transfers, diagnostic procedures, and discharge planning contribute t</w:t>
      </w:r>
      <w:r w:rsidRPr="00BF3B32">
        <w:rPr>
          <w:rFonts w:ascii="Times New Roman" w:hAnsi="Times New Roman" w:cs="Times New Roman"/>
          <w:sz w:val="24"/>
          <w:szCs w:val="24"/>
        </w:rPr>
        <w:t>o increased treatment times and reduced hospital capacity.</w:t>
      </w:r>
    </w:p>
    <w:p w14:paraId="53FB923C" w14:textId="77777777" w:rsidR="005F50A7" w:rsidRPr="00BF3B32" w:rsidRDefault="00702A2E" w:rsidP="00BF3B32">
      <w:pPr>
        <w:spacing w:after="160" w:line="360" w:lineRule="auto"/>
        <w:jc w:val="both"/>
        <w:rPr>
          <w:rFonts w:ascii="Times New Roman" w:hAnsi="Times New Roman" w:cs="Times New Roman"/>
          <w:sz w:val="24"/>
          <w:szCs w:val="24"/>
        </w:rPr>
      </w:pPr>
      <w:r w:rsidRPr="00BF3B32">
        <w:rPr>
          <w:rFonts w:ascii="Times New Roman" w:hAnsi="Times New Roman" w:cs="Times New Roman"/>
          <w:sz w:val="24"/>
          <w:szCs w:val="24"/>
        </w:rPr>
        <w:t xml:space="preserve">Healthcare administrators also require predictive insight to prepare for fluctuating patient demand and emergency situations. There is therefore a need for an AI-powered hospital management platform that continuously </w:t>
      </w:r>
      <w:proofErr w:type="spellStart"/>
      <w:r w:rsidRPr="00BF3B32">
        <w:rPr>
          <w:rFonts w:ascii="Times New Roman" w:hAnsi="Times New Roman" w:cs="Times New Roman"/>
          <w:sz w:val="24"/>
          <w:szCs w:val="24"/>
        </w:rPr>
        <w:t>analyzes</w:t>
      </w:r>
      <w:proofErr w:type="spellEnd"/>
      <w:r w:rsidRPr="00BF3B32">
        <w:rPr>
          <w:rFonts w:ascii="Times New Roman" w:hAnsi="Times New Roman" w:cs="Times New Roman"/>
          <w:sz w:val="24"/>
          <w:szCs w:val="24"/>
        </w:rPr>
        <w:t xml:space="preserve"> patient movement, predicts resource requirements, optimizes scheduling, and recommends efficient allocation of beds, staff, and equipment - improving patient care while maximizing utilization of healthcare resources.</w:t>
      </w:r>
    </w:p>
    <w:p w14:paraId="7525D7F8" w14:textId="77777777" w:rsidR="005F50A7" w:rsidRPr="00BF3B32" w:rsidRDefault="00702A2E" w:rsidP="00BF3B32">
      <w:pPr>
        <w:pStyle w:val="Heading1"/>
        <w:spacing w:before="320" w:after="160" w:line="360" w:lineRule="auto"/>
        <w:rPr>
          <w:rFonts w:ascii="Times New Roman" w:hAnsi="Times New Roman" w:cs="Times New Roman"/>
          <w:color w:val="auto"/>
          <w:sz w:val="24"/>
          <w:szCs w:val="24"/>
        </w:rPr>
      </w:pPr>
      <w:r w:rsidRPr="00BF3B32">
        <w:rPr>
          <w:rFonts w:ascii="Times New Roman" w:hAnsi="Times New Roman" w:cs="Times New Roman"/>
          <w:b/>
          <w:bCs/>
          <w:color w:val="auto"/>
          <w:sz w:val="24"/>
          <w:szCs w:val="24"/>
        </w:rPr>
        <w:t>3. Objectives</w:t>
      </w:r>
    </w:p>
    <w:p w14:paraId="47DB2C92" w14:textId="77777777" w:rsidR="005F50A7" w:rsidRPr="00BF3B32" w:rsidRDefault="00702A2E" w:rsidP="00BF3B32">
      <w:pPr>
        <w:pStyle w:val="ListParagraph"/>
        <w:numPr>
          <w:ilvl w:val="0"/>
          <w:numId w:val="2"/>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Develop an AI-powered platform for intelligent hospital resource and patient flow management.</w:t>
      </w:r>
    </w:p>
    <w:p w14:paraId="3E49B109" w14:textId="77777777" w:rsidR="005F50A7" w:rsidRPr="00BF3B32" w:rsidRDefault="00702A2E" w:rsidP="00BF3B32">
      <w:pPr>
        <w:pStyle w:val="ListParagraph"/>
        <w:numPr>
          <w:ilvl w:val="0"/>
          <w:numId w:val="2"/>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Monitor real-time availability of beds, medical equipment, and healthcare personnel.</w:t>
      </w:r>
    </w:p>
    <w:p w14:paraId="2C197180" w14:textId="77777777" w:rsidR="005F50A7" w:rsidRPr="00BF3B32" w:rsidRDefault="00702A2E" w:rsidP="00BF3B32">
      <w:pPr>
        <w:pStyle w:val="ListParagraph"/>
        <w:numPr>
          <w:ilvl w:val="0"/>
          <w:numId w:val="2"/>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Predict patient admissions, discharge times, and resource demand using machine learning.</w:t>
      </w:r>
    </w:p>
    <w:p w14:paraId="6723FD0F" w14:textId="77777777" w:rsidR="005F50A7" w:rsidRPr="00BF3B32" w:rsidRDefault="00702A2E" w:rsidP="00BF3B32">
      <w:pPr>
        <w:pStyle w:val="ListParagraph"/>
        <w:numPr>
          <w:ilvl w:val="0"/>
          <w:numId w:val="2"/>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Optimize patient scheduling, admissions, and interdepartmental transfers.</w:t>
      </w:r>
    </w:p>
    <w:p w14:paraId="6AB0262D" w14:textId="77777777" w:rsidR="005F50A7" w:rsidRPr="00BF3B32" w:rsidRDefault="00702A2E" w:rsidP="00BF3B32">
      <w:pPr>
        <w:pStyle w:val="ListParagraph"/>
        <w:numPr>
          <w:ilvl w:val="0"/>
          <w:numId w:val="2"/>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lastRenderedPageBreak/>
        <w:t>Reduce patient waiting times through intelligent workflow management.</w:t>
      </w:r>
    </w:p>
    <w:p w14:paraId="02B5849D" w14:textId="77777777" w:rsidR="005F50A7" w:rsidRPr="00BF3B32" w:rsidRDefault="00702A2E" w:rsidP="00BF3B32">
      <w:pPr>
        <w:pStyle w:val="ListParagraph"/>
        <w:numPr>
          <w:ilvl w:val="0"/>
          <w:numId w:val="2"/>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Provide real-time dashboards for hospital administrators and medical staff.</w:t>
      </w:r>
    </w:p>
    <w:p w14:paraId="08AD1C9B" w14:textId="77777777" w:rsidR="005F50A7" w:rsidRPr="00BF3B32" w:rsidRDefault="00702A2E" w:rsidP="00BF3B32">
      <w:pPr>
        <w:pStyle w:val="ListParagraph"/>
        <w:numPr>
          <w:ilvl w:val="0"/>
          <w:numId w:val="2"/>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Generate predictive analytics to support emergency preparedness and capacity planning.</w:t>
      </w:r>
    </w:p>
    <w:p w14:paraId="742F282C" w14:textId="77777777" w:rsidR="005F50A7" w:rsidRPr="00BF3B32" w:rsidRDefault="00702A2E" w:rsidP="00BF3B32">
      <w:pPr>
        <w:pStyle w:val="ListParagraph"/>
        <w:numPr>
          <w:ilvl w:val="0"/>
          <w:numId w:val="2"/>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Improve healthcare efficiency while maintaining high-quality patient care.</w:t>
      </w:r>
    </w:p>
    <w:p w14:paraId="502503DB"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br w:type="page"/>
      </w:r>
    </w:p>
    <w:p w14:paraId="3711B80F" w14:textId="77777777" w:rsidR="005F50A7" w:rsidRPr="00BF3B32" w:rsidRDefault="00702A2E" w:rsidP="00BF3B32">
      <w:pPr>
        <w:pStyle w:val="Heading1"/>
        <w:spacing w:before="320" w:after="160" w:line="360" w:lineRule="auto"/>
        <w:rPr>
          <w:rFonts w:ascii="Times New Roman" w:hAnsi="Times New Roman" w:cs="Times New Roman"/>
          <w:color w:val="auto"/>
          <w:sz w:val="24"/>
          <w:szCs w:val="24"/>
        </w:rPr>
      </w:pPr>
      <w:r w:rsidRPr="00BF3B32">
        <w:rPr>
          <w:rFonts w:ascii="Times New Roman" w:hAnsi="Times New Roman" w:cs="Times New Roman"/>
          <w:b/>
          <w:bCs/>
          <w:color w:val="auto"/>
          <w:sz w:val="24"/>
          <w:szCs w:val="24"/>
        </w:rPr>
        <w:lastRenderedPageBreak/>
        <w:t>4. Literature Survey - Individual Paper Reviews</w:t>
      </w:r>
    </w:p>
    <w:p w14:paraId="3DCEE693" w14:textId="77777777" w:rsidR="005F50A7" w:rsidRPr="00BF3B32" w:rsidRDefault="00702A2E" w:rsidP="00BF3B32">
      <w:pPr>
        <w:spacing w:after="160" w:line="360" w:lineRule="auto"/>
        <w:jc w:val="both"/>
        <w:rPr>
          <w:rFonts w:ascii="Times New Roman" w:hAnsi="Times New Roman" w:cs="Times New Roman"/>
          <w:sz w:val="24"/>
          <w:szCs w:val="24"/>
        </w:rPr>
      </w:pPr>
      <w:r w:rsidRPr="00BF3B32">
        <w:rPr>
          <w:rFonts w:ascii="Times New Roman" w:hAnsi="Times New Roman" w:cs="Times New Roman"/>
          <w:sz w:val="24"/>
          <w:szCs w:val="24"/>
        </w:rPr>
        <w:t xml:space="preserve">Eight peer-reviewed studies published in reputed journals and conference proceedings were selected for their direct relevance to AI-driven hospital resource forecasting, patient-flow optimization, and IoT/digital-twin based real-time monitoring - the three pillars underlying the </w:t>
      </w:r>
      <w:proofErr w:type="spellStart"/>
      <w:r w:rsidRPr="00BF3B32">
        <w:rPr>
          <w:rFonts w:ascii="Times New Roman" w:hAnsi="Times New Roman" w:cs="Times New Roman"/>
          <w:sz w:val="24"/>
          <w:szCs w:val="24"/>
        </w:rPr>
        <w:t>MediSync</w:t>
      </w:r>
      <w:proofErr w:type="spellEnd"/>
      <w:r w:rsidRPr="00BF3B32">
        <w:rPr>
          <w:rFonts w:ascii="Times New Roman" w:hAnsi="Times New Roman" w:cs="Times New Roman"/>
          <w:sz w:val="24"/>
          <w:szCs w:val="24"/>
        </w:rPr>
        <w:t xml:space="preserve"> AI problem statement.</w:t>
      </w:r>
    </w:p>
    <w:p w14:paraId="4570680C" w14:textId="77777777" w:rsidR="005F50A7" w:rsidRPr="00BF3B32" w:rsidRDefault="00702A2E" w:rsidP="00BF3B32">
      <w:pPr>
        <w:pStyle w:val="Heading2"/>
        <w:spacing w:before="260" w:after="120" w:line="360" w:lineRule="auto"/>
        <w:rPr>
          <w:rFonts w:ascii="Times New Roman" w:hAnsi="Times New Roman" w:cs="Times New Roman"/>
          <w:color w:val="auto"/>
          <w:sz w:val="24"/>
          <w:szCs w:val="24"/>
        </w:rPr>
      </w:pPr>
      <w:r w:rsidRPr="00BF3B32">
        <w:rPr>
          <w:rFonts w:ascii="Times New Roman" w:hAnsi="Times New Roman" w:cs="Times New Roman"/>
          <w:b/>
          <w:bCs/>
          <w:color w:val="auto"/>
          <w:sz w:val="24"/>
          <w:szCs w:val="24"/>
        </w:rPr>
        <w:t>4.1 Mahmoudian, Nemati &amp; Safaei (2023) - Forecasting Approach for Hospital Bed Capacity Planning Using ML and DL</w:t>
      </w:r>
    </w:p>
    <w:p w14:paraId="04547B9D"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Objective: </w:t>
      </w:r>
      <w:r w:rsidRPr="00BF3B32">
        <w:rPr>
          <w:rFonts w:ascii="Times New Roman" w:hAnsi="Times New Roman" w:cs="Times New Roman"/>
          <w:sz w:val="24"/>
          <w:szCs w:val="24"/>
        </w:rPr>
        <w:t>To forecast hospital bed capacity (HBC) by combining length-of-stay (LOS) classification with forecasts of the number of hospitalized patients (NHP).</w:t>
      </w:r>
    </w:p>
    <w:p w14:paraId="3816F50D"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Methodology: </w:t>
      </w:r>
      <w:r w:rsidRPr="00BF3B32">
        <w:rPr>
          <w:rFonts w:ascii="Times New Roman" w:hAnsi="Times New Roman" w:cs="Times New Roman"/>
          <w:sz w:val="24"/>
          <w:szCs w:val="24"/>
        </w:rPr>
        <w:t xml:space="preserve">LOS was classified using Bayesian network, K-nearest </w:t>
      </w:r>
      <w:proofErr w:type="spellStart"/>
      <w:r w:rsidRPr="00BF3B32">
        <w:rPr>
          <w:rFonts w:ascii="Times New Roman" w:hAnsi="Times New Roman" w:cs="Times New Roman"/>
          <w:sz w:val="24"/>
          <w:szCs w:val="24"/>
        </w:rPr>
        <w:t>neighbor</w:t>
      </w:r>
      <w:proofErr w:type="spellEnd"/>
      <w:r w:rsidRPr="00BF3B32">
        <w:rPr>
          <w:rFonts w:ascii="Times New Roman" w:hAnsi="Times New Roman" w:cs="Times New Roman"/>
          <w:sz w:val="24"/>
          <w:szCs w:val="24"/>
        </w:rPr>
        <w:t>, support vector machine, decision tree, and linear regression models; NHP was forecast using SARIMA, linear regression, and LSTM neural networks.</w:t>
      </w:r>
    </w:p>
    <w:p w14:paraId="63C3C458"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Dataset / Tools: </w:t>
      </w:r>
      <w:r w:rsidRPr="00BF3B32">
        <w:rPr>
          <w:rFonts w:ascii="Times New Roman" w:hAnsi="Times New Roman" w:cs="Times New Roman"/>
          <w:sz w:val="24"/>
          <w:szCs w:val="24"/>
        </w:rPr>
        <w:t>Historical time-series data on bed occupancy and patient admissions from public hospitals.</w:t>
      </w:r>
    </w:p>
    <w:p w14:paraId="68504EE4"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Key Findings: </w:t>
      </w:r>
      <w:r w:rsidRPr="00BF3B32">
        <w:rPr>
          <w:rFonts w:ascii="Times New Roman" w:hAnsi="Times New Roman" w:cs="Times New Roman"/>
          <w:sz w:val="24"/>
          <w:szCs w:val="24"/>
        </w:rPr>
        <w:t>The combined LOS-classification and NHP-forecasting pipeline produced more accurate bed-capacity estimates than conventional simulation or integer-programming approaches used in earlier studies.</w:t>
      </w:r>
    </w:p>
    <w:p w14:paraId="6BEF6262"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Limitations: </w:t>
      </w:r>
      <w:r w:rsidRPr="00BF3B32">
        <w:rPr>
          <w:rFonts w:ascii="Times New Roman" w:hAnsi="Times New Roman" w:cs="Times New Roman"/>
          <w:sz w:val="24"/>
          <w:szCs w:val="24"/>
        </w:rPr>
        <w:t>The model depends solely on historical occupancy records and does not incorporate real-time sensor data or cross-departmental transfer patterns.</w:t>
      </w:r>
    </w:p>
    <w:p w14:paraId="599E3679" w14:textId="77777777" w:rsidR="005F50A7" w:rsidRPr="00BF3B32" w:rsidRDefault="00702A2E" w:rsidP="00BF3B32">
      <w:pPr>
        <w:pStyle w:val="Heading2"/>
        <w:spacing w:before="260" w:after="120" w:line="360" w:lineRule="auto"/>
        <w:rPr>
          <w:rFonts w:ascii="Times New Roman" w:hAnsi="Times New Roman" w:cs="Times New Roman"/>
          <w:color w:val="auto"/>
          <w:sz w:val="24"/>
          <w:szCs w:val="24"/>
        </w:rPr>
      </w:pPr>
      <w:r w:rsidRPr="00BF3B32">
        <w:rPr>
          <w:rFonts w:ascii="Times New Roman" w:hAnsi="Times New Roman" w:cs="Times New Roman"/>
          <w:b/>
          <w:bCs/>
          <w:color w:val="auto"/>
          <w:sz w:val="24"/>
          <w:szCs w:val="24"/>
        </w:rPr>
        <w:t>4.2 Schiele, Koperna &amp; Brunner (2021) - Predicting ICU Bed Occupancy for Integrated Operating-Room Scheduling via Neural Networks</w:t>
      </w:r>
    </w:p>
    <w:p w14:paraId="259C96F3"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Objective: </w:t>
      </w:r>
      <w:r w:rsidRPr="00BF3B32">
        <w:rPr>
          <w:rFonts w:ascii="Times New Roman" w:hAnsi="Times New Roman" w:cs="Times New Roman"/>
          <w:sz w:val="24"/>
          <w:szCs w:val="24"/>
        </w:rPr>
        <w:t>To predict ICU bed occupancy so that operating-room (OR) schedules can be adjusted to avoid downstream ICU overflow.</w:t>
      </w:r>
    </w:p>
    <w:p w14:paraId="0357BDB3"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Methodology: </w:t>
      </w:r>
      <w:r w:rsidRPr="00BF3B32">
        <w:rPr>
          <w:rFonts w:ascii="Times New Roman" w:hAnsi="Times New Roman" w:cs="Times New Roman"/>
          <w:sz w:val="24"/>
          <w:szCs w:val="24"/>
        </w:rPr>
        <w:t>A neural network was trained to learn the nonlinear relationship between OR block schedules per medical specialty and occupancy levels in supporting units such as the ICU.</w:t>
      </w:r>
    </w:p>
    <w:p w14:paraId="58153233"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Dataset / Tools: </w:t>
      </w:r>
      <w:r w:rsidRPr="00BF3B32">
        <w:rPr>
          <w:rFonts w:ascii="Times New Roman" w:hAnsi="Times New Roman" w:cs="Times New Roman"/>
          <w:sz w:val="24"/>
          <w:szCs w:val="24"/>
        </w:rPr>
        <w:t>Historical OR scheduling and ICU occupancy records from a single hospital.</w:t>
      </w:r>
    </w:p>
    <w:p w14:paraId="4033B4E1"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Key Findings: </w:t>
      </w:r>
      <w:r w:rsidRPr="00BF3B32">
        <w:rPr>
          <w:rFonts w:ascii="Times New Roman" w:hAnsi="Times New Roman" w:cs="Times New Roman"/>
          <w:sz w:val="24"/>
          <w:szCs w:val="24"/>
        </w:rPr>
        <w:t>The neural-network approach reflected real-world hospital complexity - including multiple patient types and paths - more effectively than earlier analytical or queueing-based models.</w:t>
      </w:r>
    </w:p>
    <w:p w14:paraId="1AAEFA3A"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lastRenderedPageBreak/>
        <w:t xml:space="preserve">Limitations: </w:t>
      </w:r>
      <w:r w:rsidRPr="00BF3B32">
        <w:rPr>
          <w:rFonts w:ascii="Times New Roman" w:hAnsi="Times New Roman" w:cs="Times New Roman"/>
          <w:sz w:val="24"/>
          <w:szCs w:val="24"/>
        </w:rPr>
        <w:t>Validated at only one hospital, and the model does not account for emergency-department arrivals or ward-to-ward transfers outside the OR-ICU pathway.</w:t>
      </w:r>
    </w:p>
    <w:p w14:paraId="45C2386B" w14:textId="77777777" w:rsidR="005F50A7" w:rsidRPr="00BF3B32" w:rsidRDefault="00702A2E" w:rsidP="00BF3B32">
      <w:pPr>
        <w:pStyle w:val="Heading2"/>
        <w:spacing w:before="260" w:after="120" w:line="360" w:lineRule="auto"/>
        <w:rPr>
          <w:rFonts w:ascii="Times New Roman" w:hAnsi="Times New Roman" w:cs="Times New Roman"/>
          <w:color w:val="auto"/>
          <w:sz w:val="24"/>
          <w:szCs w:val="24"/>
        </w:rPr>
      </w:pPr>
      <w:r w:rsidRPr="00BF3B32">
        <w:rPr>
          <w:rFonts w:ascii="Times New Roman" w:hAnsi="Times New Roman" w:cs="Times New Roman"/>
          <w:b/>
          <w:bCs/>
          <w:color w:val="auto"/>
          <w:sz w:val="24"/>
          <w:szCs w:val="24"/>
        </w:rPr>
        <w:t xml:space="preserve">4.3 Fattouh, </w:t>
      </w:r>
      <w:proofErr w:type="spellStart"/>
      <w:r w:rsidRPr="00BF3B32">
        <w:rPr>
          <w:rFonts w:ascii="Times New Roman" w:hAnsi="Times New Roman" w:cs="Times New Roman"/>
          <w:b/>
          <w:bCs/>
          <w:color w:val="auto"/>
          <w:sz w:val="24"/>
          <w:szCs w:val="24"/>
        </w:rPr>
        <w:t>Lyssenko</w:t>
      </w:r>
      <w:proofErr w:type="spellEnd"/>
      <w:r w:rsidRPr="00BF3B32">
        <w:rPr>
          <w:rFonts w:ascii="Times New Roman" w:hAnsi="Times New Roman" w:cs="Times New Roman"/>
          <w:b/>
          <w:bCs/>
          <w:color w:val="auto"/>
          <w:sz w:val="24"/>
          <w:szCs w:val="24"/>
        </w:rPr>
        <w:t xml:space="preserve">, </w:t>
      </w:r>
      <w:proofErr w:type="spellStart"/>
      <w:r w:rsidRPr="00BF3B32">
        <w:rPr>
          <w:rFonts w:ascii="Times New Roman" w:hAnsi="Times New Roman" w:cs="Times New Roman"/>
          <w:b/>
          <w:bCs/>
          <w:color w:val="auto"/>
          <w:sz w:val="24"/>
          <w:szCs w:val="24"/>
        </w:rPr>
        <w:t>Heilmeyer</w:t>
      </w:r>
      <w:proofErr w:type="spellEnd"/>
      <w:r w:rsidRPr="00BF3B32">
        <w:rPr>
          <w:rFonts w:ascii="Times New Roman" w:hAnsi="Times New Roman" w:cs="Times New Roman"/>
          <w:b/>
          <w:bCs/>
          <w:color w:val="auto"/>
          <w:sz w:val="24"/>
          <w:szCs w:val="24"/>
        </w:rPr>
        <w:t xml:space="preserve"> et al. (2026) - Forecasting Hospital Bed Occupancy: A Time Series Approach with Prophet</w:t>
      </w:r>
    </w:p>
    <w:p w14:paraId="46FB474C"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Objective: </w:t>
      </w:r>
      <w:r w:rsidRPr="00BF3B32">
        <w:rPr>
          <w:rFonts w:ascii="Times New Roman" w:hAnsi="Times New Roman" w:cs="Times New Roman"/>
          <w:sz w:val="24"/>
          <w:szCs w:val="24"/>
        </w:rPr>
        <w:t>To evaluate a parsimonious, interpretable time-series model for mid-term (30-180 day) hospital bed-occupancy forecasting.</w:t>
      </w:r>
    </w:p>
    <w:p w14:paraId="30EB1410"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Methodology: </w:t>
      </w:r>
      <w:r w:rsidRPr="00BF3B32">
        <w:rPr>
          <w:rFonts w:ascii="Times New Roman" w:hAnsi="Times New Roman" w:cs="Times New Roman"/>
          <w:sz w:val="24"/>
          <w:szCs w:val="24"/>
        </w:rPr>
        <w:t>The Prophet time-series model was applied with public-holiday and COVID-19 pandemic indicators as exogenous regressors, decomposing occupancy into trend, seasonality, and holiday effects; validated using rolling cross-validation.</w:t>
      </w:r>
    </w:p>
    <w:p w14:paraId="456D8167"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Dataset / Tools: </w:t>
      </w:r>
      <w:r w:rsidRPr="00BF3B32">
        <w:rPr>
          <w:rFonts w:ascii="Times New Roman" w:hAnsi="Times New Roman" w:cs="Times New Roman"/>
          <w:sz w:val="24"/>
          <w:szCs w:val="24"/>
        </w:rPr>
        <w:t xml:space="preserve">Daily bed-occupancy data (2010-2023) from the Medical </w:t>
      </w:r>
      <w:proofErr w:type="spellStart"/>
      <w:r w:rsidRPr="00BF3B32">
        <w:rPr>
          <w:rFonts w:ascii="Times New Roman" w:hAnsi="Times New Roman" w:cs="Times New Roman"/>
          <w:sz w:val="24"/>
          <w:szCs w:val="24"/>
        </w:rPr>
        <w:t>Center</w:t>
      </w:r>
      <w:proofErr w:type="spellEnd"/>
      <w:r w:rsidRPr="00BF3B32">
        <w:rPr>
          <w:rFonts w:ascii="Times New Roman" w:hAnsi="Times New Roman" w:cs="Times New Roman"/>
          <w:sz w:val="24"/>
          <w:szCs w:val="24"/>
        </w:rPr>
        <w:t>, University of Freiburg.</w:t>
      </w:r>
    </w:p>
    <w:p w14:paraId="150A3339"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Key Findings: </w:t>
      </w:r>
      <w:r w:rsidRPr="00BF3B32">
        <w:rPr>
          <w:rFonts w:ascii="Times New Roman" w:hAnsi="Times New Roman" w:cs="Times New Roman"/>
          <w:sz w:val="24"/>
          <w:szCs w:val="24"/>
        </w:rPr>
        <w:t>Prophet achieved mean absolute percentage errors of approximately 3.2% for 30- and 60-day horizons, outperforming several more complex machine-learning and deep-learning baselines while remaining interpretable and low-maintenance.</w:t>
      </w:r>
    </w:p>
    <w:p w14:paraId="435BCD46"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Limitations: </w:t>
      </w:r>
      <w:r w:rsidRPr="00BF3B32">
        <w:rPr>
          <w:rFonts w:ascii="Times New Roman" w:hAnsi="Times New Roman" w:cs="Times New Roman"/>
          <w:sz w:val="24"/>
          <w:szCs w:val="24"/>
        </w:rPr>
        <w:t>Its relative simplicity may not capture complex nonlinear interactions between individual wards or departments that more elaborate deep-learning models can represent.</w:t>
      </w:r>
    </w:p>
    <w:p w14:paraId="33DEDFC8" w14:textId="77777777" w:rsidR="005F50A7" w:rsidRPr="00BF3B32" w:rsidRDefault="00702A2E" w:rsidP="00BF3B32">
      <w:pPr>
        <w:pStyle w:val="Heading2"/>
        <w:spacing w:before="260" w:after="120" w:line="360" w:lineRule="auto"/>
        <w:rPr>
          <w:rFonts w:ascii="Times New Roman" w:hAnsi="Times New Roman" w:cs="Times New Roman"/>
          <w:color w:val="auto"/>
          <w:sz w:val="24"/>
          <w:szCs w:val="24"/>
        </w:rPr>
      </w:pPr>
      <w:r w:rsidRPr="00BF3B32">
        <w:rPr>
          <w:rFonts w:ascii="Times New Roman" w:hAnsi="Times New Roman" w:cs="Times New Roman"/>
          <w:b/>
          <w:bCs/>
          <w:color w:val="auto"/>
          <w:sz w:val="24"/>
          <w:szCs w:val="24"/>
        </w:rPr>
        <w:t>4.4 Systematic Review (2025) - Impact of Artificial Intelligence on Hospital Admission Prediction and Flow Optimization</w:t>
      </w:r>
    </w:p>
    <w:p w14:paraId="083BBDF9"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Objective: </w:t>
      </w:r>
      <w:r w:rsidRPr="00BF3B32">
        <w:rPr>
          <w:rFonts w:ascii="Times New Roman" w:hAnsi="Times New Roman" w:cs="Times New Roman"/>
          <w:sz w:val="24"/>
          <w:szCs w:val="24"/>
        </w:rPr>
        <w:t>To systematically evaluate the effect of AI-assisted admission-prediction tools on emergency-department (ED) patient flow and resource allocation.</w:t>
      </w:r>
    </w:p>
    <w:p w14:paraId="76F3A36A"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Methodology: </w:t>
      </w:r>
      <w:r w:rsidRPr="00BF3B32">
        <w:rPr>
          <w:rFonts w:ascii="Times New Roman" w:hAnsi="Times New Roman" w:cs="Times New Roman"/>
          <w:sz w:val="24"/>
          <w:szCs w:val="24"/>
        </w:rPr>
        <w:t>A systematic review and synthesis of published studies applying machine-learning models to predict hospital admissions at ED triage.</w:t>
      </w:r>
    </w:p>
    <w:p w14:paraId="7BD10EEB"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Dataset / Tools: </w:t>
      </w:r>
      <w:r w:rsidRPr="00BF3B32">
        <w:rPr>
          <w:rFonts w:ascii="Times New Roman" w:hAnsi="Times New Roman" w:cs="Times New Roman"/>
          <w:sz w:val="24"/>
          <w:szCs w:val="24"/>
        </w:rPr>
        <w:t>Pooled evidence from multiple ED admission-prediction studies across different healthcare settings.</w:t>
      </w:r>
    </w:p>
    <w:p w14:paraId="1E363F7D"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Key Findings: </w:t>
      </w:r>
      <w:r w:rsidRPr="00BF3B32">
        <w:rPr>
          <w:rFonts w:ascii="Times New Roman" w:hAnsi="Times New Roman" w:cs="Times New Roman"/>
          <w:sz w:val="24"/>
          <w:szCs w:val="24"/>
        </w:rPr>
        <w:t>AI-driven admission prediction reduced avoidable hospitalizations, optimized bed occupancy, and decreased emergency-room overcrowding, enabling proactive rather than reactive decision-making.</w:t>
      </w:r>
    </w:p>
    <w:p w14:paraId="222E6A77"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Limitations: </w:t>
      </w:r>
      <w:r w:rsidRPr="00BF3B32">
        <w:rPr>
          <w:rFonts w:ascii="Times New Roman" w:hAnsi="Times New Roman" w:cs="Times New Roman"/>
          <w:sz w:val="24"/>
          <w:szCs w:val="24"/>
        </w:rPr>
        <w:t>Most underlying primary studies are retrospective and single-site, with limited prospective or multi-institutional validation of real-world impact.</w:t>
      </w:r>
    </w:p>
    <w:p w14:paraId="69B718B7" w14:textId="77777777" w:rsidR="005F50A7" w:rsidRPr="00BF3B32" w:rsidRDefault="00702A2E" w:rsidP="00BF3B32">
      <w:pPr>
        <w:pStyle w:val="Heading2"/>
        <w:spacing w:before="260" w:after="120" w:line="360" w:lineRule="auto"/>
        <w:rPr>
          <w:rFonts w:ascii="Times New Roman" w:hAnsi="Times New Roman" w:cs="Times New Roman"/>
          <w:color w:val="auto"/>
          <w:sz w:val="24"/>
          <w:szCs w:val="24"/>
        </w:rPr>
      </w:pPr>
      <w:r w:rsidRPr="00BF3B32">
        <w:rPr>
          <w:rFonts w:ascii="Times New Roman" w:hAnsi="Times New Roman" w:cs="Times New Roman"/>
          <w:b/>
          <w:bCs/>
          <w:color w:val="auto"/>
          <w:sz w:val="24"/>
          <w:szCs w:val="24"/>
        </w:rPr>
        <w:lastRenderedPageBreak/>
        <w:t xml:space="preserve">4.5 Vural, </w:t>
      </w:r>
      <w:proofErr w:type="spellStart"/>
      <w:r w:rsidRPr="00BF3B32">
        <w:rPr>
          <w:rFonts w:ascii="Times New Roman" w:hAnsi="Times New Roman" w:cs="Times New Roman"/>
          <w:b/>
          <w:bCs/>
          <w:color w:val="auto"/>
          <w:sz w:val="24"/>
          <w:szCs w:val="24"/>
        </w:rPr>
        <w:t>Ozaydin</w:t>
      </w:r>
      <w:proofErr w:type="spellEnd"/>
      <w:r w:rsidRPr="00BF3B32">
        <w:rPr>
          <w:rFonts w:ascii="Times New Roman" w:hAnsi="Times New Roman" w:cs="Times New Roman"/>
          <w:b/>
          <w:bCs/>
          <w:color w:val="auto"/>
          <w:sz w:val="24"/>
          <w:szCs w:val="24"/>
        </w:rPr>
        <w:t>, Aram, Booth, Lindsey &amp; Ahmed (2025) - AI-Based Framework for Predicting Emergency Department Overcrowding</w:t>
      </w:r>
    </w:p>
    <w:p w14:paraId="303C1B3E"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Objective: </w:t>
      </w:r>
      <w:r w:rsidRPr="00BF3B32">
        <w:rPr>
          <w:rFonts w:ascii="Times New Roman" w:hAnsi="Times New Roman" w:cs="Times New Roman"/>
          <w:sz w:val="24"/>
          <w:szCs w:val="24"/>
        </w:rPr>
        <w:t>To forecast ED waiting-room occupancy at hourly and daily resolutions so that overcrowding can be anticipated and mitigated proactively.</w:t>
      </w:r>
    </w:p>
    <w:p w14:paraId="0CEDEF8B"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Methodology: </w:t>
      </w:r>
      <w:r w:rsidRPr="00BF3B32">
        <w:rPr>
          <w:rFonts w:ascii="Times New Roman" w:hAnsi="Times New Roman" w:cs="Times New Roman"/>
          <w:sz w:val="24"/>
          <w:szCs w:val="24"/>
        </w:rPr>
        <w:t>Eleven machine-learning and deep-learning algorithms - including a time-series vision transformer (</w:t>
      </w:r>
      <w:proofErr w:type="spellStart"/>
      <w:r w:rsidRPr="00BF3B32">
        <w:rPr>
          <w:rFonts w:ascii="Times New Roman" w:hAnsi="Times New Roman" w:cs="Times New Roman"/>
          <w:sz w:val="24"/>
          <w:szCs w:val="24"/>
        </w:rPr>
        <w:t>TSiTPlus</w:t>
      </w:r>
      <w:proofErr w:type="spellEnd"/>
      <w:r w:rsidRPr="00BF3B32">
        <w:rPr>
          <w:rFonts w:ascii="Times New Roman" w:hAnsi="Times New Roman" w:cs="Times New Roman"/>
          <w:sz w:val="24"/>
          <w:szCs w:val="24"/>
        </w:rPr>
        <w:t>) - were trained and compared for hourly (6-hour-ahead) and daily waiting-count prediction.</w:t>
      </w:r>
    </w:p>
    <w:p w14:paraId="1F0B6F0E"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Dataset / Tools: </w:t>
      </w:r>
      <w:r w:rsidRPr="00BF3B32">
        <w:rPr>
          <w:rFonts w:ascii="Times New Roman" w:hAnsi="Times New Roman" w:cs="Times New Roman"/>
          <w:sz w:val="24"/>
          <w:szCs w:val="24"/>
        </w:rPr>
        <w:t>Operational ED data from a partner hospital in the southeastern United States, combining internal metrics with external features.</w:t>
      </w:r>
    </w:p>
    <w:p w14:paraId="14B03179"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Key Findings: </w:t>
      </w:r>
      <w:r w:rsidRPr="00BF3B32">
        <w:rPr>
          <w:rFonts w:ascii="Times New Roman" w:hAnsi="Times New Roman" w:cs="Times New Roman"/>
          <w:sz w:val="24"/>
          <w:szCs w:val="24"/>
        </w:rPr>
        <w:t>The best hourly model achieved a mean absolute error of about 4.19 patients, supporting proactive staffing and capacity-planning decisions before congestion occurred.</w:t>
      </w:r>
    </w:p>
    <w:p w14:paraId="4666AA13"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Limitations: </w:t>
      </w:r>
      <w:r w:rsidRPr="00BF3B32">
        <w:rPr>
          <w:rFonts w:ascii="Times New Roman" w:hAnsi="Times New Roman" w:cs="Times New Roman"/>
          <w:sz w:val="24"/>
          <w:szCs w:val="24"/>
        </w:rPr>
        <w:t>Developed and validated on a single ED; generalizability to hospitals with different patient-flow characteristics is not yet established.</w:t>
      </w:r>
    </w:p>
    <w:p w14:paraId="6B9780CD" w14:textId="77777777" w:rsidR="005F50A7" w:rsidRPr="00BF3B32" w:rsidRDefault="00702A2E" w:rsidP="00BF3B32">
      <w:pPr>
        <w:pStyle w:val="Heading2"/>
        <w:spacing w:before="260" w:after="120" w:line="360" w:lineRule="auto"/>
        <w:rPr>
          <w:rFonts w:ascii="Times New Roman" w:hAnsi="Times New Roman" w:cs="Times New Roman"/>
          <w:color w:val="auto"/>
          <w:sz w:val="24"/>
          <w:szCs w:val="24"/>
        </w:rPr>
      </w:pPr>
      <w:r w:rsidRPr="00BF3B32">
        <w:rPr>
          <w:rFonts w:ascii="Times New Roman" w:hAnsi="Times New Roman" w:cs="Times New Roman"/>
          <w:b/>
          <w:bCs/>
          <w:color w:val="auto"/>
          <w:sz w:val="24"/>
          <w:szCs w:val="24"/>
        </w:rPr>
        <w:t>4.6 Moreno-Sanchez, Aalto &amp; van Gils (2024) - Prediction of Patient Flow in the Emergency Department Using Explainable AI</w:t>
      </w:r>
    </w:p>
    <w:p w14:paraId="2E3539E0"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Objective: </w:t>
      </w:r>
      <w:r w:rsidRPr="00BF3B32">
        <w:rPr>
          <w:rFonts w:ascii="Times New Roman" w:hAnsi="Times New Roman" w:cs="Times New Roman"/>
          <w:sz w:val="24"/>
          <w:szCs w:val="24"/>
        </w:rPr>
        <w:t>To predict, at the point of triage, whether a patient will be admitted and which specialty of care is required, easing early resource allocation.</w:t>
      </w:r>
    </w:p>
    <w:p w14:paraId="4AFA1486"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Methodology: </w:t>
      </w:r>
      <w:r w:rsidRPr="00BF3B32">
        <w:rPr>
          <w:rFonts w:ascii="Times New Roman" w:hAnsi="Times New Roman" w:cs="Times New Roman"/>
          <w:sz w:val="24"/>
          <w:szCs w:val="24"/>
        </w:rPr>
        <w:t>Explainable artificial intelligence (XAI) models were developed to generate interpretable admission and specialty predictions directly usable by clinical staff.</w:t>
      </w:r>
    </w:p>
    <w:p w14:paraId="76F243D3"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Dataset / Tools: </w:t>
      </w:r>
      <w:r w:rsidRPr="00BF3B32">
        <w:rPr>
          <w:rFonts w:ascii="Times New Roman" w:hAnsi="Times New Roman" w:cs="Times New Roman"/>
          <w:sz w:val="24"/>
          <w:szCs w:val="24"/>
        </w:rPr>
        <w:t>Triage-time emergency-department patient records.</w:t>
      </w:r>
    </w:p>
    <w:p w14:paraId="4720EC1D"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Key Findings: </w:t>
      </w:r>
      <w:r w:rsidRPr="00BF3B32">
        <w:rPr>
          <w:rFonts w:ascii="Times New Roman" w:hAnsi="Times New Roman" w:cs="Times New Roman"/>
          <w:sz w:val="24"/>
          <w:szCs w:val="24"/>
        </w:rPr>
        <w:t>Interpretable, triage-time predictions increased clinician trust and enabled earlier, more confident resource-allocation decisions compared to opaque black-box models.</w:t>
      </w:r>
    </w:p>
    <w:p w14:paraId="550EF51E"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Limitations: </w:t>
      </w:r>
      <w:r w:rsidRPr="00BF3B32">
        <w:rPr>
          <w:rFonts w:ascii="Times New Roman" w:hAnsi="Times New Roman" w:cs="Times New Roman"/>
          <w:sz w:val="24"/>
          <w:szCs w:val="24"/>
        </w:rPr>
        <w:t>Explainability adds computational overhead, and the study addresses prediction only, without extending into automated scheduling or bed-allocation optimization.</w:t>
      </w:r>
    </w:p>
    <w:p w14:paraId="39DE5EE9" w14:textId="77777777" w:rsidR="005F50A7" w:rsidRPr="00BF3B32" w:rsidRDefault="00702A2E" w:rsidP="00BF3B32">
      <w:pPr>
        <w:pStyle w:val="Heading2"/>
        <w:spacing w:before="260" w:after="120" w:line="360" w:lineRule="auto"/>
        <w:rPr>
          <w:rFonts w:ascii="Times New Roman" w:hAnsi="Times New Roman" w:cs="Times New Roman"/>
          <w:color w:val="auto"/>
          <w:sz w:val="24"/>
          <w:szCs w:val="24"/>
        </w:rPr>
      </w:pPr>
      <w:r w:rsidRPr="00BF3B32">
        <w:rPr>
          <w:rFonts w:ascii="Times New Roman" w:hAnsi="Times New Roman" w:cs="Times New Roman"/>
          <w:b/>
          <w:bCs/>
          <w:color w:val="auto"/>
          <w:sz w:val="24"/>
          <w:szCs w:val="24"/>
        </w:rPr>
        <w:t>4.7 Systematic Review (2025) - Digital Twins in Healthcare IoT</w:t>
      </w:r>
    </w:p>
    <w:p w14:paraId="22EBD069"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Objective: </w:t>
      </w:r>
      <w:r w:rsidRPr="00BF3B32">
        <w:rPr>
          <w:rFonts w:ascii="Times New Roman" w:hAnsi="Times New Roman" w:cs="Times New Roman"/>
          <w:sz w:val="24"/>
          <w:szCs w:val="24"/>
        </w:rPr>
        <w:t>To review how digital-twin and IoT architectures are being applied to hospital-level resource management and patient-flow simulation.</w:t>
      </w:r>
    </w:p>
    <w:p w14:paraId="4BA715B9"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lastRenderedPageBreak/>
        <w:t xml:space="preserve">Methodology: </w:t>
      </w:r>
      <w:r w:rsidRPr="00BF3B32">
        <w:rPr>
          <w:rFonts w:ascii="Times New Roman" w:hAnsi="Times New Roman" w:cs="Times New Roman"/>
          <w:sz w:val="24"/>
          <w:szCs w:val="24"/>
        </w:rPr>
        <w:t>Systematic review of published digital-twin implementations that integrate IoT sensor streams with hospital information systems and electronic health records.</w:t>
      </w:r>
    </w:p>
    <w:p w14:paraId="63F94248"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Dataset / Tools: </w:t>
      </w:r>
      <w:r w:rsidRPr="00BF3B32">
        <w:rPr>
          <w:rFonts w:ascii="Times New Roman" w:hAnsi="Times New Roman" w:cs="Times New Roman"/>
          <w:sz w:val="24"/>
          <w:szCs w:val="24"/>
        </w:rPr>
        <w:t>Multiple published digital-twin and smart-hospital IoT case studies.</w:t>
      </w:r>
    </w:p>
    <w:p w14:paraId="6C70A975"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Key Findings: </w:t>
      </w:r>
      <w:r w:rsidRPr="00BF3B32">
        <w:rPr>
          <w:rFonts w:ascii="Times New Roman" w:hAnsi="Times New Roman" w:cs="Times New Roman"/>
          <w:sz w:val="24"/>
          <w:szCs w:val="24"/>
        </w:rPr>
        <w:t>Hospital-level digital twins can simulate emergency-department workflows, predict ICU bed occupancy, and identify operational bottlenecks in real time by continuously synchronizing a virtual model with live IoT data.</w:t>
      </w:r>
    </w:p>
    <w:p w14:paraId="3921DD86"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Limitations: </w:t>
      </w:r>
      <w:r w:rsidRPr="00BF3B32">
        <w:rPr>
          <w:rFonts w:ascii="Times New Roman" w:hAnsi="Times New Roman" w:cs="Times New Roman"/>
          <w:sz w:val="24"/>
          <w:szCs w:val="24"/>
        </w:rPr>
        <w:t>The field remains an emerging area with limited large-scale, long-term deployment evidence and comparatively high integration cost and complexity.</w:t>
      </w:r>
    </w:p>
    <w:p w14:paraId="633C266F" w14:textId="77777777" w:rsidR="005F50A7" w:rsidRPr="00BF3B32" w:rsidRDefault="00702A2E" w:rsidP="00BF3B32">
      <w:pPr>
        <w:pStyle w:val="Heading2"/>
        <w:spacing w:before="260" w:after="120" w:line="360" w:lineRule="auto"/>
        <w:rPr>
          <w:rFonts w:ascii="Times New Roman" w:hAnsi="Times New Roman" w:cs="Times New Roman"/>
          <w:color w:val="auto"/>
          <w:sz w:val="24"/>
          <w:szCs w:val="24"/>
        </w:rPr>
      </w:pPr>
      <w:r w:rsidRPr="00BF3B32">
        <w:rPr>
          <w:rFonts w:ascii="Times New Roman" w:hAnsi="Times New Roman" w:cs="Times New Roman"/>
          <w:b/>
          <w:bCs/>
          <w:color w:val="auto"/>
          <w:sz w:val="24"/>
          <w:szCs w:val="24"/>
        </w:rPr>
        <w:t>4.8 Wei, Zhou, Zhang, Yuan, Gu, Luk, Brent, Clifton, Walker &amp; Eyre (2024) - Predicting Individual Patient and Hospital-Level Discharge Using Machine Learning</w:t>
      </w:r>
    </w:p>
    <w:p w14:paraId="159B587A"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Objective: </w:t>
      </w:r>
      <w:r w:rsidRPr="00BF3B32">
        <w:rPr>
          <w:rFonts w:ascii="Times New Roman" w:hAnsi="Times New Roman" w:cs="Times New Roman"/>
          <w:sz w:val="24"/>
          <w:szCs w:val="24"/>
        </w:rPr>
        <w:t>To predict individual patient discharge within the next 24 hours and aggregate hospital-wide daily discharge totals to improve patient flow.</w:t>
      </w:r>
    </w:p>
    <w:p w14:paraId="039E063C"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Methodology: </w:t>
      </w:r>
      <w:r w:rsidRPr="00BF3B32">
        <w:rPr>
          <w:rFonts w:ascii="Times New Roman" w:hAnsi="Times New Roman" w:cs="Times New Roman"/>
          <w:sz w:val="24"/>
          <w:szCs w:val="24"/>
        </w:rPr>
        <w:t>Separate extreme gradient boosting (</w:t>
      </w:r>
      <w:proofErr w:type="spellStart"/>
      <w:r w:rsidRPr="00BF3B32">
        <w:rPr>
          <w:rFonts w:ascii="Times New Roman" w:hAnsi="Times New Roman" w:cs="Times New Roman"/>
          <w:sz w:val="24"/>
          <w:szCs w:val="24"/>
        </w:rPr>
        <w:t>XGBoost</w:t>
      </w:r>
      <w:proofErr w:type="spellEnd"/>
      <w:r w:rsidRPr="00BF3B32">
        <w:rPr>
          <w:rFonts w:ascii="Times New Roman" w:hAnsi="Times New Roman" w:cs="Times New Roman"/>
          <w:sz w:val="24"/>
          <w:szCs w:val="24"/>
        </w:rPr>
        <w:t>) models were fitted for elective and emergency admissions using a wide range of structured EHR features, benchmarked against logistic regression.</w:t>
      </w:r>
    </w:p>
    <w:p w14:paraId="6061CAF7"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Dataset / Tools: </w:t>
      </w:r>
      <w:r w:rsidRPr="00BF3B32">
        <w:rPr>
          <w:rFonts w:ascii="Times New Roman" w:hAnsi="Times New Roman" w:cs="Times New Roman"/>
          <w:sz w:val="24"/>
          <w:szCs w:val="24"/>
        </w:rPr>
        <w:t>Electronic health record data (February 2017-January 2020) from four hospitals in Oxfordshire, UK, covering 126,054 emergency and 45,609 planned admissions.</w:t>
      </w:r>
    </w:p>
    <w:p w14:paraId="22B45527"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Key Findings: </w:t>
      </w:r>
      <w:r w:rsidRPr="00BF3B32">
        <w:rPr>
          <w:rFonts w:ascii="Times New Roman" w:hAnsi="Times New Roman" w:cs="Times New Roman"/>
          <w:sz w:val="24"/>
          <w:szCs w:val="24"/>
        </w:rPr>
        <w:t xml:space="preserve">The </w:t>
      </w:r>
      <w:proofErr w:type="spellStart"/>
      <w:r w:rsidRPr="00BF3B32">
        <w:rPr>
          <w:rFonts w:ascii="Times New Roman" w:hAnsi="Times New Roman" w:cs="Times New Roman"/>
          <w:sz w:val="24"/>
          <w:szCs w:val="24"/>
        </w:rPr>
        <w:t>XGBoost</w:t>
      </w:r>
      <w:proofErr w:type="spellEnd"/>
      <w:r w:rsidRPr="00BF3B32">
        <w:rPr>
          <w:rFonts w:ascii="Times New Roman" w:hAnsi="Times New Roman" w:cs="Times New Roman"/>
          <w:sz w:val="24"/>
          <w:szCs w:val="24"/>
        </w:rPr>
        <w:t xml:space="preserve"> models achieved AUROCs of 0.87-0.88 for individual-level discharge prediction and mean absolute errors of 4.9-8.9% for hospital-level daily discharge totals, substantially outperforming logistic-regression baselines.</w:t>
      </w:r>
    </w:p>
    <w:p w14:paraId="7B337076"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Limitations: </w:t>
      </w:r>
      <w:r w:rsidRPr="00BF3B32">
        <w:rPr>
          <w:rFonts w:ascii="Times New Roman" w:hAnsi="Times New Roman" w:cs="Times New Roman"/>
          <w:sz w:val="24"/>
          <w:szCs w:val="24"/>
        </w:rPr>
        <w:t>Only structured EHR data was used - unstructured clinical notes were excluded - and predictive performance was lower for long-stay patients and those who died in hospital.</w:t>
      </w:r>
    </w:p>
    <w:p w14:paraId="7F6E6104"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br w:type="page"/>
      </w:r>
    </w:p>
    <w:p w14:paraId="488CC3EC" w14:textId="77777777" w:rsidR="005F50A7" w:rsidRPr="00BF3B32" w:rsidRDefault="00702A2E" w:rsidP="00BF3B32">
      <w:pPr>
        <w:pStyle w:val="Heading1"/>
        <w:spacing w:before="320" w:after="160" w:line="360" w:lineRule="auto"/>
        <w:rPr>
          <w:rFonts w:ascii="Times New Roman" w:hAnsi="Times New Roman" w:cs="Times New Roman"/>
          <w:color w:val="auto"/>
          <w:sz w:val="24"/>
          <w:szCs w:val="24"/>
        </w:rPr>
      </w:pPr>
      <w:r w:rsidRPr="00BF3B32">
        <w:rPr>
          <w:rFonts w:ascii="Times New Roman" w:hAnsi="Times New Roman" w:cs="Times New Roman"/>
          <w:b/>
          <w:bCs/>
          <w:color w:val="auto"/>
          <w:sz w:val="24"/>
          <w:szCs w:val="24"/>
        </w:rPr>
        <w:lastRenderedPageBreak/>
        <w:t>5. Comparative Literature Survey Table</w:t>
      </w:r>
    </w:p>
    <w:p w14:paraId="5B451D1C" w14:textId="77777777" w:rsidR="005F50A7" w:rsidRPr="00BF3B32" w:rsidRDefault="00702A2E" w:rsidP="00BF3B32">
      <w:pPr>
        <w:spacing w:after="160" w:line="360" w:lineRule="auto"/>
        <w:jc w:val="both"/>
        <w:rPr>
          <w:rFonts w:ascii="Times New Roman" w:hAnsi="Times New Roman" w:cs="Times New Roman"/>
          <w:sz w:val="24"/>
          <w:szCs w:val="24"/>
        </w:rPr>
      </w:pPr>
      <w:r w:rsidRPr="00BF3B32">
        <w:rPr>
          <w:rFonts w:ascii="Times New Roman" w:hAnsi="Times New Roman" w:cs="Times New Roman"/>
          <w:sz w:val="24"/>
          <w:szCs w:val="24"/>
        </w:rPr>
        <w:t>The table below consolidates the reviewed studies for side-by-side comparison across methodology, data, findings, limitations, and the specific research gap each leaves open.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2"/>
        <w:gridCol w:w="1215"/>
        <w:gridCol w:w="1419"/>
        <w:gridCol w:w="1129"/>
        <w:gridCol w:w="2018"/>
        <w:gridCol w:w="1337"/>
        <w:gridCol w:w="1490"/>
      </w:tblGrid>
      <w:tr w:rsidR="005F50A7" w:rsidRPr="00BF3B32" w14:paraId="70926BDA" w14:textId="77777777">
        <w:tblPrEx>
          <w:tblCellMar>
            <w:top w:w="0" w:type="dxa"/>
            <w:bottom w:w="0" w:type="dxa"/>
          </w:tblCellMar>
        </w:tblPrEx>
        <w:trPr>
          <w:tblHeader/>
        </w:trPr>
        <w:tc>
          <w:tcPr>
            <w:tcW w:w="1150" w:type="dxa"/>
            <w:shd w:val="clear" w:color="auto" w:fill="1F3864"/>
            <w:tcMar>
              <w:top w:w="80" w:type="dxa"/>
              <w:left w:w="100" w:type="dxa"/>
              <w:bottom w:w="80" w:type="dxa"/>
              <w:right w:w="100" w:type="dxa"/>
            </w:tcMar>
            <w:vAlign w:val="center"/>
          </w:tcPr>
          <w:p w14:paraId="057A95FD"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b/>
                <w:bCs/>
                <w:sz w:val="24"/>
                <w:szCs w:val="24"/>
              </w:rPr>
              <w:t>Author / Year</w:t>
            </w:r>
          </w:p>
        </w:tc>
        <w:tc>
          <w:tcPr>
            <w:tcW w:w="1450" w:type="dxa"/>
            <w:shd w:val="clear" w:color="auto" w:fill="1F3864"/>
            <w:tcMar>
              <w:top w:w="80" w:type="dxa"/>
              <w:left w:w="100" w:type="dxa"/>
              <w:bottom w:w="80" w:type="dxa"/>
              <w:right w:w="100" w:type="dxa"/>
            </w:tcMar>
            <w:vAlign w:val="center"/>
          </w:tcPr>
          <w:p w14:paraId="4AD8C415"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b/>
                <w:bCs/>
                <w:sz w:val="24"/>
                <w:szCs w:val="24"/>
              </w:rPr>
              <w:t>Research Problem</w:t>
            </w:r>
          </w:p>
        </w:tc>
        <w:tc>
          <w:tcPr>
            <w:tcW w:w="1500" w:type="dxa"/>
            <w:shd w:val="clear" w:color="auto" w:fill="1F3864"/>
            <w:tcMar>
              <w:top w:w="80" w:type="dxa"/>
              <w:left w:w="100" w:type="dxa"/>
              <w:bottom w:w="80" w:type="dxa"/>
              <w:right w:w="100" w:type="dxa"/>
            </w:tcMar>
            <w:vAlign w:val="center"/>
          </w:tcPr>
          <w:p w14:paraId="78E723CE"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b/>
                <w:bCs/>
                <w:sz w:val="24"/>
                <w:szCs w:val="24"/>
              </w:rPr>
              <w:t>Methodology</w:t>
            </w:r>
          </w:p>
        </w:tc>
        <w:tc>
          <w:tcPr>
            <w:tcW w:w="1350" w:type="dxa"/>
            <w:shd w:val="clear" w:color="auto" w:fill="1F3864"/>
            <w:tcMar>
              <w:top w:w="80" w:type="dxa"/>
              <w:left w:w="100" w:type="dxa"/>
              <w:bottom w:w="80" w:type="dxa"/>
              <w:right w:w="100" w:type="dxa"/>
            </w:tcMar>
            <w:vAlign w:val="center"/>
          </w:tcPr>
          <w:p w14:paraId="56558F4B"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b/>
                <w:bCs/>
                <w:sz w:val="24"/>
                <w:szCs w:val="24"/>
              </w:rPr>
              <w:t>Dataset / Tools</w:t>
            </w:r>
          </w:p>
        </w:tc>
        <w:tc>
          <w:tcPr>
            <w:tcW w:w="1650" w:type="dxa"/>
            <w:shd w:val="clear" w:color="auto" w:fill="1F3864"/>
            <w:tcMar>
              <w:top w:w="80" w:type="dxa"/>
              <w:left w:w="100" w:type="dxa"/>
              <w:bottom w:w="80" w:type="dxa"/>
              <w:right w:w="100" w:type="dxa"/>
            </w:tcMar>
            <w:vAlign w:val="center"/>
          </w:tcPr>
          <w:p w14:paraId="2B671B05"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b/>
                <w:bCs/>
                <w:sz w:val="24"/>
                <w:szCs w:val="24"/>
              </w:rPr>
              <w:t>Key Findings</w:t>
            </w:r>
          </w:p>
        </w:tc>
        <w:tc>
          <w:tcPr>
            <w:tcW w:w="1500" w:type="dxa"/>
            <w:shd w:val="clear" w:color="auto" w:fill="1F3864"/>
            <w:tcMar>
              <w:top w:w="80" w:type="dxa"/>
              <w:left w:w="100" w:type="dxa"/>
              <w:bottom w:w="80" w:type="dxa"/>
              <w:right w:w="100" w:type="dxa"/>
            </w:tcMar>
            <w:vAlign w:val="center"/>
          </w:tcPr>
          <w:p w14:paraId="2D846270"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b/>
                <w:bCs/>
                <w:sz w:val="24"/>
                <w:szCs w:val="24"/>
              </w:rPr>
              <w:t>Limitations</w:t>
            </w:r>
          </w:p>
        </w:tc>
        <w:tc>
          <w:tcPr>
            <w:tcW w:w="1500" w:type="dxa"/>
            <w:shd w:val="clear" w:color="auto" w:fill="1F3864"/>
            <w:tcMar>
              <w:top w:w="80" w:type="dxa"/>
              <w:left w:w="100" w:type="dxa"/>
              <w:bottom w:w="80" w:type="dxa"/>
              <w:right w:w="100" w:type="dxa"/>
            </w:tcMar>
            <w:vAlign w:val="center"/>
          </w:tcPr>
          <w:p w14:paraId="4AC13170"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b/>
                <w:bCs/>
                <w:sz w:val="24"/>
                <w:szCs w:val="24"/>
              </w:rPr>
              <w:t>Research Gap</w:t>
            </w:r>
          </w:p>
        </w:tc>
      </w:tr>
      <w:tr w:rsidR="005F50A7" w:rsidRPr="00BF3B32" w14:paraId="1505682C" w14:textId="77777777">
        <w:tblPrEx>
          <w:tblCellMar>
            <w:top w:w="0" w:type="dxa"/>
            <w:bottom w:w="0" w:type="dxa"/>
          </w:tblCellMar>
        </w:tblPrEx>
        <w:tc>
          <w:tcPr>
            <w:tcW w:w="1150" w:type="dxa"/>
            <w:tcMar>
              <w:top w:w="80" w:type="dxa"/>
              <w:left w:w="100" w:type="dxa"/>
              <w:bottom w:w="80" w:type="dxa"/>
              <w:right w:w="100" w:type="dxa"/>
            </w:tcMar>
            <w:vAlign w:val="center"/>
          </w:tcPr>
          <w:p w14:paraId="3C40860D"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Mahmoudian, Nemati &amp; Safaei (2023)</w:t>
            </w:r>
          </w:p>
        </w:tc>
        <w:tc>
          <w:tcPr>
            <w:tcW w:w="1450" w:type="dxa"/>
            <w:tcMar>
              <w:top w:w="80" w:type="dxa"/>
              <w:left w:w="100" w:type="dxa"/>
              <w:bottom w:w="80" w:type="dxa"/>
              <w:right w:w="100" w:type="dxa"/>
            </w:tcMar>
            <w:vAlign w:val="center"/>
          </w:tcPr>
          <w:p w14:paraId="1263844E"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Forecasting hospital bed capacity (HBC) for public hospitals</w:t>
            </w:r>
          </w:p>
        </w:tc>
        <w:tc>
          <w:tcPr>
            <w:tcW w:w="1500" w:type="dxa"/>
            <w:tcMar>
              <w:top w:w="80" w:type="dxa"/>
              <w:left w:w="100" w:type="dxa"/>
              <w:bottom w:w="80" w:type="dxa"/>
              <w:right w:w="100" w:type="dxa"/>
            </w:tcMar>
            <w:vAlign w:val="center"/>
          </w:tcPr>
          <w:p w14:paraId="0ED7672D"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ML classifiers (Bayesian network, KNN, SVM, decision tree, linear regression) for length-of-stay classes; SARIMA, linear regression and LSTM for admissions forecasting</w:t>
            </w:r>
          </w:p>
        </w:tc>
        <w:tc>
          <w:tcPr>
            <w:tcW w:w="1350" w:type="dxa"/>
            <w:tcMar>
              <w:top w:w="80" w:type="dxa"/>
              <w:left w:w="100" w:type="dxa"/>
              <w:bottom w:w="80" w:type="dxa"/>
              <w:right w:w="100" w:type="dxa"/>
            </w:tcMar>
            <w:vAlign w:val="center"/>
          </w:tcPr>
          <w:p w14:paraId="789DDDB8"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Historical admission and bed-occupancy time-series data from public hospitals; Python-based ML/DL toolkits</w:t>
            </w:r>
          </w:p>
        </w:tc>
        <w:tc>
          <w:tcPr>
            <w:tcW w:w="1650" w:type="dxa"/>
            <w:tcMar>
              <w:top w:w="80" w:type="dxa"/>
              <w:left w:w="100" w:type="dxa"/>
              <w:bottom w:w="80" w:type="dxa"/>
              <w:right w:w="100" w:type="dxa"/>
            </w:tcMar>
            <w:vAlign w:val="center"/>
          </w:tcPr>
          <w:p w14:paraId="5B4FDAC5"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Combining LOS classification with admissions forecasting produced more accurate bed-capacity estimates than pure simulation/programming models</w:t>
            </w:r>
          </w:p>
        </w:tc>
        <w:tc>
          <w:tcPr>
            <w:tcW w:w="1500" w:type="dxa"/>
            <w:tcMar>
              <w:top w:w="80" w:type="dxa"/>
              <w:left w:w="100" w:type="dxa"/>
              <w:bottom w:w="80" w:type="dxa"/>
              <w:right w:w="100" w:type="dxa"/>
            </w:tcMar>
            <w:vAlign w:val="center"/>
          </w:tcPr>
          <w:p w14:paraId="2188AC62"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Relies only on historical occupancy data; does not incorporate real-time IoT sensor feeds or cross-department transfer dynamics</w:t>
            </w:r>
          </w:p>
        </w:tc>
        <w:tc>
          <w:tcPr>
            <w:tcW w:w="1500" w:type="dxa"/>
            <w:tcMar>
              <w:top w:w="80" w:type="dxa"/>
              <w:left w:w="100" w:type="dxa"/>
              <w:bottom w:w="80" w:type="dxa"/>
              <w:right w:w="100" w:type="dxa"/>
            </w:tcMar>
            <w:vAlign w:val="center"/>
          </w:tcPr>
          <w:p w14:paraId="1349E5E6"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No integration of live resource-monitoring data into the forecasting loop</w:t>
            </w:r>
          </w:p>
        </w:tc>
      </w:tr>
      <w:tr w:rsidR="005F50A7" w:rsidRPr="00BF3B32" w14:paraId="0DA1D0B5" w14:textId="77777777">
        <w:tblPrEx>
          <w:tblCellMar>
            <w:top w:w="0" w:type="dxa"/>
            <w:bottom w:w="0" w:type="dxa"/>
          </w:tblCellMar>
        </w:tblPrEx>
        <w:tc>
          <w:tcPr>
            <w:tcW w:w="1150" w:type="dxa"/>
            <w:shd w:val="clear" w:color="auto" w:fill="F2F5FB"/>
            <w:tcMar>
              <w:top w:w="80" w:type="dxa"/>
              <w:left w:w="100" w:type="dxa"/>
              <w:bottom w:w="80" w:type="dxa"/>
              <w:right w:w="100" w:type="dxa"/>
            </w:tcMar>
            <w:vAlign w:val="center"/>
          </w:tcPr>
          <w:p w14:paraId="0B7A1BA1"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Schiele, Koperna &amp; Brunner (2021)</w:t>
            </w:r>
          </w:p>
        </w:tc>
        <w:tc>
          <w:tcPr>
            <w:tcW w:w="1450" w:type="dxa"/>
            <w:shd w:val="clear" w:color="auto" w:fill="F2F5FB"/>
            <w:tcMar>
              <w:top w:w="80" w:type="dxa"/>
              <w:left w:w="100" w:type="dxa"/>
              <w:bottom w:w="80" w:type="dxa"/>
              <w:right w:w="100" w:type="dxa"/>
            </w:tcMar>
            <w:vAlign w:val="center"/>
          </w:tcPr>
          <w:p w14:paraId="6682B971"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Predicting ICU bed occupancy to support integrated operating-</w:t>
            </w:r>
            <w:r w:rsidRPr="00BF3B32">
              <w:rPr>
                <w:rFonts w:ascii="Times New Roman" w:hAnsi="Times New Roman" w:cs="Times New Roman"/>
                <w:sz w:val="24"/>
                <w:szCs w:val="24"/>
              </w:rPr>
              <w:lastRenderedPageBreak/>
              <w:t>room (OR) scheduling</w:t>
            </w:r>
          </w:p>
        </w:tc>
        <w:tc>
          <w:tcPr>
            <w:tcW w:w="1500" w:type="dxa"/>
            <w:shd w:val="clear" w:color="auto" w:fill="F2F5FB"/>
            <w:tcMar>
              <w:top w:w="80" w:type="dxa"/>
              <w:left w:w="100" w:type="dxa"/>
              <w:bottom w:w="80" w:type="dxa"/>
              <w:right w:w="100" w:type="dxa"/>
            </w:tcMar>
            <w:vAlign w:val="center"/>
          </w:tcPr>
          <w:p w14:paraId="4011089B"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lastRenderedPageBreak/>
              <w:t xml:space="preserve">Feed-forward neural network trained on historical OR block </w:t>
            </w:r>
            <w:r w:rsidRPr="00BF3B32">
              <w:rPr>
                <w:rFonts w:ascii="Times New Roman" w:hAnsi="Times New Roman" w:cs="Times New Roman"/>
                <w:sz w:val="24"/>
                <w:szCs w:val="24"/>
              </w:rPr>
              <w:lastRenderedPageBreak/>
              <w:t>allocation and supporting-unit occupancy data</w:t>
            </w:r>
          </w:p>
        </w:tc>
        <w:tc>
          <w:tcPr>
            <w:tcW w:w="1350" w:type="dxa"/>
            <w:shd w:val="clear" w:color="auto" w:fill="F2F5FB"/>
            <w:tcMar>
              <w:top w:w="80" w:type="dxa"/>
              <w:left w:w="100" w:type="dxa"/>
              <w:bottom w:w="80" w:type="dxa"/>
              <w:right w:w="100" w:type="dxa"/>
            </w:tcMar>
            <w:vAlign w:val="center"/>
          </w:tcPr>
          <w:p w14:paraId="6883F301"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lastRenderedPageBreak/>
              <w:t xml:space="preserve">Single-hospital OR scheduling and ICU </w:t>
            </w:r>
            <w:r w:rsidRPr="00BF3B32">
              <w:rPr>
                <w:rFonts w:ascii="Times New Roman" w:hAnsi="Times New Roman" w:cs="Times New Roman"/>
                <w:sz w:val="24"/>
                <w:szCs w:val="24"/>
              </w:rPr>
              <w:lastRenderedPageBreak/>
              <w:t>occupancy records</w:t>
            </w:r>
          </w:p>
        </w:tc>
        <w:tc>
          <w:tcPr>
            <w:tcW w:w="1650" w:type="dxa"/>
            <w:shd w:val="clear" w:color="auto" w:fill="F2F5FB"/>
            <w:tcMar>
              <w:top w:w="80" w:type="dxa"/>
              <w:left w:w="100" w:type="dxa"/>
              <w:bottom w:w="80" w:type="dxa"/>
              <w:right w:w="100" w:type="dxa"/>
            </w:tcMar>
            <w:vAlign w:val="center"/>
          </w:tcPr>
          <w:p w14:paraId="290E5F42"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lastRenderedPageBreak/>
              <w:t xml:space="preserve">Neural network captured nonlinear relationships between OR schedules and ICU occupancy better than </w:t>
            </w:r>
            <w:r w:rsidRPr="00BF3B32">
              <w:rPr>
                <w:rFonts w:ascii="Times New Roman" w:hAnsi="Times New Roman" w:cs="Times New Roman"/>
                <w:sz w:val="24"/>
                <w:szCs w:val="24"/>
              </w:rPr>
              <w:lastRenderedPageBreak/>
              <w:t>analytical/queueing models</w:t>
            </w:r>
          </w:p>
        </w:tc>
        <w:tc>
          <w:tcPr>
            <w:tcW w:w="1500" w:type="dxa"/>
            <w:shd w:val="clear" w:color="auto" w:fill="F2F5FB"/>
            <w:tcMar>
              <w:top w:w="80" w:type="dxa"/>
              <w:left w:w="100" w:type="dxa"/>
              <w:bottom w:w="80" w:type="dxa"/>
              <w:right w:w="100" w:type="dxa"/>
            </w:tcMar>
            <w:vAlign w:val="center"/>
          </w:tcPr>
          <w:p w14:paraId="27691E0D"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lastRenderedPageBreak/>
              <w:t xml:space="preserve">Validated at a single hospital only; excludes emergency-department </w:t>
            </w:r>
            <w:r w:rsidRPr="00BF3B32">
              <w:rPr>
                <w:rFonts w:ascii="Times New Roman" w:hAnsi="Times New Roman" w:cs="Times New Roman"/>
                <w:sz w:val="24"/>
                <w:szCs w:val="24"/>
              </w:rPr>
              <w:lastRenderedPageBreak/>
              <w:t>arrivals and ward-to-ward transfers</w:t>
            </w:r>
          </w:p>
        </w:tc>
        <w:tc>
          <w:tcPr>
            <w:tcW w:w="1500" w:type="dxa"/>
            <w:shd w:val="clear" w:color="auto" w:fill="F2F5FB"/>
            <w:tcMar>
              <w:top w:w="80" w:type="dxa"/>
              <w:left w:w="100" w:type="dxa"/>
              <w:bottom w:w="80" w:type="dxa"/>
              <w:right w:w="100" w:type="dxa"/>
            </w:tcMar>
            <w:vAlign w:val="center"/>
          </w:tcPr>
          <w:p w14:paraId="06B29F9C"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lastRenderedPageBreak/>
              <w:t xml:space="preserve">Lack of a multi-department model linking OR, ICU and ED resource </w:t>
            </w:r>
            <w:r w:rsidRPr="00BF3B32">
              <w:rPr>
                <w:rFonts w:ascii="Times New Roman" w:hAnsi="Times New Roman" w:cs="Times New Roman"/>
                <w:sz w:val="24"/>
                <w:szCs w:val="24"/>
              </w:rPr>
              <w:lastRenderedPageBreak/>
              <w:t>states simultaneously</w:t>
            </w:r>
          </w:p>
        </w:tc>
      </w:tr>
      <w:tr w:rsidR="005F50A7" w:rsidRPr="00BF3B32" w14:paraId="455BF0B6" w14:textId="77777777">
        <w:tblPrEx>
          <w:tblCellMar>
            <w:top w:w="0" w:type="dxa"/>
            <w:bottom w:w="0" w:type="dxa"/>
          </w:tblCellMar>
        </w:tblPrEx>
        <w:tc>
          <w:tcPr>
            <w:tcW w:w="1150" w:type="dxa"/>
            <w:tcMar>
              <w:top w:w="80" w:type="dxa"/>
              <w:left w:w="100" w:type="dxa"/>
              <w:bottom w:w="80" w:type="dxa"/>
              <w:right w:w="100" w:type="dxa"/>
            </w:tcMar>
            <w:vAlign w:val="center"/>
          </w:tcPr>
          <w:p w14:paraId="13D0699A"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lastRenderedPageBreak/>
              <w:t xml:space="preserve">Fattouh, </w:t>
            </w:r>
            <w:proofErr w:type="spellStart"/>
            <w:r w:rsidRPr="00BF3B32">
              <w:rPr>
                <w:rFonts w:ascii="Times New Roman" w:hAnsi="Times New Roman" w:cs="Times New Roman"/>
                <w:sz w:val="24"/>
                <w:szCs w:val="24"/>
              </w:rPr>
              <w:t>Lyssenko</w:t>
            </w:r>
            <w:proofErr w:type="spellEnd"/>
            <w:r w:rsidRPr="00BF3B32">
              <w:rPr>
                <w:rFonts w:ascii="Times New Roman" w:hAnsi="Times New Roman" w:cs="Times New Roman"/>
                <w:sz w:val="24"/>
                <w:szCs w:val="24"/>
              </w:rPr>
              <w:t xml:space="preserve">, </w:t>
            </w:r>
            <w:proofErr w:type="spellStart"/>
            <w:r w:rsidRPr="00BF3B32">
              <w:rPr>
                <w:rFonts w:ascii="Times New Roman" w:hAnsi="Times New Roman" w:cs="Times New Roman"/>
                <w:sz w:val="24"/>
                <w:szCs w:val="24"/>
              </w:rPr>
              <w:t>Heilmeyer</w:t>
            </w:r>
            <w:proofErr w:type="spellEnd"/>
            <w:r w:rsidRPr="00BF3B32">
              <w:rPr>
                <w:rFonts w:ascii="Times New Roman" w:hAnsi="Times New Roman" w:cs="Times New Roman"/>
                <w:sz w:val="24"/>
                <w:szCs w:val="24"/>
              </w:rPr>
              <w:t xml:space="preserve"> et al. (2026)</w:t>
            </w:r>
          </w:p>
        </w:tc>
        <w:tc>
          <w:tcPr>
            <w:tcW w:w="1450" w:type="dxa"/>
            <w:tcMar>
              <w:top w:w="80" w:type="dxa"/>
              <w:left w:w="100" w:type="dxa"/>
              <w:bottom w:w="80" w:type="dxa"/>
              <w:right w:w="100" w:type="dxa"/>
            </w:tcMar>
            <w:vAlign w:val="center"/>
          </w:tcPr>
          <w:p w14:paraId="3D6FF51D"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Mid-term hospital bed-occupancy forecasting</w:t>
            </w:r>
          </w:p>
        </w:tc>
        <w:tc>
          <w:tcPr>
            <w:tcW w:w="1500" w:type="dxa"/>
            <w:tcMar>
              <w:top w:w="80" w:type="dxa"/>
              <w:left w:w="100" w:type="dxa"/>
              <w:bottom w:w="80" w:type="dxa"/>
              <w:right w:w="100" w:type="dxa"/>
            </w:tcMar>
            <w:vAlign w:val="center"/>
          </w:tcPr>
          <w:p w14:paraId="0B1B2DE8"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Prophet time-series model with holiday and COVID-19 indicator regressors; rolling cross-validation</w:t>
            </w:r>
          </w:p>
        </w:tc>
        <w:tc>
          <w:tcPr>
            <w:tcW w:w="1350" w:type="dxa"/>
            <w:tcMar>
              <w:top w:w="80" w:type="dxa"/>
              <w:left w:w="100" w:type="dxa"/>
              <w:bottom w:w="80" w:type="dxa"/>
              <w:right w:w="100" w:type="dxa"/>
            </w:tcMar>
            <w:vAlign w:val="center"/>
          </w:tcPr>
          <w:p w14:paraId="2CBCE4FD"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 xml:space="preserve">Daily bed-occupancy data (2010-2023), Medical </w:t>
            </w:r>
            <w:proofErr w:type="spellStart"/>
            <w:r w:rsidRPr="00BF3B32">
              <w:rPr>
                <w:rFonts w:ascii="Times New Roman" w:hAnsi="Times New Roman" w:cs="Times New Roman"/>
                <w:sz w:val="24"/>
                <w:szCs w:val="24"/>
              </w:rPr>
              <w:t>Center</w:t>
            </w:r>
            <w:proofErr w:type="spellEnd"/>
            <w:r w:rsidRPr="00BF3B32">
              <w:rPr>
                <w:rFonts w:ascii="Times New Roman" w:hAnsi="Times New Roman" w:cs="Times New Roman"/>
                <w:sz w:val="24"/>
                <w:szCs w:val="24"/>
              </w:rPr>
              <w:t xml:space="preserve"> - University of Freiburg</w:t>
            </w:r>
          </w:p>
        </w:tc>
        <w:tc>
          <w:tcPr>
            <w:tcW w:w="1650" w:type="dxa"/>
            <w:tcMar>
              <w:top w:w="80" w:type="dxa"/>
              <w:left w:w="100" w:type="dxa"/>
              <w:bottom w:w="80" w:type="dxa"/>
              <w:right w:w="100" w:type="dxa"/>
            </w:tcMar>
            <w:vAlign w:val="center"/>
          </w:tcPr>
          <w:p w14:paraId="65A9913A"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Achieved MAPE of about 3.2% for 30- and 60-day horizons, outperforming several ML/DL baselines while remaining interpretable</w:t>
            </w:r>
          </w:p>
        </w:tc>
        <w:tc>
          <w:tcPr>
            <w:tcW w:w="1500" w:type="dxa"/>
            <w:tcMar>
              <w:top w:w="80" w:type="dxa"/>
              <w:left w:w="100" w:type="dxa"/>
              <w:bottom w:w="80" w:type="dxa"/>
              <w:right w:w="100" w:type="dxa"/>
            </w:tcMar>
            <w:vAlign w:val="center"/>
          </w:tcPr>
          <w:p w14:paraId="35355DAD"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Interpretable but simpler model may miss complex nonlinear ward-level interactions captured by deep learning</w:t>
            </w:r>
          </w:p>
        </w:tc>
        <w:tc>
          <w:tcPr>
            <w:tcW w:w="1500" w:type="dxa"/>
            <w:tcMar>
              <w:top w:w="80" w:type="dxa"/>
              <w:left w:w="100" w:type="dxa"/>
              <w:bottom w:w="80" w:type="dxa"/>
              <w:right w:w="100" w:type="dxa"/>
            </w:tcMar>
            <w:vAlign w:val="center"/>
          </w:tcPr>
          <w:p w14:paraId="5B577623"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Trade-off between interpretability and modelling complex interdepartmental patient flow remains unresolved</w:t>
            </w:r>
          </w:p>
        </w:tc>
      </w:tr>
      <w:tr w:rsidR="005F50A7" w:rsidRPr="00BF3B32" w14:paraId="6A5EE27A" w14:textId="77777777">
        <w:tblPrEx>
          <w:tblCellMar>
            <w:top w:w="0" w:type="dxa"/>
            <w:bottom w:w="0" w:type="dxa"/>
          </w:tblCellMar>
        </w:tblPrEx>
        <w:tc>
          <w:tcPr>
            <w:tcW w:w="1150" w:type="dxa"/>
            <w:shd w:val="clear" w:color="auto" w:fill="F2F5FB"/>
            <w:tcMar>
              <w:top w:w="80" w:type="dxa"/>
              <w:left w:w="100" w:type="dxa"/>
              <w:bottom w:w="80" w:type="dxa"/>
              <w:right w:w="100" w:type="dxa"/>
            </w:tcMar>
            <w:vAlign w:val="center"/>
          </w:tcPr>
          <w:p w14:paraId="732E4158"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Systematic review - Impact of AI on hospital admission prediction and flow optimization (2025)</w:t>
            </w:r>
          </w:p>
        </w:tc>
        <w:tc>
          <w:tcPr>
            <w:tcW w:w="1450" w:type="dxa"/>
            <w:shd w:val="clear" w:color="auto" w:fill="F2F5FB"/>
            <w:tcMar>
              <w:top w:w="80" w:type="dxa"/>
              <w:left w:w="100" w:type="dxa"/>
              <w:bottom w:w="80" w:type="dxa"/>
              <w:right w:w="100" w:type="dxa"/>
            </w:tcMar>
            <w:vAlign w:val="center"/>
          </w:tcPr>
          <w:p w14:paraId="508DB4E5"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Effectiveness of AI-assisted admission prediction on ED patient flow and resource allocation</w:t>
            </w:r>
          </w:p>
        </w:tc>
        <w:tc>
          <w:tcPr>
            <w:tcW w:w="1500" w:type="dxa"/>
            <w:shd w:val="clear" w:color="auto" w:fill="F2F5FB"/>
            <w:tcMar>
              <w:top w:w="80" w:type="dxa"/>
              <w:left w:w="100" w:type="dxa"/>
              <w:bottom w:w="80" w:type="dxa"/>
              <w:right w:w="100" w:type="dxa"/>
            </w:tcMar>
            <w:vAlign w:val="center"/>
          </w:tcPr>
          <w:p w14:paraId="67618CA1"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Systematic review of ML/AI admission-prediction studies across emergency departments</w:t>
            </w:r>
          </w:p>
        </w:tc>
        <w:tc>
          <w:tcPr>
            <w:tcW w:w="1350" w:type="dxa"/>
            <w:shd w:val="clear" w:color="auto" w:fill="F2F5FB"/>
            <w:tcMar>
              <w:top w:w="80" w:type="dxa"/>
              <w:left w:w="100" w:type="dxa"/>
              <w:bottom w:w="80" w:type="dxa"/>
              <w:right w:w="100" w:type="dxa"/>
            </w:tcMar>
            <w:vAlign w:val="center"/>
          </w:tcPr>
          <w:p w14:paraId="245CFBB8"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Pooled evidence from multiple published ED admission-prediction studies</w:t>
            </w:r>
          </w:p>
        </w:tc>
        <w:tc>
          <w:tcPr>
            <w:tcW w:w="1650" w:type="dxa"/>
            <w:shd w:val="clear" w:color="auto" w:fill="F2F5FB"/>
            <w:tcMar>
              <w:top w:w="80" w:type="dxa"/>
              <w:left w:w="100" w:type="dxa"/>
              <w:bottom w:w="80" w:type="dxa"/>
              <w:right w:w="100" w:type="dxa"/>
            </w:tcMar>
            <w:vAlign w:val="center"/>
          </w:tcPr>
          <w:p w14:paraId="1E3185A8"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AI-driven admission prediction reduced avoidable hospitalizations, optimized bed occupancy and reduced ED overcrowding</w:t>
            </w:r>
          </w:p>
        </w:tc>
        <w:tc>
          <w:tcPr>
            <w:tcW w:w="1500" w:type="dxa"/>
            <w:shd w:val="clear" w:color="auto" w:fill="F2F5FB"/>
            <w:tcMar>
              <w:top w:w="80" w:type="dxa"/>
              <w:left w:w="100" w:type="dxa"/>
              <w:bottom w:w="80" w:type="dxa"/>
              <w:right w:w="100" w:type="dxa"/>
            </w:tcMar>
            <w:vAlign w:val="center"/>
          </w:tcPr>
          <w:p w14:paraId="6CE14044"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Most underlying studies are retrospective and single-site; limited prospective, multi-site validation</w:t>
            </w:r>
          </w:p>
        </w:tc>
        <w:tc>
          <w:tcPr>
            <w:tcW w:w="1500" w:type="dxa"/>
            <w:shd w:val="clear" w:color="auto" w:fill="F2F5FB"/>
            <w:tcMar>
              <w:top w:w="80" w:type="dxa"/>
              <w:left w:w="100" w:type="dxa"/>
              <w:bottom w:w="80" w:type="dxa"/>
              <w:right w:w="100" w:type="dxa"/>
            </w:tcMar>
            <w:vAlign w:val="center"/>
          </w:tcPr>
          <w:p w14:paraId="186B606D"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Need for prospective, multi-hospital trials validating real-world clinical and operational impact</w:t>
            </w:r>
          </w:p>
        </w:tc>
      </w:tr>
      <w:tr w:rsidR="005F50A7" w:rsidRPr="00BF3B32" w14:paraId="605BB35E" w14:textId="77777777">
        <w:tblPrEx>
          <w:tblCellMar>
            <w:top w:w="0" w:type="dxa"/>
            <w:bottom w:w="0" w:type="dxa"/>
          </w:tblCellMar>
        </w:tblPrEx>
        <w:tc>
          <w:tcPr>
            <w:tcW w:w="1150" w:type="dxa"/>
            <w:tcMar>
              <w:top w:w="80" w:type="dxa"/>
              <w:left w:w="100" w:type="dxa"/>
              <w:bottom w:w="80" w:type="dxa"/>
              <w:right w:w="100" w:type="dxa"/>
            </w:tcMar>
            <w:vAlign w:val="center"/>
          </w:tcPr>
          <w:p w14:paraId="55235AF4"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lastRenderedPageBreak/>
              <w:t xml:space="preserve">Vural, </w:t>
            </w:r>
            <w:proofErr w:type="spellStart"/>
            <w:r w:rsidRPr="00BF3B32">
              <w:rPr>
                <w:rFonts w:ascii="Times New Roman" w:hAnsi="Times New Roman" w:cs="Times New Roman"/>
                <w:sz w:val="24"/>
                <w:szCs w:val="24"/>
              </w:rPr>
              <w:t>Ozaydin</w:t>
            </w:r>
            <w:proofErr w:type="spellEnd"/>
            <w:r w:rsidRPr="00BF3B32">
              <w:rPr>
                <w:rFonts w:ascii="Times New Roman" w:hAnsi="Times New Roman" w:cs="Times New Roman"/>
                <w:sz w:val="24"/>
                <w:szCs w:val="24"/>
              </w:rPr>
              <w:t>, Aram, Booth, Lindsey &amp; Ahmed (2025)</w:t>
            </w:r>
          </w:p>
        </w:tc>
        <w:tc>
          <w:tcPr>
            <w:tcW w:w="1450" w:type="dxa"/>
            <w:tcMar>
              <w:top w:w="80" w:type="dxa"/>
              <w:left w:w="100" w:type="dxa"/>
              <w:bottom w:w="80" w:type="dxa"/>
              <w:right w:w="100" w:type="dxa"/>
            </w:tcMar>
            <w:vAlign w:val="center"/>
          </w:tcPr>
          <w:p w14:paraId="48652D6A"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Predicting ED waiting-room occupancy to pre-empt overcrowding</w:t>
            </w:r>
          </w:p>
        </w:tc>
        <w:tc>
          <w:tcPr>
            <w:tcW w:w="1500" w:type="dxa"/>
            <w:tcMar>
              <w:top w:w="80" w:type="dxa"/>
              <w:left w:w="100" w:type="dxa"/>
              <w:bottom w:w="80" w:type="dxa"/>
              <w:right w:w="100" w:type="dxa"/>
            </w:tcMar>
            <w:vAlign w:val="center"/>
          </w:tcPr>
          <w:p w14:paraId="6C8C0F20"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Eleven ML/DL algorithms, including a time-series vision transformer (</w:t>
            </w:r>
            <w:proofErr w:type="spellStart"/>
            <w:r w:rsidRPr="00BF3B32">
              <w:rPr>
                <w:rFonts w:ascii="Times New Roman" w:hAnsi="Times New Roman" w:cs="Times New Roman"/>
                <w:sz w:val="24"/>
                <w:szCs w:val="24"/>
              </w:rPr>
              <w:t>TSiTPlus</w:t>
            </w:r>
            <w:proofErr w:type="spellEnd"/>
            <w:r w:rsidRPr="00BF3B32">
              <w:rPr>
                <w:rFonts w:ascii="Times New Roman" w:hAnsi="Times New Roman" w:cs="Times New Roman"/>
                <w:sz w:val="24"/>
                <w:szCs w:val="24"/>
              </w:rPr>
              <w:t>), compared for hourly and daily waiting-count forecasts</w:t>
            </w:r>
          </w:p>
        </w:tc>
        <w:tc>
          <w:tcPr>
            <w:tcW w:w="1350" w:type="dxa"/>
            <w:tcMar>
              <w:top w:w="80" w:type="dxa"/>
              <w:left w:w="100" w:type="dxa"/>
              <w:bottom w:w="80" w:type="dxa"/>
              <w:right w:w="100" w:type="dxa"/>
            </w:tcMar>
            <w:vAlign w:val="center"/>
          </w:tcPr>
          <w:p w14:paraId="542D33BD"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Operational ED data from a partner hospital in the southeastern United States, integrating internal and external features</w:t>
            </w:r>
          </w:p>
        </w:tc>
        <w:tc>
          <w:tcPr>
            <w:tcW w:w="1650" w:type="dxa"/>
            <w:tcMar>
              <w:top w:w="80" w:type="dxa"/>
              <w:left w:w="100" w:type="dxa"/>
              <w:bottom w:w="80" w:type="dxa"/>
              <w:right w:w="100" w:type="dxa"/>
            </w:tcMar>
            <w:vAlign w:val="center"/>
          </w:tcPr>
          <w:p w14:paraId="6526AFE7"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Best hourly model achieved MAE of about 4.19 patients; enabled proactive staffing and capacity decisions before congestion occurred</w:t>
            </w:r>
          </w:p>
        </w:tc>
        <w:tc>
          <w:tcPr>
            <w:tcW w:w="1500" w:type="dxa"/>
            <w:tcMar>
              <w:top w:w="80" w:type="dxa"/>
              <w:left w:w="100" w:type="dxa"/>
              <w:bottom w:w="80" w:type="dxa"/>
              <w:right w:w="100" w:type="dxa"/>
            </w:tcMar>
            <w:vAlign w:val="center"/>
          </w:tcPr>
          <w:p w14:paraId="18370D62"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Model trained on a single ED; generalizability to hospitals with different patient-flow patterns not established</w:t>
            </w:r>
          </w:p>
        </w:tc>
        <w:tc>
          <w:tcPr>
            <w:tcW w:w="1500" w:type="dxa"/>
            <w:tcMar>
              <w:top w:w="80" w:type="dxa"/>
              <w:left w:w="100" w:type="dxa"/>
              <w:bottom w:w="80" w:type="dxa"/>
              <w:right w:w="100" w:type="dxa"/>
            </w:tcMar>
            <w:vAlign w:val="center"/>
          </w:tcPr>
          <w:p w14:paraId="130921A0"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Cross-site validation and integration with hospital-wide (not just ED-level) resource optimization is lacking</w:t>
            </w:r>
          </w:p>
        </w:tc>
      </w:tr>
      <w:tr w:rsidR="005F50A7" w:rsidRPr="00BF3B32" w14:paraId="77A2059E" w14:textId="77777777">
        <w:tblPrEx>
          <w:tblCellMar>
            <w:top w:w="0" w:type="dxa"/>
            <w:bottom w:w="0" w:type="dxa"/>
          </w:tblCellMar>
        </w:tblPrEx>
        <w:tc>
          <w:tcPr>
            <w:tcW w:w="1150" w:type="dxa"/>
            <w:shd w:val="clear" w:color="auto" w:fill="F2F5FB"/>
            <w:tcMar>
              <w:top w:w="80" w:type="dxa"/>
              <w:left w:w="100" w:type="dxa"/>
              <w:bottom w:w="80" w:type="dxa"/>
              <w:right w:w="100" w:type="dxa"/>
            </w:tcMar>
            <w:vAlign w:val="center"/>
          </w:tcPr>
          <w:p w14:paraId="38FCF87D"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Moreno-Sanchez, Aalto &amp; van Gils (2024)</w:t>
            </w:r>
          </w:p>
        </w:tc>
        <w:tc>
          <w:tcPr>
            <w:tcW w:w="1450" w:type="dxa"/>
            <w:shd w:val="clear" w:color="auto" w:fill="F2F5FB"/>
            <w:tcMar>
              <w:top w:w="80" w:type="dxa"/>
              <w:left w:w="100" w:type="dxa"/>
              <w:bottom w:w="80" w:type="dxa"/>
              <w:right w:w="100" w:type="dxa"/>
            </w:tcMar>
            <w:vAlign w:val="center"/>
          </w:tcPr>
          <w:p w14:paraId="5BD596FE"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Predicting ED patient flow (admission likelihood and specialty of care) to guide early resource allocation</w:t>
            </w:r>
          </w:p>
        </w:tc>
        <w:tc>
          <w:tcPr>
            <w:tcW w:w="1500" w:type="dxa"/>
            <w:shd w:val="clear" w:color="auto" w:fill="F2F5FB"/>
            <w:tcMar>
              <w:top w:w="80" w:type="dxa"/>
              <w:left w:w="100" w:type="dxa"/>
              <w:bottom w:w="80" w:type="dxa"/>
              <w:right w:w="100" w:type="dxa"/>
            </w:tcMar>
            <w:vAlign w:val="center"/>
          </w:tcPr>
          <w:p w14:paraId="2C0E8855"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Explainable AI (XAI) models applied at the point of triage to predict admission and required specialty</w:t>
            </w:r>
          </w:p>
        </w:tc>
        <w:tc>
          <w:tcPr>
            <w:tcW w:w="1350" w:type="dxa"/>
            <w:shd w:val="clear" w:color="auto" w:fill="F2F5FB"/>
            <w:tcMar>
              <w:top w:w="80" w:type="dxa"/>
              <w:left w:w="100" w:type="dxa"/>
              <w:bottom w:w="80" w:type="dxa"/>
              <w:right w:w="100" w:type="dxa"/>
            </w:tcMar>
            <w:vAlign w:val="center"/>
          </w:tcPr>
          <w:p w14:paraId="4490FA99"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Triage-time ED patient records</w:t>
            </w:r>
          </w:p>
        </w:tc>
        <w:tc>
          <w:tcPr>
            <w:tcW w:w="1650" w:type="dxa"/>
            <w:shd w:val="clear" w:color="auto" w:fill="F2F5FB"/>
            <w:tcMar>
              <w:top w:w="80" w:type="dxa"/>
              <w:left w:w="100" w:type="dxa"/>
              <w:bottom w:w="80" w:type="dxa"/>
              <w:right w:w="100" w:type="dxa"/>
            </w:tcMar>
            <w:vAlign w:val="center"/>
          </w:tcPr>
          <w:p w14:paraId="08EA91A2"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Early, interpretable predictions allowed clinicians to trust and act on ML recommendations for resource allocation</w:t>
            </w:r>
          </w:p>
        </w:tc>
        <w:tc>
          <w:tcPr>
            <w:tcW w:w="1500" w:type="dxa"/>
            <w:shd w:val="clear" w:color="auto" w:fill="F2F5FB"/>
            <w:tcMar>
              <w:top w:w="80" w:type="dxa"/>
              <w:left w:w="100" w:type="dxa"/>
              <w:bottom w:w="80" w:type="dxa"/>
              <w:right w:w="100" w:type="dxa"/>
            </w:tcMar>
            <w:vAlign w:val="center"/>
          </w:tcPr>
          <w:p w14:paraId="29E1A35C"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 xml:space="preserve">Explainability improves trust but adds computational overhead; limited to prediction, not downstream scheduling </w:t>
            </w:r>
            <w:r w:rsidRPr="00BF3B32">
              <w:rPr>
                <w:rFonts w:ascii="Times New Roman" w:hAnsi="Times New Roman" w:cs="Times New Roman"/>
                <w:sz w:val="24"/>
                <w:szCs w:val="24"/>
              </w:rPr>
              <w:lastRenderedPageBreak/>
              <w:t>optimization</w:t>
            </w:r>
          </w:p>
        </w:tc>
        <w:tc>
          <w:tcPr>
            <w:tcW w:w="1500" w:type="dxa"/>
            <w:shd w:val="clear" w:color="auto" w:fill="F2F5FB"/>
            <w:tcMar>
              <w:top w:w="80" w:type="dxa"/>
              <w:left w:w="100" w:type="dxa"/>
              <w:bottom w:w="80" w:type="dxa"/>
              <w:right w:w="100" w:type="dxa"/>
            </w:tcMar>
            <w:vAlign w:val="center"/>
          </w:tcPr>
          <w:p w14:paraId="5044BA0B"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lastRenderedPageBreak/>
              <w:t>Little work links explainable predictions directly to automated bed/staff allocation decisions</w:t>
            </w:r>
          </w:p>
        </w:tc>
      </w:tr>
      <w:tr w:rsidR="005F50A7" w:rsidRPr="00BF3B32" w14:paraId="70EBCC4A" w14:textId="77777777">
        <w:tblPrEx>
          <w:tblCellMar>
            <w:top w:w="0" w:type="dxa"/>
            <w:bottom w:w="0" w:type="dxa"/>
          </w:tblCellMar>
        </w:tblPrEx>
        <w:tc>
          <w:tcPr>
            <w:tcW w:w="1150" w:type="dxa"/>
            <w:tcMar>
              <w:top w:w="80" w:type="dxa"/>
              <w:left w:w="100" w:type="dxa"/>
              <w:bottom w:w="80" w:type="dxa"/>
              <w:right w:w="100" w:type="dxa"/>
            </w:tcMar>
            <w:vAlign w:val="center"/>
          </w:tcPr>
          <w:p w14:paraId="1DBE857F"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Systematic review - Digital twins in healthcare IoT (2025)</w:t>
            </w:r>
          </w:p>
        </w:tc>
        <w:tc>
          <w:tcPr>
            <w:tcW w:w="1450" w:type="dxa"/>
            <w:tcMar>
              <w:top w:w="80" w:type="dxa"/>
              <w:left w:w="100" w:type="dxa"/>
              <w:bottom w:w="80" w:type="dxa"/>
              <w:right w:w="100" w:type="dxa"/>
            </w:tcMar>
            <w:vAlign w:val="center"/>
          </w:tcPr>
          <w:p w14:paraId="31141FCC"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Role of digital twin and IoT architectures in hospital resource management and patient-flow simulation</w:t>
            </w:r>
          </w:p>
        </w:tc>
        <w:tc>
          <w:tcPr>
            <w:tcW w:w="1500" w:type="dxa"/>
            <w:tcMar>
              <w:top w:w="80" w:type="dxa"/>
              <w:left w:w="100" w:type="dxa"/>
              <w:bottom w:w="80" w:type="dxa"/>
              <w:right w:w="100" w:type="dxa"/>
            </w:tcMar>
            <w:vAlign w:val="center"/>
          </w:tcPr>
          <w:p w14:paraId="6C149399"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Systematic review of digital-twin implementations integrating IoT sensor data with hospital information systems</w:t>
            </w:r>
          </w:p>
        </w:tc>
        <w:tc>
          <w:tcPr>
            <w:tcW w:w="1350" w:type="dxa"/>
            <w:tcMar>
              <w:top w:w="80" w:type="dxa"/>
              <w:left w:w="100" w:type="dxa"/>
              <w:bottom w:w="80" w:type="dxa"/>
              <w:right w:w="100" w:type="dxa"/>
            </w:tcMar>
            <w:vAlign w:val="center"/>
          </w:tcPr>
          <w:p w14:paraId="6C6F4127"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Multiple published digital-twin and IoT healthcare case studies</w:t>
            </w:r>
          </w:p>
        </w:tc>
        <w:tc>
          <w:tcPr>
            <w:tcW w:w="1650" w:type="dxa"/>
            <w:tcMar>
              <w:top w:w="80" w:type="dxa"/>
              <w:left w:w="100" w:type="dxa"/>
              <w:bottom w:w="80" w:type="dxa"/>
              <w:right w:w="100" w:type="dxa"/>
            </w:tcMar>
            <w:vAlign w:val="center"/>
          </w:tcPr>
          <w:p w14:paraId="032356A7"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Digital twins can simulate ED workflows, predict ICU bed occupancy and identify operational bottlenecks in real time</w:t>
            </w:r>
          </w:p>
        </w:tc>
        <w:tc>
          <w:tcPr>
            <w:tcW w:w="1500" w:type="dxa"/>
            <w:tcMar>
              <w:top w:w="80" w:type="dxa"/>
              <w:left w:w="100" w:type="dxa"/>
              <w:bottom w:w="80" w:type="dxa"/>
              <w:right w:w="100" w:type="dxa"/>
            </w:tcMar>
            <w:vAlign w:val="center"/>
          </w:tcPr>
          <w:p w14:paraId="7DC00447"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Field remains an 'emerging topic' with limited large-scale, long-term deployment evidence and high integration cost</w:t>
            </w:r>
          </w:p>
        </w:tc>
        <w:tc>
          <w:tcPr>
            <w:tcW w:w="1500" w:type="dxa"/>
            <w:tcMar>
              <w:top w:w="80" w:type="dxa"/>
              <w:left w:w="100" w:type="dxa"/>
              <w:bottom w:w="80" w:type="dxa"/>
              <w:right w:w="100" w:type="dxa"/>
            </w:tcMar>
            <w:vAlign w:val="center"/>
          </w:tcPr>
          <w:p w14:paraId="4A71202A"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Absence of standardized, scalable digital-twin frameworks validated across diverse hospital settings</w:t>
            </w:r>
          </w:p>
        </w:tc>
      </w:tr>
      <w:tr w:rsidR="005F50A7" w:rsidRPr="00BF3B32" w14:paraId="13912CCA" w14:textId="77777777">
        <w:tblPrEx>
          <w:tblCellMar>
            <w:top w:w="0" w:type="dxa"/>
            <w:bottom w:w="0" w:type="dxa"/>
          </w:tblCellMar>
        </w:tblPrEx>
        <w:tc>
          <w:tcPr>
            <w:tcW w:w="1150" w:type="dxa"/>
            <w:shd w:val="clear" w:color="auto" w:fill="F2F5FB"/>
            <w:tcMar>
              <w:top w:w="80" w:type="dxa"/>
              <w:left w:w="100" w:type="dxa"/>
              <w:bottom w:w="80" w:type="dxa"/>
              <w:right w:w="100" w:type="dxa"/>
            </w:tcMar>
            <w:vAlign w:val="center"/>
          </w:tcPr>
          <w:p w14:paraId="21091557"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Wei, Zhou, Zhang, Yuan, Gu, Luk, Brent, Clifton, Walker &amp; Eyre (2024)</w:t>
            </w:r>
          </w:p>
        </w:tc>
        <w:tc>
          <w:tcPr>
            <w:tcW w:w="1450" w:type="dxa"/>
            <w:shd w:val="clear" w:color="auto" w:fill="F2F5FB"/>
            <w:tcMar>
              <w:top w:w="80" w:type="dxa"/>
              <w:left w:w="100" w:type="dxa"/>
              <w:bottom w:w="80" w:type="dxa"/>
              <w:right w:w="100" w:type="dxa"/>
            </w:tcMar>
            <w:vAlign w:val="center"/>
          </w:tcPr>
          <w:p w14:paraId="74847827"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Predicting individual patient and hospital-level discharge events within the next 24 hours</w:t>
            </w:r>
          </w:p>
        </w:tc>
        <w:tc>
          <w:tcPr>
            <w:tcW w:w="1500" w:type="dxa"/>
            <w:shd w:val="clear" w:color="auto" w:fill="F2F5FB"/>
            <w:tcMar>
              <w:top w:w="80" w:type="dxa"/>
              <w:left w:w="100" w:type="dxa"/>
              <w:bottom w:w="80" w:type="dxa"/>
              <w:right w:w="100" w:type="dxa"/>
            </w:tcMar>
            <w:vAlign w:val="center"/>
          </w:tcPr>
          <w:p w14:paraId="1902704C"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 xml:space="preserve">Separate </w:t>
            </w:r>
            <w:proofErr w:type="spellStart"/>
            <w:r w:rsidRPr="00BF3B32">
              <w:rPr>
                <w:rFonts w:ascii="Times New Roman" w:hAnsi="Times New Roman" w:cs="Times New Roman"/>
                <w:sz w:val="24"/>
                <w:szCs w:val="24"/>
              </w:rPr>
              <w:t>XGBoost</w:t>
            </w:r>
            <w:proofErr w:type="spellEnd"/>
            <w:r w:rsidRPr="00BF3B32">
              <w:rPr>
                <w:rFonts w:ascii="Times New Roman" w:hAnsi="Times New Roman" w:cs="Times New Roman"/>
                <w:sz w:val="24"/>
                <w:szCs w:val="24"/>
              </w:rPr>
              <w:t xml:space="preserve"> models for elective and emergency admissions using diverse EHR features</w:t>
            </w:r>
          </w:p>
        </w:tc>
        <w:tc>
          <w:tcPr>
            <w:tcW w:w="1350" w:type="dxa"/>
            <w:shd w:val="clear" w:color="auto" w:fill="F2F5FB"/>
            <w:tcMar>
              <w:top w:w="80" w:type="dxa"/>
              <w:left w:w="100" w:type="dxa"/>
              <w:bottom w:w="80" w:type="dxa"/>
              <w:right w:w="100" w:type="dxa"/>
            </w:tcMar>
            <w:vAlign w:val="center"/>
          </w:tcPr>
          <w:p w14:paraId="0D9ADE77"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 xml:space="preserve">EHR data (2017-2020) from four Oxfordshire, UK hospitals; 126,054 emergency and 45,609 planned </w:t>
            </w:r>
            <w:r w:rsidRPr="00BF3B32">
              <w:rPr>
                <w:rFonts w:ascii="Times New Roman" w:hAnsi="Times New Roman" w:cs="Times New Roman"/>
                <w:sz w:val="24"/>
                <w:szCs w:val="24"/>
              </w:rPr>
              <w:lastRenderedPageBreak/>
              <w:t>admissions</w:t>
            </w:r>
          </w:p>
        </w:tc>
        <w:tc>
          <w:tcPr>
            <w:tcW w:w="1650" w:type="dxa"/>
            <w:shd w:val="clear" w:color="auto" w:fill="F2F5FB"/>
            <w:tcMar>
              <w:top w:w="80" w:type="dxa"/>
              <w:left w:w="100" w:type="dxa"/>
              <w:bottom w:w="80" w:type="dxa"/>
              <w:right w:w="100" w:type="dxa"/>
            </w:tcMar>
            <w:vAlign w:val="center"/>
          </w:tcPr>
          <w:p w14:paraId="09554051"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lastRenderedPageBreak/>
              <w:t>Achieved AUROC of 0.87-0.88 for individual discharge prediction and MAE of 4.9-8.9% for hospital-level daily discharge totals</w:t>
            </w:r>
          </w:p>
        </w:tc>
        <w:tc>
          <w:tcPr>
            <w:tcW w:w="1500" w:type="dxa"/>
            <w:shd w:val="clear" w:color="auto" w:fill="F2F5FB"/>
            <w:tcMar>
              <w:top w:w="80" w:type="dxa"/>
              <w:left w:w="100" w:type="dxa"/>
              <w:bottom w:w="80" w:type="dxa"/>
              <w:right w:w="100" w:type="dxa"/>
            </w:tcMar>
            <w:vAlign w:val="center"/>
          </w:tcPr>
          <w:p w14:paraId="26912909"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Uses only structured EHR data; unstructured clinical notes not incorporated; performance lower for long-stay and deceased patients</w:t>
            </w:r>
          </w:p>
        </w:tc>
        <w:tc>
          <w:tcPr>
            <w:tcW w:w="1500" w:type="dxa"/>
            <w:shd w:val="clear" w:color="auto" w:fill="F2F5FB"/>
            <w:tcMar>
              <w:top w:w="80" w:type="dxa"/>
              <w:left w:w="100" w:type="dxa"/>
              <w:bottom w:w="80" w:type="dxa"/>
              <w:right w:w="100" w:type="dxa"/>
            </w:tcMar>
            <w:vAlign w:val="center"/>
          </w:tcPr>
          <w:p w14:paraId="29E00E4B"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Discharge prediction is not yet coupled with downstream bed-reallocation or discharge-workflow automation</w:t>
            </w:r>
          </w:p>
        </w:tc>
      </w:tr>
    </w:tbl>
    <w:p w14:paraId="436FF72E" w14:textId="77777777" w:rsidR="005F50A7" w:rsidRPr="00BF3B32" w:rsidRDefault="005F50A7" w:rsidP="00BF3B32">
      <w:pPr>
        <w:spacing w:after="200" w:line="360" w:lineRule="auto"/>
        <w:rPr>
          <w:rFonts w:ascii="Times New Roman" w:hAnsi="Times New Roman" w:cs="Times New Roman"/>
          <w:sz w:val="24"/>
          <w:szCs w:val="24"/>
        </w:rPr>
      </w:pPr>
    </w:p>
    <w:p w14:paraId="396A8996"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br w:type="page"/>
      </w:r>
    </w:p>
    <w:p w14:paraId="472D0C38" w14:textId="77777777" w:rsidR="005F50A7" w:rsidRPr="00BF3B32" w:rsidRDefault="00702A2E" w:rsidP="00BF3B32">
      <w:pPr>
        <w:pStyle w:val="Heading1"/>
        <w:spacing w:before="320" w:after="160" w:line="360" w:lineRule="auto"/>
        <w:rPr>
          <w:rFonts w:ascii="Times New Roman" w:hAnsi="Times New Roman" w:cs="Times New Roman"/>
          <w:color w:val="auto"/>
          <w:sz w:val="24"/>
          <w:szCs w:val="24"/>
        </w:rPr>
      </w:pPr>
      <w:r w:rsidRPr="00BF3B32">
        <w:rPr>
          <w:rFonts w:ascii="Times New Roman" w:hAnsi="Times New Roman" w:cs="Times New Roman"/>
          <w:b/>
          <w:bCs/>
          <w:color w:val="auto"/>
          <w:sz w:val="24"/>
          <w:szCs w:val="24"/>
        </w:rPr>
        <w:lastRenderedPageBreak/>
        <w:t>6. Limitations and Challenges of Existing Approaches</w:t>
      </w:r>
    </w:p>
    <w:p w14:paraId="263A9A2F" w14:textId="77777777" w:rsidR="005F50A7" w:rsidRPr="00BF3B32" w:rsidRDefault="00702A2E" w:rsidP="00BF3B32">
      <w:pPr>
        <w:pStyle w:val="ListParagraph"/>
        <w:numPr>
          <w:ilvl w:val="0"/>
          <w:numId w:val="3"/>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Fragmented, single-department focus: most bed-capacity and admission-prediction models (e.g., Mahmoudian et al., Schiele et al.) are optimized for one unit - ICU, OR, or a single ward - rather than the hospital as a coordinated whole.</w:t>
      </w:r>
    </w:p>
    <w:p w14:paraId="3139CEBF" w14:textId="77777777" w:rsidR="005F50A7" w:rsidRPr="00BF3B32" w:rsidRDefault="00702A2E" w:rsidP="00BF3B32">
      <w:pPr>
        <w:pStyle w:val="ListParagraph"/>
        <w:numPr>
          <w:ilvl w:val="0"/>
          <w:numId w:val="3"/>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Limited real-time and IoT integration: classical forecasting studies rely on retrospective, batch-processed historical data rather than continuously streamed sensor or IoT telemetry on equipment, staff, and bed status.</w:t>
      </w:r>
    </w:p>
    <w:p w14:paraId="11BD4EC8" w14:textId="77777777" w:rsidR="005F50A7" w:rsidRPr="00BF3B32" w:rsidRDefault="00702A2E" w:rsidP="00BF3B32">
      <w:pPr>
        <w:pStyle w:val="ListParagraph"/>
        <w:numPr>
          <w:ilvl w:val="0"/>
          <w:numId w:val="3"/>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Single-site validation and weak generalizability: several high-performing models (Vural et al., Schiele et al.) are trained and tested on data from only one hospital or ED, so their accuracy in other settings with different patient-flow patterns is unverified.</w:t>
      </w:r>
    </w:p>
    <w:p w14:paraId="2683F685" w14:textId="77777777" w:rsidR="005F50A7" w:rsidRPr="00BF3B32" w:rsidRDefault="00702A2E" w:rsidP="00BF3B32">
      <w:pPr>
        <w:pStyle w:val="ListParagraph"/>
        <w:numPr>
          <w:ilvl w:val="0"/>
          <w:numId w:val="3"/>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Interpretability versus accuracy trade-off: simpler, interpretable models such as Prophet sacrifice some ability to model complex nonlinear, multi-ward interactions, while more accurate deep-learning and transformer-based models are harder for hospital administrators to interpret and trust.</w:t>
      </w:r>
    </w:p>
    <w:p w14:paraId="2F951812" w14:textId="77777777" w:rsidR="005F50A7" w:rsidRPr="00BF3B32" w:rsidRDefault="00702A2E" w:rsidP="00BF3B32">
      <w:pPr>
        <w:pStyle w:val="ListParagraph"/>
        <w:numPr>
          <w:ilvl w:val="0"/>
          <w:numId w:val="3"/>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Prediction without action: several studies (Moreno-Sanchez et al., Wei et al.) stop at generating an accurate prediction and do not extend into automated scheduling, bed-reallocation, or staff-deployment decisions.</w:t>
      </w:r>
    </w:p>
    <w:p w14:paraId="05C93685" w14:textId="77777777" w:rsidR="005F50A7" w:rsidRPr="00BF3B32" w:rsidRDefault="00702A2E" w:rsidP="00BF3B32">
      <w:pPr>
        <w:pStyle w:val="ListParagraph"/>
        <w:numPr>
          <w:ilvl w:val="0"/>
          <w:numId w:val="3"/>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Emerging and unstandardized digital-twin practice: IoT-based digital-twin systems for hospitals remain an early-stage research area with no standardized, scalable architecture validated across diverse hospital environments.</w:t>
      </w:r>
    </w:p>
    <w:p w14:paraId="133D46D7" w14:textId="77777777" w:rsidR="005F50A7" w:rsidRPr="00BF3B32" w:rsidRDefault="00702A2E" w:rsidP="00BF3B32">
      <w:pPr>
        <w:pStyle w:val="ListParagraph"/>
        <w:numPr>
          <w:ilvl w:val="0"/>
          <w:numId w:val="3"/>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Data quality and completeness: most models depend exclusively on structured EHR or administrative data, omitting unstructured clinical notes and real-time device data that could improve predictive accuracy.</w:t>
      </w:r>
    </w:p>
    <w:p w14:paraId="30D35443" w14:textId="77777777" w:rsidR="005F50A7" w:rsidRPr="00BF3B32" w:rsidRDefault="00702A2E" w:rsidP="00BF3B32">
      <w:pPr>
        <w:pStyle w:val="Heading1"/>
        <w:spacing w:before="320" w:after="160" w:line="360" w:lineRule="auto"/>
        <w:rPr>
          <w:rFonts w:ascii="Times New Roman" w:hAnsi="Times New Roman" w:cs="Times New Roman"/>
          <w:color w:val="auto"/>
          <w:sz w:val="24"/>
          <w:szCs w:val="24"/>
        </w:rPr>
      </w:pPr>
      <w:r w:rsidRPr="00BF3B32">
        <w:rPr>
          <w:rFonts w:ascii="Times New Roman" w:hAnsi="Times New Roman" w:cs="Times New Roman"/>
          <w:b/>
          <w:bCs/>
          <w:color w:val="auto"/>
          <w:sz w:val="24"/>
          <w:szCs w:val="24"/>
        </w:rPr>
        <w:t>7. Research Gap Analysis</w:t>
      </w:r>
    </w:p>
    <w:p w14:paraId="365463FC" w14:textId="77777777" w:rsidR="005F50A7" w:rsidRPr="00BF3B32" w:rsidRDefault="00702A2E" w:rsidP="00BF3B32">
      <w:pPr>
        <w:spacing w:after="160" w:line="360" w:lineRule="auto"/>
        <w:jc w:val="both"/>
        <w:rPr>
          <w:rFonts w:ascii="Times New Roman" w:hAnsi="Times New Roman" w:cs="Times New Roman"/>
          <w:sz w:val="24"/>
          <w:szCs w:val="24"/>
        </w:rPr>
      </w:pPr>
      <w:r w:rsidRPr="00BF3B32">
        <w:rPr>
          <w:rFonts w:ascii="Times New Roman" w:hAnsi="Times New Roman" w:cs="Times New Roman"/>
          <w:sz w:val="24"/>
          <w:szCs w:val="24"/>
        </w:rPr>
        <w:t>Across the reviewed literature, individual studies address isolated pieces of the hospital resource and patient-flow problem - bed-capacity forecasting, ED overcrowding prediction, discharge-time prediction, or IoT/digital-twin monitoring - but a clear gap exists in unifying these capabilities into a single, real-time, hospital-wide decision-support platform. Specifically:</w:t>
      </w:r>
    </w:p>
    <w:p w14:paraId="5E8C85A0" w14:textId="77777777" w:rsidR="005F50A7" w:rsidRPr="00BF3B32" w:rsidRDefault="00702A2E" w:rsidP="00BF3B32">
      <w:pPr>
        <w:pStyle w:val="ListParagraph"/>
        <w:numPr>
          <w:ilvl w:val="0"/>
          <w:numId w:val="3"/>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 xml:space="preserve">No reviewed study integrates bed, staff, and equipment monitoring with admission, discharge, and interdepartmental transfer prediction within one coordinated system, as </w:t>
      </w:r>
      <w:proofErr w:type="spellStart"/>
      <w:r w:rsidRPr="00BF3B32">
        <w:rPr>
          <w:rFonts w:ascii="Times New Roman" w:hAnsi="Times New Roman" w:cs="Times New Roman"/>
          <w:sz w:val="24"/>
          <w:szCs w:val="24"/>
        </w:rPr>
        <w:t>MediSync</w:t>
      </w:r>
      <w:proofErr w:type="spellEnd"/>
      <w:r w:rsidRPr="00BF3B32">
        <w:rPr>
          <w:rFonts w:ascii="Times New Roman" w:hAnsi="Times New Roman" w:cs="Times New Roman"/>
          <w:sz w:val="24"/>
          <w:szCs w:val="24"/>
        </w:rPr>
        <w:t xml:space="preserve"> AI proposes.</w:t>
      </w:r>
    </w:p>
    <w:p w14:paraId="4FEF251D" w14:textId="77777777" w:rsidR="005F50A7" w:rsidRPr="00BF3B32" w:rsidRDefault="00702A2E" w:rsidP="00BF3B32">
      <w:pPr>
        <w:pStyle w:val="ListParagraph"/>
        <w:numPr>
          <w:ilvl w:val="0"/>
          <w:numId w:val="3"/>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lastRenderedPageBreak/>
        <w:t>Real-time IoT sensor data is rarely combined with predictive analytics; most forecasting models rely purely on historical, retrospectively logged occupancy or admission records.</w:t>
      </w:r>
    </w:p>
    <w:p w14:paraId="246FA925" w14:textId="77777777" w:rsidR="005F50A7" w:rsidRPr="00BF3B32" w:rsidRDefault="00702A2E" w:rsidP="00BF3B32">
      <w:pPr>
        <w:pStyle w:val="ListParagraph"/>
        <w:numPr>
          <w:ilvl w:val="0"/>
          <w:numId w:val="3"/>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Cross-site and cross-hospital validation is largely absent, leaving open questions about how well AI-driven flow-optimization systems generalize beyond the single institution where they were developed.</w:t>
      </w:r>
    </w:p>
    <w:p w14:paraId="6AB8C196" w14:textId="77777777" w:rsidR="005F50A7" w:rsidRPr="00BF3B32" w:rsidRDefault="00702A2E" w:rsidP="00BF3B32">
      <w:pPr>
        <w:pStyle w:val="ListParagraph"/>
        <w:numPr>
          <w:ilvl w:val="0"/>
          <w:numId w:val="3"/>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Explainable predictions are seldom connected to automated or semi-automated resource-allocation actions, leaving a gap between accurate forecasting and actionable, closed-loop optimization.</w:t>
      </w:r>
    </w:p>
    <w:p w14:paraId="4CE78CD4" w14:textId="77777777" w:rsidR="005F50A7" w:rsidRPr="00BF3B32" w:rsidRDefault="00702A2E" w:rsidP="00BF3B32">
      <w:pPr>
        <w:pStyle w:val="ListParagraph"/>
        <w:numPr>
          <w:ilvl w:val="0"/>
          <w:numId w:val="3"/>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Digital-twin approaches for hospital-wide operations remain exploratory, with no widely validated, scalable framework suitable for direct adoption by hospital administrators.</w:t>
      </w:r>
    </w:p>
    <w:p w14:paraId="6A128C16" w14:textId="77777777" w:rsidR="005F50A7" w:rsidRPr="00BF3B32" w:rsidRDefault="00702A2E" w:rsidP="00BF3B32">
      <w:pPr>
        <w:pStyle w:val="Heading1"/>
        <w:spacing w:before="320" w:after="160" w:line="360" w:lineRule="auto"/>
        <w:rPr>
          <w:rFonts w:ascii="Times New Roman" w:hAnsi="Times New Roman" w:cs="Times New Roman"/>
          <w:color w:val="auto"/>
          <w:sz w:val="24"/>
          <w:szCs w:val="24"/>
        </w:rPr>
      </w:pPr>
      <w:r w:rsidRPr="00BF3B32">
        <w:rPr>
          <w:rFonts w:ascii="Times New Roman" w:hAnsi="Times New Roman" w:cs="Times New Roman"/>
          <w:b/>
          <w:bCs/>
          <w:color w:val="auto"/>
          <w:sz w:val="24"/>
          <w:szCs w:val="24"/>
        </w:rPr>
        <w:t>8. Future Research Directions</w:t>
      </w:r>
    </w:p>
    <w:p w14:paraId="6495177C" w14:textId="77777777" w:rsidR="005F50A7" w:rsidRPr="00BF3B32" w:rsidRDefault="00702A2E" w:rsidP="00BF3B32">
      <w:pPr>
        <w:pStyle w:val="ListParagraph"/>
        <w:numPr>
          <w:ilvl w:val="0"/>
          <w:numId w:val="2"/>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 xml:space="preserve">Develop unified, hospital-wide AI platforms - such as </w:t>
      </w:r>
      <w:proofErr w:type="spellStart"/>
      <w:r w:rsidRPr="00BF3B32">
        <w:rPr>
          <w:rFonts w:ascii="Times New Roman" w:hAnsi="Times New Roman" w:cs="Times New Roman"/>
          <w:sz w:val="24"/>
          <w:szCs w:val="24"/>
        </w:rPr>
        <w:t>MediSync</w:t>
      </w:r>
      <w:proofErr w:type="spellEnd"/>
      <w:r w:rsidRPr="00BF3B32">
        <w:rPr>
          <w:rFonts w:ascii="Times New Roman" w:hAnsi="Times New Roman" w:cs="Times New Roman"/>
          <w:sz w:val="24"/>
          <w:szCs w:val="24"/>
        </w:rPr>
        <w:t xml:space="preserve"> AI - that combine bed, staff, and equipment monitoring with predictive admission, discharge, and transfer models in a single decision-support layer.</w:t>
      </w:r>
    </w:p>
    <w:p w14:paraId="46B2D4AD" w14:textId="77777777" w:rsidR="005F50A7" w:rsidRPr="00BF3B32" w:rsidRDefault="00702A2E" w:rsidP="00BF3B32">
      <w:pPr>
        <w:pStyle w:val="ListParagraph"/>
        <w:numPr>
          <w:ilvl w:val="0"/>
          <w:numId w:val="2"/>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Integrate real-time IoT sensor streams (bed sensors, equipment trackers, staff location systems) with predictive models to move from retrospective forecasting to continuous, live optimization.</w:t>
      </w:r>
    </w:p>
    <w:p w14:paraId="5595C883" w14:textId="77777777" w:rsidR="005F50A7" w:rsidRPr="00BF3B32" w:rsidRDefault="00702A2E" w:rsidP="00BF3B32">
      <w:pPr>
        <w:pStyle w:val="ListParagraph"/>
        <w:numPr>
          <w:ilvl w:val="0"/>
          <w:numId w:val="2"/>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Conduct multi-hospital and multi-region validation studies to test the generalizability and robustness of AI-driven patient-flow and resource-allocation models.</w:t>
      </w:r>
    </w:p>
    <w:p w14:paraId="6E3A375B" w14:textId="77777777" w:rsidR="005F50A7" w:rsidRPr="00BF3B32" w:rsidRDefault="00702A2E" w:rsidP="00BF3B32">
      <w:pPr>
        <w:pStyle w:val="ListParagraph"/>
        <w:numPr>
          <w:ilvl w:val="0"/>
          <w:numId w:val="2"/>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Combine explainable AI techniques with automated or semi-automated scheduling and bed-reallocation actions, closing the loop between prediction and operational response.</w:t>
      </w:r>
    </w:p>
    <w:p w14:paraId="4A6AA23B" w14:textId="77777777" w:rsidR="005F50A7" w:rsidRPr="00BF3B32" w:rsidRDefault="00702A2E" w:rsidP="00BF3B32">
      <w:pPr>
        <w:pStyle w:val="ListParagraph"/>
        <w:numPr>
          <w:ilvl w:val="0"/>
          <w:numId w:val="2"/>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Advance digital-twin frameworks for hospitals into standardized, scalable architectures that can be deployed cost-effectively across hospitals of varying size and resource level.</w:t>
      </w:r>
    </w:p>
    <w:p w14:paraId="77DE9B28" w14:textId="77777777" w:rsidR="005F50A7" w:rsidRPr="00BF3B32" w:rsidRDefault="00702A2E" w:rsidP="00BF3B32">
      <w:pPr>
        <w:pStyle w:val="ListParagraph"/>
        <w:numPr>
          <w:ilvl w:val="0"/>
          <w:numId w:val="2"/>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Incorporate unstructured data sources, such as clinical notes and real-time vital-sign streams, alongside structured EHR data to further improve prediction accuracy for admissions, discharge timing, and resource demand.</w:t>
      </w:r>
    </w:p>
    <w:p w14:paraId="31F332B0" w14:textId="77777777" w:rsidR="005F50A7" w:rsidRPr="00BF3B32" w:rsidRDefault="00702A2E" w:rsidP="00BF3B32">
      <w:pPr>
        <w:pStyle w:val="ListParagraph"/>
        <w:numPr>
          <w:ilvl w:val="0"/>
          <w:numId w:val="2"/>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Design predictive-analytics dashboards specifically for emergency-preparedness and surge-capacity planning, extending day-to-day operational forecasting to disaster and pandemic scenarios.</w:t>
      </w:r>
    </w:p>
    <w:p w14:paraId="59EC45CE"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br w:type="page"/>
      </w:r>
    </w:p>
    <w:p w14:paraId="583ECEB2" w14:textId="77777777" w:rsidR="005F50A7" w:rsidRPr="00BF3B32" w:rsidRDefault="00702A2E" w:rsidP="00BF3B32">
      <w:pPr>
        <w:pStyle w:val="Heading1"/>
        <w:spacing w:before="320" w:after="160" w:line="360" w:lineRule="auto"/>
        <w:rPr>
          <w:rFonts w:ascii="Times New Roman" w:hAnsi="Times New Roman" w:cs="Times New Roman"/>
          <w:color w:val="auto"/>
          <w:sz w:val="24"/>
          <w:szCs w:val="24"/>
        </w:rPr>
      </w:pPr>
      <w:r w:rsidRPr="00BF3B32">
        <w:rPr>
          <w:rFonts w:ascii="Times New Roman" w:hAnsi="Times New Roman" w:cs="Times New Roman"/>
          <w:b/>
          <w:bCs/>
          <w:color w:val="auto"/>
          <w:sz w:val="24"/>
          <w:szCs w:val="24"/>
        </w:rPr>
        <w:lastRenderedPageBreak/>
        <w:t xml:space="preserve">9. Expected Outcomes of the Proposed </w:t>
      </w:r>
      <w:proofErr w:type="spellStart"/>
      <w:r w:rsidRPr="00BF3B32">
        <w:rPr>
          <w:rFonts w:ascii="Times New Roman" w:hAnsi="Times New Roman" w:cs="Times New Roman"/>
          <w:b/>
          <w:bCs/>
          <w:color w:val="auto"/>
          <w:sz w:val="24"/>
          <w:szCs w:val="24"/>
        </w:rPr>
        <w:t>MediSync</w:t>
      </w:r>
      <w:proofErr w:type="spellEnd"/>
      <w:r w:rsidRPr="00BF3B32">
        <w:rPr>
          <w:rFonts w:ascii="Times New Roman" w:hAnsi="Times New Roman" w:cs="Times New Roman"/>
          <w:b/>
          <w:bCs/>
          <w:color w:val="auto"/>
          <w:sz w:val="24"/>
          <w:szCs w:val="24"/>
        </w:rPr>
        <w:t xml:space="preserve"> AI System</w:t>
      </w:r>
    </w:p>
    <w:p w14:paraId="7C8C5ADA" w14:textId="77777777" w:rsidR="005F50A7" w:rsidRPr="00BF3B32" w:rsidRDefault="00702A2E" w:rsidP="00BF3B32">
      <w:pPr>
        <w:pStyle w:val="ListParagraph"/>
        <w:numPr>
          <w:ilvl w:val="0"/>
          <w:numId w:val="2"/>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Reduced patient waiting times and treatment delays.</w:t>
      </w:r>
    </w:p>
    <w:p w14:paraId="2F865562" w14:textId="77777777" w:rsidR="005F50A7" w:rsidRPr="00BF3B32" w:rsidRDefault="00702A2E" w:rsidP="00BF3B32">
      <w:pPr>
        <w:pStyle w:val="ListParagraph"/>
        <w:numPr>
          <w:ilvl w:val="0"/>
          <w:numId w:val="2"/>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Improved utilization of hospital beds, staff, and medical equipment.</w:t>
      </w:r>
    </w:p>
    <w:p w14:paraId="4F865190" w14:textId="77777777" w:rsidR="005F50A7" w:rsidRPr="00BF3B32" w:rsidRDefault="00702A2E" w:rsidP="00BF3B32">
      <w:pPr>
        <w:pStyle w:val="ListParagraph"/>
        <w:numPr>
          <w:ilvl w:val="0"/>
          <w:numId w:val="2"/>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Enhanced patient flow across hospital departments.</w:t>
      </w:r>
    </w:p>
    <w:p w14:paraId="6EF3EDA8" w14:textId="77777777" w:rsidR="005F50A7" w:rsidRPr="00BF3B32" w:rsidRDefault="00702A2E" w:rsidP="00BF3B32">
      <w:pPr>
        <w:pStyle w:val="ListParagraph"/>
        <w:numPr>
          <w:ilvl w:val="0"/>
          <w:numId w:val="2"/>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Increased operational efficiency through AI-driven resource optimization.</w:t>
      </w:r>
    </w:p>
    <w:p w14:paraId="1EF138E6" w14:textId="77777777" w:rsidR="005F50A7" w:rsidRPr="00BF3B32" w:rsidRDefault="00702A2E" w:rsidP="00BF3B32">
      <w:pPr>
        <w:pStyle w:val="ListParagraph"/>
        <w:numPr>
          <w:ilvl w:val="0"/>
          <w:numId w:val="2"/>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Better decision-making using predictive analytics and real-time dashboards.</w:t>
      </w:r>
    </w:p>
    <w:p w14:paraId="27209491" w14:textId="77777777" w:rsidR="005F50A7" w:rsidRPr="00BF3B32" w:rsidRDefault="00702A2E" w:rsidP="00BF3B32">
      <w:pPr>
        <w:pStyle w:val="ListParagraph"/>
        <w:numPr>
          <w:ilvl w:val="0"/>
          <w:numId w:val="2"/>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Higher patient satisfaction and improved quality of healthcare services.</w:t>
      </w:r>
    </w:p>
    <w:p w14:paraId="27F03D51" w14:textId="77777777" w:rsidR="005F50A7" w:rsidRPr="00BF3B32" w:rsidRDefault="00702A2E" w:rsidP="00BF3B32">
      <w:pPr>
        <w:pStyle w:val="ListParagraph"/>
        <w:numPr>
          <w:ilvl w:val="0"/>
          <w:numId w:val="2"/>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Reduced hospital operational costs through optimized resource management.</w:t>
      </w:r>
    </w:p>
    <w:p w14:paraId="466D2092" w14:textId="77777777" w:rsidR="005F50A7" w:rsidRPr="00BF3B32" w:rsidRDefault="00702A2E" w:rsidP="00BF3B32">
      <w:pPr>
        <w:pStyle w:val="ListParagraph"/>
        <w:numPr>
          <w:ilvl w:val="0"/>
          <w:numId w:val="2"/>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A scalable, intelligent hospital management system supporting smart healthcare initiatives.</w:t>
      </w:r>
    </w:p>
    <w:p w14:paraId="63875A34" w14:textId="77777777" w:rsidR="005F50A7" w:rsidRPr="00BF3B32" w:rsidRDefault="00702A2E" w:rsidP="00BF3B32">
      <w:pPr>
        <w:pStyle w:val="Heading1"/>
        <w:spacing w:before="320" w:after="160" w:line="360" w:lineRule="auto"/>
        <w:rPr>
          <w:rFonts w:ascii="Times New Roman" w:hAnsi="Times New Roman" w:cs="Times New Roman"/>
          <w:color w:val="auto"/>
          <w:sz w:val="24"/>
          <w:szCs w:val="24"/>
        </w:rPr>
      </w:pPr>
      <w:r w:rsidRPr="00BF3B32">
        <w:rPr>
          <w:rFonts w:ascii="Times New Roman" w:hAnsi="Times New Roman" w:cs="Times New Roman"/>
          <w:b/>
          <w:bCs/>
          <w:color w:val="auto"/>
          <w:sz w:val="24"/>
          <w:szCs w:val="24"/>
        </w:rPr>
        <w:t>10. Conclusion</w:t>
      </w:r>
    </w:p>
    <w:p w14:paraId="5A9C5C93" w14:textId="77777777" w:rsidR="005F50A7" w:rsidRPr="00BF3B32" w:rsidRDefault="00702A2E" w:rsidP="00BF3B32">
      <w:pPr>
        <w:spacing w:after="160" w:line="360" w:lineRule="auto"/>
        <w:jc w:val="both"/>
        <w:rPr>
          <w:rFonts w:ascii="Times New Roman" w:hAnsi="Times New Roman" w:cs="Times New Roman"/>
          <w:sz w:val="24"/>
          <w:szCs w:val="24"/>
        </w:rPr>
      </w:pPr>
      <w:r w:rsidRPr="00BF3B32">
        <w:rPr>
          <w:rFonts w:ascii="Times New Roman" w:hAnsi="Times New Roman" w:cs="Times New Roman"/>
          <w:sz w:val="24"/>
          <w:szCs w:val="24"/>
        </w:rPr>
        <w:t xml:space="preserve">The reviewed literature confirms strong and growing evidence that AI, machine learning, and IoT-enabled digital-twin technologies can meaningfully improve hospital bed-capacity forecasting, emergency-department flow, and discharge-time prediction. However, existing solutions remain fragmented across individual departments, rely largely on retrospective rather than real-time data, and are rarely validated across multiple hospital sites. The proposed </w:t>
      </w:r>
      <w:proofErr w:type="spellStart"/>
      <w:r w:rsidRPr="00BF3B32">
        <w:rPr>
          <w:rFonts w:ascii="Times New Roman" w:hAnsi="Times New Roman" w:cs="Times New Roman"/>
          <w:sz w:val="24"/>
          <w:szCs w:val="24"/>
        </w:rPr>
        <w:t>MediSync</w:t>
      </w:r>
      <w:proofErr w:type="spellEnd"/>
      <w:r w:rsidRPr="00BF3B32">
        <w:rPr>
          <w:rFonts w:ascii="Times New Roman" w:hAnsi="Times New Roman" w:cs="Times New Roman"/>
          <w:sz w:val="24"/>
          <w:szCs w:val="24"/>
        </w:rPr>
        <w:t xml:space="preserve"> AI platform directly addresses these gaps by unifying real-time resource monitoring, predictive analytics, and intelligent scheduling into a single, scalable hospital resource and patient-flow management system, aligning with the future research directions identified in this survey.</w:t>
      </w:r>
    </w:p>
    <w:p w14:paraId="3B984B85" w14:textId="77777777" w:rsidR="005F50A7" w:rsidRPr="00BF3B32" w:rsidRDefault="00702A2E" w:rsidP="00BF3B32">
      <w:pPr>
        <w:pStyle w:val="Heading1"/>
        <w:spacing w:before="320" w:after="160" w:line="360" w:lineRule="auto"/>
        <w:rPr>
          <w:rFonts w:ascii="Times New Roman" w:hAnsi="Times New Roman" w:cs="Times New Roman"/>
          <w:color w:val="auto"/>
          <w:sz w:val="24"/>
          <w:szCs w:val="24"/>
        </w:rPr>
      </w:pPr>
      <w:r w:rsidRPr="00BF3B32">
        <w:rPr>
          <w:rFonts w:ascii="Times New Roman" w:hAnsi="Times New Roman" w:cs="Times New Roman"/>
          <w:b/>
          <w:bCs/>
          <w:color w:val="auto"/>
          <w:sz w:val="24"/>
          <w:szCs w:val="24"/>
        </w:rPr>
        <w:t>11. References</w:t>
      </w:r>
    </w:p>
    <w:p w14:paraId="5C95F82B" w14:textId="77777777" w:rsidR="005F50A7" w:rsidRPr="00BF3B32" w:rsidRDefault="00702A2E" w:rsidP="00BF3B32">
      <w:pPr>
        <w:spacing w:after="140" w:line="360" w:lineRule="auto"/>
        <w:ind w:left="450" w:hanging="450"/>
        <w:jc w:val="both"/>
        <w:rPr>
          <w:rFonts w:ascii="Times New Roman" w:hAnsi="Times New Roman" w:cs="Times New Roman"/>
          <w:sz w:val="24"/>
          <w:szCs w:val="24"/>
        </w:rPr>
      </w:pPr>
      <w:r w:rsidRPr="00BF3B32">
        <w:rPr>
          <w:rFonts w:ascii="Times New Roman" w:hAnsi="Times New Roman" w:cs="Times New Roman"/>
          <w:sz w:val="24"/>
          <w:szCs w:val="24"/>
        </w:rPr>
        <w:t>[1] Y. Mahmoudian, A. Nemati, and A. S. Safaei, "A forecasting approach for hospital bed capacity planning using machine learning and deep learning with application to public hospitals," Healthcare Analytics, vol. 4, Art. no. 100245, 2023.</w:t>
      </w:r>
    </w:p>
    <w:p w14:paraId="005E7513" w14:textId="77777777" w:rsidR="005F50A7" w:rsidRPr="00BF3B32" w:rsidRDefault="00702A2E" w:rsidP="00BF3B32">
      <w:pPr>
        <w:spacing w:after="140" w:line="360" w:lineRule="auto"/>
        <w:ind w:left="450" w:hanging="450"/>
        <w:jc w:val="both"/>
        <w:rPr>
          <w:rFonts w:ascii="Times New Roman" w:hAnsi="Times New Roman" w:cs="Times New Roman"/>
          <w:sz w:val="24"/>
          <w:szCs w:val="24"/>
        </w:rPr>
      </w:pPr>
      <w:r w:rsidRPr="00BF3B32">
        <w:rPr>
          <w:rFonts w:ascii="Times New Roman" w:hAnsi="Times New Roman" w:cs="Times New Roman"/>
          <w:sz w:val="24"/>
          <w:szCs w:val="24"/>
        </w:rPr>
        <w:t>[2] P. Schiele, N. Koperna, and T. Brunner, "Predicting intensive care unit bed occupancy for integrated operating room scheduling via neural networks," Naval Research Logistics, vol. 68, no. 7, pp. 1017-1033, 2021.</w:t>
      </w:r>
    </w:p>
    <w:p w14:paraId="42BDF926" w14:textId="77777777" w:rsidR="005F50A7" w:rsidRPr="00BF3B32" w:rsidRDefault="00702A2E" w:rsidP="00BF3B32">
      <w:pPr>
        <w:spacing w:after="140" w:line="360" w:lineRule="auto"/>
        <w:ind w:left="450" w:hanging="450"/>
        <w:jc w:val="both"/>
        <w:rPr>
          <w:rFonts w:ascii="Times New Roman" w:hAnsi="Times New Roman" w:cs="Times New Roman"/>
          <w:sz w:val="24"/>
          <w:szCs w:val="24"/>
        </w:rPr>
      </w:pPr>
      <w:r w:rsidRPr="00BF3B32">
        <w:rPr>
          <w:rFonts w:ascii="Times New Roman" w:hAnsi="Times New Roman" w:cs="Times New Roman"/>
          <w:sz w:val="24"/>
          <w:szCs w:val="24"/>
        </w:rPr>
        <w:t xml:space="preserve">[3] </w:t>
      </w:r>
      <w:r w:rsidRPr="00BF3B32">
        <w:rPr>
          <w:rFonts w:ascii="Times New Roman" w:hAnsi="Times New Roman" w:cs="Times New Roman"/>
          <w:sz w:val="24"/>
          <w:szCs w:val="24"/>
        </w:rPr>
        <w:t xml:space="preserve">M. Fattouh, L. Lyssenko, F. </w:t>
      </w:r>
      <w:proofErr w:type="spellStart"/>
      <w:r w:rsidRPr="00BF3B32">
        <w:rPr>
          <w:rFonts w:ascii="Times New Roman" w:hAnsi="Times New Roman" w:cs="Times New Roman"/>
          <w:sz w:val="24"/>
          <w:szCs w:val="24"/>
        </w:rPr>
        <w:t>Heilmeyer</w:t>
      </w:r>
      <w:proofErr w:type="spellEnd"/>
      <w:r w:rsidRPr="00BF3B32">
        <w:rPr>
          <w:rFonts w:ascii="Times New Roman" w:hAnsi="Times New Roman" w:cs="Times New Roman"/>
          <w:sz w:val="24"/>
          <w:szCs w:val="24"/>
        </w:rPr>
        <w:t>, T. Ball, and C. Haverkamp, "Forecasting hospital bed occupancy: a time series approach with Prophet," BMC Medical Informatics and Decision Making, 2026.</w:t>
      </w:r>
    </w:p>
    <w:p w14:paraId="0D0BF6D5" w14:textId="77777777" w:rsidR="005F50A7" w:rsidRPr="00BF3B32" w:rsidRDefault="00702A2E" w:rsidP="00BF3B32">
      <w:pPr>
        <w:spacing w:after="140" w:line="360" w:lineRule="auto"/>
        <w:ind w:left="450" w:hanging="450"/>
        <w:jc w:val="both"/>
        <w:rPr>
          <w:rFonts w:ascii="Times New Roman" w:hAnsi="Times New Roman" w:cs="Times New Roman"/>
          <w:sz w:val="24"/>
          <w:szCs w:val="24"/>
        </w:rPr>
      </w:pPr>
      <w:r w:rsidRPr="00BF3B32">
        <w:rPr>
          <w:rFonts w:ascii="Times New Roman" w:hAnsi="Times New Roman" w:cs="Times New Roman"/>
          <w:sz w:val="24"/>
          <w:szCs w:val="24"/>
        </w:rPr>
        <w:lastRenderedPageBreak/>
        <w:t>[4] "Impact of artificial intelligence on hospital admission prediction and flow optimization in health services: a systematic review," Journal reference, 2025.</w:t>
      </w:r>
    </w:p>
    <w:p w14:paraId="1F090AF2" w14:textId="77777777" w:rsidR="005F50A7" w:rsidRPr="00BF3B32" w:rsidRDefault="00702A2E" w:rsidP="00BF3B32">
      <w:pPr>
        <w:spacing w:after="140" w:line="360" w:lineRule="auto"/>
        <w:ind w:left="450" w:hanging="450"/>
        <w:jc w:val="both"/>
        <w:rPr>
          <w:rFonts w:ascii="Times New Roman" w:hAnsi="Times New Roman" w:cs="Times New Roman"/>
          <w:sz w:val="24"/>
          <w:szCs w:val="24"/>
        </w:rPr>
      </w:pPr>
      <w:r w:rsidRPr="00BF3B32">
        <w:rPr>
          <w:rFonts w:ascii="Times New Roman" w:hAnsi="Times New Roman" w:cs="Times New Roman"/>
          <w:sz w:val="24"/>
          <w:szCs w:val="24"/>
        </w:rPr>
        <w:t xml:space="preserve">[5] </w:t>
      </w:r>
      <w:r w:rsidRPr="00BF3B32">
        <w:rPr>
          <w:rFonts w:ascii="Times New Roman" w:hAnsi="Times New Roman" w:cs="Times New Roman"/>
          <w:sz w:val="24"/>
          <w:szCs w:val="24"/>
        </w:rPr>
        <w:t xml:space="preserve">O. Vural, B. </w:t>
      </w:r>
      <w:proofErr w:type="spellStart"/>
      <w:r w:rsidRPr="00BF3B32">
        <w:rPr>
          <w:rFonts w:ascii="Times New Roman" w:hAnsi="Times New Roman" w:cs="Times New Roman"/>
          <w:sz w:val="24"/>
          <w:szCs w:val="24"/>
        </w:rPr>
        <w:t>Ozaydin</w:t>
      </w:r>
      <w:proofErr w:type="spellEnd"/>
      <w:r w:rsidRPr="00BF3B32">
        <w:rPr>
          <w:rFonts w:ascii="Times New Roman" w:hAnsi="Times New Roman" w:cs="Times New Roman"/>
          <w:sz w:val="24"/>
          <w:szCs w:val="24"/>
        </w:rPr>
        <w:t>, K. Y. Aram, J. Booth, B. F. Lindsey, and A. Ahmed, "An artificial intelligence-based framework for predicting emergency department overcrowding: development and evaluation study," JMIR Medical Informatics, vol. 13, Art. no. e73960, 2025.</w:t>
      </w:r>
    </w:p>
    <w:p w14:paraId="38F596EB" w14:textId="77777777" w:rsidR="005F50A7" w:rsidRPr="00BF3B32" w:rsidRDefault="00702A2E" w:rsidP="00BF3B32">
      <w:pPr>
        <w:spacing w:after="140" w:line="360" w:lineRule="auto"/>
        <w:ind w:left="450" w:hanging="450"/>
        <w:jc w:val="both"/>
        <w:rPr>
          <w:rFonts w:ascii="Times New Roman" w:hAnsi="Times New Roman" w:cs="Times New Roman"/>
          <w:sz w:val="24"/>
          <w:szCs w:val="24"/>
        </w:rPr>
      </w:pPr>
      <w:r w:rsidRPr="00BF3B32">
        <w:rPr>
          <w:rFonts w:ascii="Times New Roman" w:hAnsi="Times New Roman" w:cs="Times New Roman"/>
          <w:sz w:val="24"/>
          <w:szCs w:val="24"/>
        </w:rPr>
        <w:t>[6] P. A. Moreno-Sanchez, M. Aalto, and M. van Gils, "Prediction of patient flow in the emergency department using explainable artificial intelligence," DIGITAL HEALTH, vol. 10, 2024.</w:t>
      </w:r>
    </w:p>
    <w:p w14:paraId="40AB8745" w14:textId="77777777" w:rsidR="005F50A7" w:rsidRPr="00BF3B32" w:rsidRDefault="00702A2E" w:rsidP="00BF3B32">
      <w:pPr>
        <w:spacing w:after="140" w:line="360" w:lineRule="auto"/>
        <w:ind w:left="450" w:hanging="450"/>
        <w:jc w:val="both"/>
        <w:rPr>
          <w:rFonts w:ascii="Times New Roman" w:hAnsi="Times New Roman" w:cs="Times New Roman"/>
          <w:sz w:val="24"/>
          <w:szCs w:val="24"/>
        </w:rPr>
      </w:pPr>
      <w:r w:rsidRPr="00BF3B32">
        <w:rPr>
          <w:rFonts w:ascii="Times New Roman" w:hAnsi="Times New Roman" w:cs="Times New Roman"/>
          <w:sz w:val="24"/>
          <w:szCs w:val="24"/>
        </w:rPr>
        <w:t xml:space="preserve">[7] </w:t>
      </w:r>
      <w:r w:rsidRPr="00BF3B32">
        <w:rPr>
          <w:rFonts w:ascii="Times New Roman" w:hAnsi="Times New Roman" w:cs="Times New Roman"/>
          <w:sz w:val="24"/>
          <w:szCs w:val="24"/>
        </w:rPr>
        <w:t>"Digital twins in healthcare IoT: A systematic review," Healthcare Analytics / related journal, 2025.</w:t>
      </w:r>
    </w:p>
    <w:p w14:paraId="0F712A00" w14:textId="77777777" w:rsidR="005F50A7" w:rsidRPr="00BF3B32" w:rsidRDefault="00702A2E" w:rsidP="00BF3B32">
      <w:pPr>
        <w:spacing w:after="140" w:line="360" w:lineRule="auto"/>
        <w:ind w:left="450" w:hanging="450"/>
        <w:jc w:val="both"/>
        <w:rPr>
          <w:rFonts w:ascii="Times New Roman" w:hAnsi="Times New Roman" w:cs="Times New Roman"/>
          <w:sz w:val="24"/>
          <w:szCs w:val="24"/>
        </w:rPr>
      </w:pPr>
      <w:r w:rsidRPr="00BF3B32">
        <w:rPr>
          <w:rFonts w:ascii="Times New Roman" w:hAnsi="Times New Roman" w:cs="Times New Roman"/>
          <w:sz w:val="24"/>
          <w:szCs w:val="24"/>
        </w:rPr>
        <w:t>[8] J. Wei, J. Zhou, Z. Zhang, K. Yuan, Q. Gu, A. Luk, A. J. Brent, D. A. Clifton, A. S. Walker, and D. W. Eyre, "Predicting individual patient and hospital-level discharge using machine learning," Communications Medicine, vol. 4, Art. no. 236, 2024.</w:t>
      </w:r>
    </w:p>
    <w:sectPr w:rsidR="005F50A7" w:rsidRPr="00BF3B32" w:rsidSect="00BF3B32">
      <w:pgSz w:w="12240" w:h="15840"/>
      <w:pgMar w:top="1080" w:right="1200" w:bottom="1080" w:left="120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045D4A"/>
    <w:multiLevelType w:val="hybridMultilevel"/>
    <w:tmpl w:val="339084FC"/>
    <w:lvl w:ilvl="0" w:tplc="3222A0E4">
      <w:start w:val="1"/>
      <w:numFmt w:val="decimal"/>
      <w:lvlText w:val="%1."/>
      <w:lvlJc w:val="left"/>
      <w:pPr>
        <w:ind w:left="450" w:hanging="300"/>
      </w:pPr>
    </w:lvl>
    <w:lvl w:ilvl="1" w:tplc="CDE20A3E">
      <w:numFmt w:val="decimal"/>
      <w:lvlText w:val=""/>
      <w:lvlJc w:val="left"/>
    </w:lvl>
    <w:lvl w:ilvl="2" w:tplc="657486F4">
      <w:numFmt w:val="decimal"/>
      <w:lvlText w:val=""/>
      <w:lvlJc w:val="left"/>
    </w:lvl>
    <w:lvl w:ilvl="3" w:tplc="BC84B27A">
      <w:numFmt w:val="decimal"/>
      <w:lvlText w:val=""/>
      <w:lvlJc w:val="left"/>
    </w:lvl>
    <w:lvl w:ilvl="4" w:tplc="822AF056">
      <w:numFmt w:val="decimal"/>
      <w:lvlText w:val=""/>
      <w:lvlJc w:val="left"/>
    </w:lvl>
    <w:lvl w:ilvl="5" w:tplc="AC245D74">
      <w:numFmt w:val="decimal"/>
      <w:lvlText w:val=""/>
      <w:lvlJc w:val="left"/>
    </w:lvl>
    <w:lvl w:ilvl="6" w:tplc="BEE4C150">
      <w:numFmt w:val="decimal"/>
      <w:lvlText w:val=""/>
      <w:lvlJc w:val="left"/>
    </w:lvl>
    <w:lvl w:ilvl="7" w:tplc="D27A332C">
      <w:numFmt w:val="decimal"/>
      <w:lvlText w:val=""/>
      <w:lvlJc w:val="left"/>
    </w:lvl>
    <w:lvl w:ilvl="8" w:tplc="A09C233C">
      <w:numFmt w:val="decimal"/>
      <w:lvlText w:val=""/>
      <w:lvlJc w:val="left"/>
    </w:lvl>
  </w:abstractNum>
  <w:abstractNum w:abstractNumId="1" w15:restartNumberingAfterBreak="0">
    <w:nsid w:val="67BC7117"/>
    <w:multiLevelType w:val="hybridMultilevel"/>
    <w:tmpl w:val="A1EC51C8"/>
    <w:lvl w:ilvl="0" w:tplc="CDBC5180">
      <w:start w:val="1"/>
      <w:numFmt w:val="bullet"/>
      <w:lvlText w:val="•"/>
      <w:lvlJc w:val="left"/>
      <w:pPr>
        <w:ind w:left="450" w:hanging="260"/>
      </w:pPr>
    </w:lvl>
    <w:lvl w:ilvl="1" w:tplc="02A01B3C">
      <w:numFmt w:val="decimal"/>
      <w:lvlText w:val=""/>
      <w:lvlJc w:val="left"/>
    </w:lvl>
    <w:lvl w:ilvl="2" w:tplc="2A648BE4">
      <w:numFmt w:val="decimal"/>
      <w:lvlText w:val=""/>
      <w:lvlJc w:val="left"/>
    </w:lvl>
    <w:lvl w:ilvl="3" w:tplc="0DDCF886">
      <w:numFmt w:val="decimal"/>
      <w:lvlText w:val=""/>
      <w:lvlJc w:val="left"/>
    </w:lvl>
    <w:lvl w:ilvl="4" w:tplc="C4FA1E3E">
      <w:numFmt w:val="decimal"/>
      <w:lvlText w:val=""/>
      <w:lvlJc w:val="left"/>
    </w:lvl>
    <w:lvl w:ilvl="5" w:tplc="AF64099A">
      <w:numFmt w:val="decimal"/>
      <w:lvlText w:val=""/>
      <w:lvlJc w:val="left"/>
    </w:lvl>
    <w:lvl w:ilvl="6" w:tplc="DE5AE264">
      <w:numFmt w:val="decimal"/>
      <w:lvlText w:val=""/>
      <w:lvlJc w:val="left"/>
    </w:lvl>
    <w:lvl w:ilvl="7" w:tplc="C46ABAA6">
      <w:numFmt w:val="decimal"/>
      <w:lvlText w:val=""/>
      <w:lvlJc w:val="left"/>
    </w:lvl>
    <w:lvl w:ilvl="8" w:tplc="1F7091A8">
      <w:numFmt w:val="decimal"/>
      <w:lvlText w:val=""/>
      <w:lvlJc w:val="left"/>
    </w:lvl>
  </w:abstractNum>
  <w:abstractNum w:abstractNumId="2" w15:restartNumberingAfterBreak="0">
    <w:nsid w:val="7039063E"/>
    <w:multiLevelType w:val="hybridMultilevel"/>
    <w:tmpl w:val="2E7EEC1A"/>
    <w:lvl w:ilvl="0" w:tplc="240E6DFE">
      <w:start w:val="1"/>
      <w:numFmt w:val="bullet"/>
      <w:lvlText w:val="●"/>
      <w:lvlJc w:val="left"/>
      <w:pPr>
        <w:ind w:left="720" w:hanging="360"/>
      </w:pPr>
    </w:lvl>
    <w:lvl w:ilvl="1" w:tplc="28188AA2">
      <w:start w:val="1"/>
      <w:numFmt w:val="bullet"/>
      <w:lvlText w:val="○"/>
      <w:lvlJc w:val="left"/>
      <w:pPr>
        <w:ind w:left="1440" w:hanging="360"/>
      </w:pPr>
    </w:lvl>
    <w:lvl w:ilvl="2" w:tplc="FF724610">
      <w:start w:val="1"/>
      <w:numFmt w:val="bullet"/>
      <w:lvlText w:val="■"/>
      <w:lvlJc w:val="left"/>
      <w:pPr>
        <w:ind w:left="2160" w:hanging="360"/>
      </w:pPr>
    </w:lvl>
    <w:lvl w:ilvl="3" w:tplc="56A68500">
      <w:start w:val="1"/>
      <w:numFmt w:val="bullet"/>
      <w:lvlText w:val="●"/>
      <w:lvlJc w:val="left"/>
      <w:pPr>
        <w:ind w:left="2880" w:hanging="360"/>
      </w:pPr>
    </w:lvl>
    <w:lvl w:ilvl="4" w:tplc="B0CE6D2C">
      <w:start w:val="1"/>
      <w:numFmt w:val="bullet"/>
      <w:lvlText w:val="○"/>
      <w:lvlJc w:val="left"/>
      <w:pPr>
        <w:ind w:left="3600" w:hanging="360"/>
      </w:pPr>
    </w:lvl>
    <w:lvl w:ilvl="5" w:tplc="D2DE17E4">
      <w:start w:val="1"/>
      <w:numFmt w:val="bullet"/>
      <w:lvlText w:val="■"/>
      <w:lvlJc w:val="left"/>
      <w:pPr>
        <w:ind w:left="4320" w:hanging="360"/>
      </w:pPr>
    </w:lvl>
    <w:lvl w:ilvl="6" w:tplc="C84A4E8E">
      <w:start w:val="1"/>
      <w:numFmt w:val="bullet"/>
      <w:lvlText w:val="●"/>
      <w:lvlJc w:val="left"/>
      <w:pPr>
        <w:ind w:left="5040" w:hanging="360"/>
      </w:pPr>
    </w:lvl>
    <w:lvl w:ilvl="7" w:tplc="26062B70">
      <w:start w:val="1"/>
      <w:numFmt w:val="bullet"/>
      <w:lvlText w:val="●"/>
      <w:lvlJc w:val="left"/>
      <w:pPr>
        <w:ind w:left="5760" w:hanging="360"/>
      </w:pPr>
    </w:lvl>
    <w:lvl w:ilvl="8" w:tplc="CE4E107A">
      <w:start w:val="1"/>
      <w:numFmt w:val="bullet"/>
      <w:lvlText w:val="●"/>
      <w:lvlJc w:val="left"/>
      <w:pPr>
        <w:ind w:left="6480" w:hanging="360"/>
      </w:pPr>
    </w:lvl>
  </w:abstractNum>
  <w:num w:numId="1" w16cid:durableId="1752578656">
    <w:abstractNumId w:val="2"/>
    <w:lvlOverride w:ilvl="0">
      <w:startOverride w:val="1"/>
    </w:lvlOverride>
  </w:num>
  <w:num w:numId="2" w16cid:durableId="1502888579">
    <w:abstractNumId w:val="0"/>
    <w:lvlOverride w:ilvl="0">
      <w:startOverride w:val="1"/>
    </w:lvlOverride>
  </w:num>
  <w:num w:numId="3" w16cid:durableId="21392577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0A7"/>
    <w:rsid w:val="002C5EC2"/>
    <w:rsid w:val="005F50A7"/>
    <w:rsid w:val="006F2FC8"/>
    <w:rsid w:val="00702A2E"/>
    <w:rsid w:val="00BF3B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77DEA"/>
  <w15:docId w15:val="{2A39A091-A0FA-495A-ABCC-A4719AA76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3642</Words>
  <Characters>20765</Characters>
  <Application>Microsoft Office Word</Application>
  <DocSecurity>0</DocSecurity>
  <Lines>173</Lines>
  <Paragraphs>48</Paragraphs>
  <ScaleCrop>false</ScaleCrop>
  <Company/>
  <LinksUpToDate>false</LinksUpToDate>
  <CharactersWithSpaces>24359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anushka maniyam</cp:lastModifiedBy>
  <cp:revision>3</cp:revision>
  <dcterms:created xsi:type="dcterms:W3CDTF">2026-08-24T03:00:00Z</dcterms:created>
  <dcterms:modified xsi:type="dcterms:W3CDTF">2026-08-24T03:00:00Z</dcterms:modified>
</cp:coreProperties>
</file>