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DFA46" w14:textId="5362E347" w:rsidR="00684E95" w:rsidRDefault="00684E95">
      <w:pPr>
        <w:pStyle w:val="Heading1"/>
        <w:pBdr>
          <w:bottom w:val="single" w:sz="8" w:space="4" w:color="1F4E79"/>
        </w:pBdr>
        <w:spacing w:before="320" w:after="160"/>
        <w:rPr>
          <w:color w:val="0D0D0D" w:themeColor="text1" w:themeTint="F2"/>
        </w:rPr>
      </w:pPr>
      <w:r>
        <w:rPr>
          <w:color w:val="0D0D0D" w:themeColor="text1" w:themeTint="F2"/>
        </w:rPr>
        <w:t>CH. ROHITH (192525453)</w:t>
      </w:r>
    </w:p>
    <w:p w14:paraId="46543E13" w14:textId="72C1105C" w:rsidR="00684E95" w:rsidRDefault="00684E95">
      <w:pPr>
        <w:pStyle w:val="Heading1"/>
        <w:pBdr>
          <w:bottom w:val="single" w:sz="8" w:space="4" w:color="1F4E79"/>
        </w:pBdr>
        <w:spacing w:before="320" w:after="160"/>
        <w:rPr>
          <w:color w:val="0D0D0D" w:themeColor="text1" w:themeTint="F2"/>
        </w:rPr>
      </w:pPr>
      <w:r>
        <w:rPr>
          <w:color w:val="0D0D0D" w:themeColor="text1" w:themeTint="F2"/>
        </w:rPr>
        <w:t>CSA1511-CLOUD COMPUTING AND BIG DATA ANALYSIS</w:t>
      </w:r>
    </w:p>
    <w:p w14:paraId="7CB1882F" w14:textId="001481F1" w:rsidR="00684E95" w:rsidRDefault="00684E95">
      <w:pPr>
        <w:pStyle w:val="Heading1"/>
        <w:pBdr>
          <w:bottom w:val="single" w:sz="8" w:space="4" w:color="1F4E79"/>
        </w:pBdr>
        <w:spacing w:before="320" w:after="160"/>
        <w:rPr>
          <w:color w:val="0D0D0D" w:themeColor="text1" w:themeTint="F2"/>
        </w:rPr>
      </w:pPr>
      <w:r>
        <w:rPr>
          <w:color w:val="0D0D0D" w:themeColor="text1" w:themeTint="F2"/>
        </w:rPr>
        <w:t>CO2-ASSESSEMENT TOOL 6</w:t>
      </w:r>
    </w:p>
    <w:p w14:paraId="2C657CE2" w14:textId="77777777" w:rsidR="00684E95" w:rsidRDefault="00684E95">
      <w:pPr>
        <w:pStyle w:val="Heading1"/>
        <w:pBdr>
          <w:bottom w:val="single" w:sz="8" w:space="4" w:color="1F4E79"/>
        </w:pBdr>
        <w:spacing w:before="320" w:after="160"/>
        <w:rPr>
          <w:color w:val="0D0D0D" w:themeColor="text1" w:themeTint="F2"/>
        </w:rPr>
      </w:pPr>
    </w:p>
    <w:p w14:paraId="635D7D20" w14:textId="2DC9A902" w:rsidR="00D22B56" w:rsidRPr="00684E95" w:rsidRDefault="00684E95">
      <w:pPr>
        <w:pStyle w:val="Heading1"/>
        <w:pBdr>
          <w:bottom w:val="single" w:sz="8" w:space="4" w:color="1F4E79"/>
        </w:pBdr>
        <w:spacing w:before="320" w:after="160"/>
        <w:rPr>
          <w:color w:val="0D0D0D" w:themeColor="text1" w:themeTint="F2"/>
        </w:rPr>
      </w:pPr>
      <w:r>
        <w:rPr>
          <w:color w:val="0D0D0D" w:themeColor="text1" w:themeTint="F2"/>
        </w:rPr>
        <w:t>1.</w:t>
      </w:r>
      <w:r w:rsidR="001856FD" w:rsidRPr="00684E95">
        <w:rPr>
          <w:color w:val="0D0D0D" w:themeColor="text1" w:themeTint="F2"/>
        </w:rPr>
        <w:t xml:space="preserve"> Cloud Architecture for a Global Video Streaming Platform</w:t>
      </w:r>
    </w:p>
    <w:p w14:paraId="14962253" w14:textId="77777777" w:rsidR="00D22B56" w:rsidRPr="00684E95" w:rsidRDefault="001856FD">
      <w:pPr>
        <w:spacing w:after="140" w:line="300" w:lineRule="auto"/>
        <w:rPr>
          <w:sz w:val="24"/>
          <w:szCs w:val="24"/>
        </w:rPr>
      </w:pPr>
      <w:r w:rsidRPr="00684E95">
        <w:rPr>
          <w:sz w:val="24"/>
          <w:szCs w:val="24"/>
        </w:rPr>
        <w:t>Streaming to millions of concurrent users with minimal buffering requires an architecture built around three ideas: push content as close to the viewer as possible, scale compute elastically with viewership, and keep every tier stateless and horizontally scalable so no single component becomes a bottleneck.</w:t>
      </w:r>
    </w:p>
    <w:p w14:paraId="5EAF7AA1" w14:textId="77777777" w:rsidR="00D22B56" w:rsidRPr="00684E95" w:rsidRDefault="001856FD">
      <w:pPr>
        <w:pStyle w:val="Heading2"/>
        <w:spacing w:before="220" w:after="100"/>
      </w:pPr>
      <w:r w:rsidRPr="00684E95">
        <w:t>Architecture Design — Scalability and Caching</w:t>
      </w:r>
    </w:p>
    <w:p w14:paraId="0D006056"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Content Delivery Network (CDN) as the primary delivery layer: </w:t>
      </w:r>
      <w:r w:rsidRPr="00684E95">
        <w:rPr>
          <w:sz w:val="24"/>
          <w:szCs w:val="24"/>
        </w:rPr>
        <w:t>Video segments (using adaptive bitrate formats like HLS/DASH) are cached at edge locations worldwide, so most viewer requests are served from a nearby edge node rather than the origin, which is the single biggest lever against buffering at scale.</w:t>
      </w:r>
    </w:p>
    <w:p w14:paraId="627C81A8"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Adaptive bitrate streaming: </w:t>
      </w:r>
      <w:r w:rsidRPr="00684E95">
        <w:rPr>
          <w:sz w:val="24"/>
          <w:szCs w:val="24"/>
        </w:rPr>
        <w:t>Video is encoded/transcoded into multiple quality renditions; the player automatically switches renditions based on the viewer's real-time network conditions, minimizing buffering instead of forcing one fixed quality.</w:t>
      </w:r>
    </w:p>
    <w:p w14:paraId="5D86EFA2"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Origin shielding and tiered caching: </w:t>
      </w:r>
      <w:r w:rsidRPr="00684E95">
        <w:rPr>
          <w:sz w:val="24"/>
          <w:szCs w:val="24"/>
        </w:rPr>
        <w:t xml:space="preserve">A shield/mid-tier cache sits between edge nodes and the origin storage, so only a small fraction of requests ever </w:t>
      </w:r>
      <w:proofErr w:type="gramStart"/>
      <w:r w:rsidRPr="00684E95">
        <w:rPr>
          <w:sz w:val="24"/>
          <w:szCs w:val="24"/>
        </w:rPr>
        <w:t>reach</w:t>
      </w:r>
      <w:proofErr w:type="gramEnd"/>
      <w:r w:rsidRPr="00684E95">
        <w:rPr>
          <w:sz w:val="24"/>
          <w:szCs w:val="24"/>
        </w:rPr>
        <w:t xml:space="preserve"> the origin, protecting it from being overwhelmed during a popular live event.</w:t>
      </w:r>
    </w:p>
    <w:p w14:paraId="1CA3FF62"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Microservices for control-plane functions: </w:t>
      </w:r>
      <w:r w:rsidRPr="00684E95">
        <w:rPr>
          <w:sz w:val="24"/>
          <w:szCs w:val="24"/>
        </w:rPr>
        <w:t>User authentication, recommendations, billing, and metadata search are split into independent, horizontally scalable microservices, separate from the high-throughput video-serving path, so a spike in one does not affect video delivery.</w:t>
      </w:r>
    </w:p>
    <w:p w14:paraId="5A890ACC"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Object storage for the video library: </w:t>
      </w:r>
      <w:r w:rsidRPr="00684E95">
        <w:rPr>
          <w:sz w:val="24"/>
          <w:szCs w:val="24"/>
        </w:rPr>
        <w:t>Master video files and pre-transcoded renditions are stored in durable, highly available cloud object storage, decoupled from compute so storage and streaming compute can each scale independently.</w:t>
      </w:r>
    </w:p>
    <w:p w14:paraId="567016CA"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lastRenderedPageBreak/>
        <w:t xml:space="preserve">Message queues for transcoding pipelines: </w:t>
      </w:r>
      <w:r w:rsidRPr="00684E95">
        <w:rPr>
          <w:sz w:val="24"/>
          <w:szCs w:val="24"/>
        </w:rPr>
        <w:t>Newly uploaded videos are transcoded asynchronously via a queue-driven pipeline (multiple worker instances pulling jobs), so upload spikes do not block the live-serving path.</w:t>
      </w:r>
    </w:p>
    <w:p w14:paraId="252725B1" w14:textId="77777777" w:rsidR="00D22B56" w:rsidRPr="00684E95" w:rsidRDefault="001856FD">
      <w:pPr>
        <w:pStyle w:val="Heading2"/>
        <w:spacing w:before="220" w:after="100"/>
      </w:pPr>
      <w:r w:rsidRPr="00684E95">
        <w:t>Load Balancing and Auto-Scaling for Smooth Streaming</w:t>
      </w:r>
    </w:p>
    <w:p w14:paraId="69DDB6C3"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Global/geo-DNS load balancing: </w:t>
      </w:r>
      <w:r w:rsidRPr="00684E95">
        <w:rPr>
          <w:sz w:val="24"/>
          <w:szCs w:val="24"/>
        </w:rPr>
        <w:t xml:space="preserve">Routes each viewer to the nearest healthy region or edge point-of-presence based on latency, spreading concurrent viewers across the global footprint rather than one </w:t>
      </w:r>
      <w:proofErr w:type="spellStart"/>
      <w:r w:rsidRPr="00684E95">
        <w:rPr>
          <w:sz w:val="24"/>
          <w:szCs w:val="24"/>
        </w:rPr>
        <w:t>datacenter</w:t>
      </w:r>
      <w:proofErr w:type="spellEnd"/>
      <w:r w:rsidRPr="00684E95">
        <w:rPr>
          <w:sz w:val="24"/>
          <w:szCs w:val="24"/>
        </w:rPr>
        <w:t>.</w:t>
      </w:r>
    </w:p>
    <w:p w14:paraId="79B95145"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Regional load balancers: </w:t>
      </w:r>
      <w:r w:rsidRPr="00684E95">
        <w:rPr>
          <w:sz w:val="24"/>
          <w:szCs w:val="24"/>
        </w:rPr>
        <w:t>Within a region, load balancers distribute API and manifest requests across auto-scaled application server pools, with health checks removing unhealthy instances instantly.</w:t>
      </w:r>
    </w:p>
    <w:p w14:paraId="556FBCA0"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Metric-driven auto-scaling: </w:t>
      </w:r>
      <w:r w:rsidRPr="00684E95">
        <w:rPr>
          <w:sz w:val="24"/>
          <w:szCs w:val="24"/>
        </w:rPr>
        <w:t>Streaming API and transcoding tiers scale out automatically based on concurrent connections, CPU, and request latency, so capacity grows ahead of viewer surges (e.g., a live sports event) and shrinks afterward.</w:t>
      </w:r>
    </w:p>
    <w:p w14:paraId="3AA42A01"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Predictive pre-scaling for scheduled events: </w:t>
      </w:r>
      <w:r w:rsidRPr="00684E95">
        <w:rPr>
          <w:sz w:val="24"/>
          <w:szCs w:val="24"/>
        </w:rPr>
        <w:t>For known high-demand events (a major live premiere), capacity is pre-warmed ahead of time, since reactive scaling alone may be too slow for an instantaneous viewer surge at the start of a broadcast.</w:t>
      </w:r>
    </w:p>
    <w:p w14:paraId="46EC4713" w14:textId="77777777" w:rsidR="00D22B56" w:rsidRPr="00684E95" w:rsidRDefault="001856FD">
      <w:pPr>
        <w:pStyle w:val="Heading2"/>
        <w:spacing w:before="220" w:after="100"/>
      </w:pPr>
      <w:r w:rsidRPr="00684E95">
        <w:t>Cost Optimization Strategies</w:t>
      </w:r>
    </w:p>
    <w:p w14:paraId="716F6E27"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Cache-hit maximization: </w:t>
      </w:r>
      <w:r w:rsidRPr="00684E95">
        <w:rPr>
          <w:sz w:val="24"/>
          <w:szCs w:val="24"/>
        </w:rPr>
        <w:t>The higher the CDN cache-hit ratio, the less traffic touches expensive compute/origin infrastructure — this is the single most effective cost lever for streaming workloads.</w:t>
      </w:r>
    </w:p>
    <w:p w14:paraId="5AE1CE98"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Tiered/cold storage for older content: </w:t>
      </w:r>
      <w:r w:rsidRPr="00684E95">
        <w:rPr>
          <w:sz w:val="24"/>
          <w:szCs w:val="24"/>
        </w:rPr>
        <w:t>Rarely watched back-</w:t>
      </w:r>
      <w:proofErr w:type="spellStart"/>
      <w:r w:rsidRPr="00684E95">
        <w:rPr>
          <w:sz w:val="24"/>
          <w:szCs w:val="24"/>
        </w:rPr>
        <w:t>catalog</w:t>
      </w:r>
      <w:proofErr w:type="spellEnd"/>
      <w:r w:rsidRPr="00684E95">
        <w:rPr>
          <w:sz w:val="24"/>
          <w:szCs w:val="24"/>
        </w:rPr>
        <w:t xml:space="preserve"> videos are moved to cheaper archive-class storage tiers, while popular current titles stay on higher-performance tiers.</w:t>
      </w:r>
    </w:p>
    <w:p w14:paraId="23BF83F3"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Spot/preemptible instances for transcoding: </w:t>
      </w:r>
      <w:r w:rsidRPr="00684E95">
        <w:rPr>
          <w:sz w:val="24"/>
          <w:szCs w:val="24"/>
        </w:rPr>
        <w:t>Batch video transcoding is not latency-critical for the live viewer path, so it can run on lower-cost interruptible compute instances rather than full-price on-demand capacity.</w:t>
      </w:r>
    </w:p>
    <w:p w14:paraId="0535B5E2"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Reserved/committed-use capacity for baseline load: </w:t>
      </w:r>
      <w:r w:rsidRPr="00684E95">
        <w:rPr>
          <w:sz w:val="24"/>
          <w:szCs w:val="24"/>
        </w:rPr>
        <w:t>Predictable baseline traffic is covered by reserved instances or committed-use discounts, while auto-scaling only adds pay-as-you-go capacity for the unpredictable peak above baseline.</w:t>
      </w:r>
    </w:p>
    <w:p w14:paraId="788F3FD8"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Bandwidth optimization: </w:t>
      </w:r>
      <w:r w:rsidRPr="00684E95">
        <w:rPr>
          <w:sz w:val="24"/>
          <w:szCs w:val="24"/>
        </w:rPr>
        <w:t>Efficient codecs (e.g., H.265/AV1) and adaptive bitrate reduce the total data transferred, directly lowering egress and CDN bandwidth costs at massive scale.</w:t>
      </w:r>
    </w:p>
    <w:p w14:paraId="2A9129C5" w14:textId="77777777" w:rsidR="00D22B56" w:rsidRPr="00684E95" w:rsidRDefault="00D22B56">
      <w:pPr>
        <w:pageBreakBefore/>
        <w:rPr>
          <w:sz w:val="24"/>
          <w:szCs w:val="24"/>
        </w:rPr>
      </w:pPr>
    </w:p>
    <w:p w14:paraId="1DFC3E6A" w14:textId="4C74B255" w:rsidR="00D22B56" w:rsidRPr="00684E95" w:rsidRDefault="001856FD">
      <w:pPr>
        <w:pStyle w:val="Heading1"/>
        <w:pBdr>
          <w:bottom w:val="single" w:sz="8" w:space="4" w:color="1F4E79"/>
        </w:pBdr>
        <w:spacing w:before="320" w:after="160"/>
        <w:rPr>
          <w:color w:val="0D0D0D" w:themeColor="text1" w:themeTint="F2"/>
        </w:rPr>
      </w:pPr>
      <w:r w:rsidRPr="00684E95">
        <w:rPr>
          <w:color w:val="0D0D0D" w:themeColor="text1" w:themeTint="F2"/>
        </w:rPr>
        <w:t>2. Multi-Cloud Container Orchestration for a Fintech Startup</w:t>
      </w:r>
    </w:p>
    <w:p w14:paraId="70F325CC" w14:textId="77777777" w:rsidR="00D22B56" w:rsidRPr="00684E95" w:rsidRDefault="001856FD">
      <w:pPr>
        <w:spacing w:after="140" w:line="300" w:lineRule="auto"/>
        <w:rPr>
          <w:sz w:val="24"/>
          <w:szCs w:val="24"/>
        </w:rPr>
      </w:pPr>
      <w:r w:rsidRPr="00684E95">
        <w:rPr>
          <w:sz w:val="24"/>
          <w:szCs w:val="24"/>
        </w:rPr>
        <w:t>A fintech running containers across multiple cloud providers needs consistency in how workloads are deployed, discovered, and scaled, regardless of which underlying cloud a given service happens to run on.</w:t>
      </w:r>
    </w:p>
    <w:p w14:paraId="3AFDF347" w14:textId="77777777" w:rsidR="00D22B56" w:rsidRPr="00684E95" w:rsidRDefault="001856FD">
      <w:pPr>
        <w:pStyle w:val="Heading2"/>
        <w:spacing w:before="220" w:after="100"/>
      </w:pPr>
      <w:r w:rsidRPr="00684E95">
        <w:t>Proposed Solution: Container Orchestration + Multi-Cloud Strategy</w:t>
      </w:r>
    </w:p>
    <w:p w14:paraId="3B6AC17C"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Kubernetes as the common orchestration layer: </w:t>
      </w:r>
      <w:r w:rsidRPr="00684E95">
        <w:rPr>
          <w:sz w:val="24"/>
          <w:szCs w:val="24"/>
        </w:rPr>
        <w:t>Deploying a Kubernetes cluster (or managed Kubernetes service) in each cloud provider gives the team one consistent API, deployment model, and tooling across AWS, Azure, GCP, etc., instead of learning each provider's proprietary container service separately.</w:t>
      </w:r>
    </w:p>
    <w:p w14:paraId="098D91F5"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Infrastructure as Code (</w:t>
      </w:r>
      <w:proofErr w:type="spellStart"/>
      <w:r w:rsidRPr="00684E95">
        <w:rPr>
          <w:b/>
          <w:bCs/>
          <w:sz w:val="24"/>
          <w:szCs w:val="24"/>
        </w:rPr>
        <w:t>IaC</w:t>
      </w:r>
      <w:proofErr w:type="spellEnd"/>
      <w:r w:rsidRPr="00684E95">
        <w:rPr>
          <w:b/>
          <w:bCs/>
          <w:sz w:val="24"/>
          <w:szCs w:val="24"/>
        </w:rPr>
        <w:t xml:space="preserve">): </w:t>
      </w:r>
      <w:r w:rsidRPr="00684E95">
        <w:rPr>
          <w:sz w:val="24"/>
          <w:szCs w:val="24"/>
        </w:rPr>
        <w:t>Tools like Terraform define cluster infrastructure declaratively and provider-agnostically, so the same configuration pattern can provision environments consistently across clouds and prevent configuration drift.</w:t>
      </w:r>
    </w:p>
    <w:p w14:paraId="17252AAA" w14:textId="77777777" w:rsidR="00D22B56" w:rsidRPr="00684E95" w:rsidRDefault="001856FD">
      <w:pPr>
        <w:pStyle w:val="ListParagraph"/>
        <w:numPr>
          <w:ilvl w:val="0"/>
          <w:numId w:val="2"/>
        </w:numPr>
        <w:spacing w:after="80" w:line="290" w:lineRule="auto"/>
        <w:rPr>
          <w:sz w:val="24"/>
          <w:szCs w:val="24"/>
        </w:rPr>
      </w:pPr>
      <w:proofErr w:type="spellStart"/>
      <w:r w:rsidRPr="00684E95">
        <w:rPr>
          <w:b/>
          <w:bCs/>
          <w:sz w:val="24"/>
          <w:szCs w:val="24"/>
        </w:rPr>
        <w:t>GitOps</w:t>
      </w:r>
      <w:proofErr w:type="spellEnd"/>
      <w:r w:rsidRPr="00684E95">
        <w:rPr>
          <w:b/>
          <w:bCs/>
          <w:sz w:val="24"/>
          <w:szCs w:val="24"/>
        </w:rPr>
        <w:t xml:space="preserve">-based deployment pipelines: </w:t>
      </w:r>
      <w:r w:rsidRPr="00684E95">
        <w:rPr>
          <w:sz w:val="24"/>
          <w:szCs w:val="24"/>
        </w:rPr>
        <w:t xml:space="preserve">A single Git repository holding Kubernetes manifests (via tools like </w:t>
      </w:r>
      <w:proofErr w:type="spellStart"/>
      <w:r w:rsidRPr="00684E95">
        <w:rPr>
          <w:sz w:val="24"/>
          <w:szCs w:val="24"/>
        </w:rPr>
        <w:t>ArgoCD</w:t>
      </w:r>
      <w:proofErr w:type="spellEnd"/>
      <w:r w:rsidRPr="00684E95">
        <w:rPr>
          <w:sz w:val="24"/>
          <w:szCs w:val="24"/>
        </w:rPr>
        <w:t>/Flux) becomes the source of truth deployed identically to every cluster, ensuring all clouds run the same validated application version.</w:t>
      </w:r>
    </w:p>
    <w:p w14:paraId="07E27A40"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Container registry replication: </w:t>
      </w:r>
      <w:r w:rsidRPr="00684E95">
        <w:rPr>
          <w:sz w:val="24"/>
          <w:szCs w:val="24"/>
        </w:rPr>
        <w:t>A central, replicated container image registry ensures every cloud pulls the exact same tested image, avoiding inconsistency between environments.</w:t>
      </w:r>
    </w:p>
    <w:p w14:paraId="1678AF76"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Centralized policy and configuration management: </w:t>
      </w:r>
      <w:r w:rsidRPr="00684E95">
        <w:rPr>
          <w:sz w:val="24"/>
          <w:szCs w:val="24"/>
        </w:rPr>
        <w:t>Tools like Open Policy Agent (OPA) enforce the same security and compliance policies across every cluster regardless of which cloud it runs in — important for a regulated fintech.</w:t>
      </w:r>
    </w:p>
    <w:p w14:paraId="2EEFFCE9" w14:textId="77777777" w:rsidR="00D22B56" w:rsidRPr="00684E95" w:rsidRDefault="001856FD">
      <w:pPr>
        <w:pStyle w:val="Heading2"/>
        <w:spacing w:before="220" w:after="100"/>
      </w:pPr>
      <w:r w:rsidRPr="00684E95">
        <w:t>Service Discovery and Scaling</w:t>
      </w:r>
    </w:p>
    <w:p w14:paraId="47C65594"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Service mesh for cross-cluster discovery: </w:t>
      </w:r>
      <w:r w:rsidRPr="00684E95">
        <w:rPr>
          <w:sz w:val="24"/>
          <w:szCs w:val="24"/>
        </w:rPr>
        <w:t xml:space="preserve">A service mesh (e.g., Istio, </w:t>
      </w:r>
      <w:proofErr w:type="spellStart"/>
      <w:r w:rsidRPr="00684E95">
        <w:rPr>
          <w:sz w:val="24"/>
          <w:szCs w:val="24"/>
        </w:rPr>
        <w:t>Linkerd</w:t>
      </w:r>
      <w:proofErr w:type="spellEnd"/>
      <w:r w:rsidRPr="00684E95">
        <w:rPr>
          <w:sz w:val="24"/>
          <w:szCs w:val="24"/>
        </w:rPr>
        <w:t>) provides consistent service discovery, mutual TLS, and traffic routing between microservices whether they are in the same cluster or communicating across clouds.</w:t>
      </w:r>
    </w:p>
    <w:p w14:paraId="1ECDEDED"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DNS-based global service discovery: </w:t>
      </w:r>
      <w:r w:rsidRPr="00684E95">
        <w:rPr>
          <w:sz w:val="24"/>
          <w:szCs w:val="24"/>
        </w:rPr>
        <w:t>A global load balancer/DNS layer resolves service endpoints to the nearest or healthiest cloud region, allowing failover between providers to be transparent to calling services.</w:t>
      </w:r>
    </w:p>
    <w:p w14:paraId="5D2D6ACC"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Horizontal Pod Autoscaling per cluster: </w:t>
      </w:r>
      <w:r w:rsidRPr="00684E95">
        <w:rPr>
          <w:sz w:val="24"/>
          <w:szCs w:val="24"/>
        </w:rPr>
        <w:t>Each cloud's cluster independently scales container replicas based on CPU/memory/custom metrics (e.g., transaction volume), so scaling decisions are local and fast rather than requiring cross-cloud coordination.</w:t>
      </w:r>
    </w:p>
    <w:p w14:paraId="3266FBD0"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lastRenderedPageBreak/>
        <w:t xml:space="preserve">Cluster-level autoscaling: </w:t>
      </w:r>
      <w:r w:rsidRPr="00684E95">
        <w:rPr>
          <w:sz w:val="24"/>
          <w:szCs w:val="24"/>
        </w:rPr>
        <w:t>Underlying node pools scale up/down automatically in each cloud to provide the capacity Kubernetes needs for pod scheduling, keeping cost aligned with real demand in each provider.</w:t>
      </w:r>
    </w:p>
    <w:p w14:paraId="33D71D06" w14:textId="77777777" w:rsidR="00D22B56" w:rsidRPr="00684E95" w:rsidRDefault="001856FD">
      <w:pPr>
        <w:pStyle w:val="Heading2"/>
        <w:spacing w:before="220" w:after="100"/>
      </w:pPr>
      <w:r w:rsidRPr="00684E95">
        <w:t>Benefits of Multi-Cloud Deployment</w:t>
      </w:r>
    </w:p>
    <w:p w14:paraId="5E814D70"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Avoiding vendor lock-in: </w:t>
      </w:r>
      <w:r w:rsidRPr="00684E95">
        <w:rPr>
          <w:sz w:val="24"/>
          <w:szCs w:val="24"/>
        </w:rPr>
        <w:t>The fintech is not dependent on a single provider's pricing, roadmap, or outages, and can negotiate better terms knowing workloads are portable.</w:t>
      </w:r>
    </w:p>
    <w:p w14:paraId="2184AEDC"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Resilience: </w:t>
      </w:r>
      <w:r w:rsidRPr="00684E95">
        <w:rPr>
          <w:sz w:val="24"/>
          <w:szCs w:val="24"/>
        </w:rPr>
        <w:t>If one provider suffers a regional or platform-wide outage, services can continue running on another cloud.</w:t>
      </w:r>
    </w:p>
    <w:p w14:paraId="7A34FA58"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Regulatory and data-residency flexibility: </w:t>
      </w:r>
      <w:r w:rsidRPr="00684E95">
        <w:rPr>
          <w:sz w:val="24"/>
          <w:szCs w:val="24"/>
        </w:rPr>
        <w:t>Different providers' regional footprints can be chosen to meet varying compliance requirements across the markets the fintech serves.</w:t>
      </w:r>
    </w:p>
    <w:p w14:paraId="5D750CA9" w14:textId="77777777" w:rsidR="00D22B56" w:rsidRPr="00684E95" w:rsidRDefault="001856FD">
      <w:pPr>
        <w:pStyle w:val="Heading2"/>
        <w:spacing w:before="220" w:after="100"/>
      </w:pPr>
      <w:r w:rsidRPr="00684E95">
        <w:t>Risks of Multi-Cloud Deployment</w:t>
      </w:r>
    </w:p>
    <w:p w14:paraId="6E73919F"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Increased operational complexity: </w:t>
      </w:r>
      <w:r w:rsidRPr="00684E95">
        <w:rPr>
          <w:sz w:val="24"/>
          <w:szCs w:val="24"/>
        </w:rPr>
        <w:t>Running and securing multiple clusters across providers multiplies the operational surface area, tooling, and expertise required compared with a single-cloud approach.</w:t>
      </w:r>
    </w:p>
    <w:p w14:paraId="62A685FC"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Data consistency and latency challenges: </w:t>
      </w:r>
      <w:r w:rsidRPr="00684E95">
        <w:rPr>
          <w:sz w:val="24"/>
          <w:szCs w:val="24"/>
        </w:rPr>
        <w:t>Keeping data synchronized across clouds for cross-cloud transactions introduces latency and consistency trade-offs that must be carefully designed, especially for financial data.</w:t>
      </w:r>
    </w:p>
    <w:p w14:paraId="296EECE4"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Higher cost of duplication: </w:t>
      </w:r>
      <w:r w:rsidRPr="00684E95">
        <w:rPr>
          <w:sz w:val="24"/>
          <w:szCs w:val="24"/>
        </w:rPr>
        <w:t>Running redundant infrastructure, egress charges for cross-cloud data transfer, and duplicated monitoring/security tooling can raise costs if not carefully managed.</w:t>
      </w:r>
    </w:p>
    <w:p w14:paraId="1F82A03A"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Security surface area: </w:t>
      </w:r>
      <w:r w:rsidRPr="00684E95">
        <w:rPr>
          <w:sz w:val="24"/>
          <w:szCs w:val="24"/>
        </w:rPr>
        <w:t>More providers mean more identity systems, network boundaries, and configurations to secure consistently — a single misconfigured cluster in any cloud becomes a weak link.</w:t>
      </w:r>
    </w:p>
    <w:p w14:paraId="714989CA" w14:textId="77777777" w:rsidR="00D22B56" w:rsidRPr="00684E95" w:rsidRDefault="00D22B56">
      <w:pPr>
        <w:pageBreakBefore/>
        <w:rPr>
          <w:sz w:val="24"/>
          <w:szCs w:val="24"/>
        </w:rPr>
      </w:pPr>
    </w:p>
    <w:p w14:paraId="2D37F77B" w14:textId="33EA449E" w:rsidR="00D22B56" w:rsidRPr="00684E95" w:rsidRDefault="001856FD">
      <w:pPr>
        <w:pStyle w:val="Heading1"/>
        <w:pBdr>
          <w:bottom w:val="single" w:sz="8" w:space="4" w:color="1F4E79"/>
        </w:pBdr>
        <w:spacing w:before="320" w:after="160"/>
        <w:rPr>
          <w:color w:val="0D0D0D" w:themeColor="text1" w:themeTint="F2"/>
        </w:rPr>
      </w:pPr>
      <w:r w:rsidRPr="00684E95">
        <w:rPr>
          <w:color w:val="0D0D0D" w:themeColor="text1" w:themeTint="F2"/>
        </w:rPr>
        <w:t>3. Backup and Disaster Recovery for an E-Learning Platform</w:t>
      </w:r>
    </w:p>
    <w:p w14:paraId="571DEF24" w14:textId="77777777" w:rsidR="00D22B56" w:rsidRPr="00684E95" w:rsidRDefault="001856FD">
      <w:pPr>
        <w:spacing w:after="140" w:line="300" w:lineRule="auto"/>
        <w:rPr>
          <w:sz w:val="24"/>
          <w:szCs w:val="24"/>
        </w:rPr>
      </w:pPr>
      <w:r w:rsidRPr="00684E95">
        <w:rPr>
          <w:sz w:val="24"/>
          <w:szCs w:val="24"/>
        </w:rPr>
        <w:t>Accidental deletion in the cloud is a data-loss scenario, not an infrastructure-failure scenario — the underlying cloud storage may be perfectly healthy, but the specific records or files are gone unless a proper backup and recovery strategy was already in place. The solution combines automated backup, redundant replication, and object versioning, sized against explicit recovery objectives.</w:t>
      </w:r>
    </w:p>
    <w:p w14:paraId="326C2088" w14:textId="77777777" w:rsidR="00D22B56" w:rsidRPr="00684E95" w:rsidRDefault="001856FD">
      <w:pPr>
        <w:pStyle w:val="Heading2"/>
        <w:spacing w:before="220" w:after="100"/>
      </w:pPr>
      <w:r w:rsidRPr="00684E95">
        <w:t>Backup, Replication, and Versioning Design</w:t>
      </w:r>
    </w:p>
    <w:p w14:paraId="7928BCD2"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Automated, scheduled backups: </w:t>
      </w:r>
      <w:r w:rsidRPr="00684E95">
        <w:rPr>
          <w:sz w:val="24"/>
          <w:szCs w:val="24"/>
        </w:rPr>
        <w:t xml:space="preserve">Databases (course records, grades, user data) and file storage (course materials, videos) are backed up automatically on a defined schedule (e.g., hourly </w:t>
      </w:r>
      <w:proofErr w:type="spellStart"/>
      <w:r w:rsidRPr="00684E95">
        <w:rPr>
          <w:sz w:val="24"/>
          <w:szCs w:val="24"/>
        </w:rPr>
        <w:t>incrementals</w:t>
      </w:r>
      <w:proofErr w:type="spellEnd"/>
      <w:r w:rsidRPr="00684E95">
        <w:rPr>
          <w:sz w:val="24"/>
          <w:szCs w:val="24"/>
        </w:rPr>
        <w:t>, daily full backups) rather than relying on manual action.</w:t>
      </w:r>
    </w:p>
    <w:p w14:paraId="2AE0C611"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Object versioning: </w:t>
      </w:r>
      <w:r w:rsidRPr="00684E95">
        <w:rPr>
          <w:sz w:val="24"/>
          <w:szCs w:val="24"/>
        </w:rPr>
        <w:t>Cloud storage versioning is enabled so every overwrite or delete preserves the prior version; accidental deletion becomes a simple "restore previous version" operation instead of a permanent loss.</w:t>
      </w:r>
    </w:p>
    <w:p w14:paraId="0C1B44BC"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Soft-delete / recycle bin retention: </w:t>
      </w:r>
      <w:r w:rsidRPr="00684E95">
        <w:rPr>
          <w:sz w:val="24"/>
          <w:szCs w:val="24"/>
        </w:rPr>
        <w:t>A retention window (e.g., 30 days) holds "deleted" objects recoverably before permanent purge, catching accidental deletions discovered after the fact.</w:t>
      </w:r>
    </w:p>
    <w:p w14:paraId="0D288983"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Cross-region replication: </w:t>
      </w:r>
      <w:r w:rsidRPr="00684E95">
        <w:rPr>
          <w:sz w:val="24"/>
          <w:szCs w:val="24"/>
        </w:rPr>
        <w:t>Backups and primary data are replicated to a geographically separate region, protecting against not just accidental deletion but also regional outages or disasters.</w:t>
      </w:r>
    </w:p>
    <w:p w14:paraId="67301651"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Immutable backup copies: </w:t>
      </w:r>
      <w:r w:rsidRPr="00684E95">
        <w:rPr>
          <w:sz w:val="24"/>
          <w:szCs w:val="24"/>
        </w:rPr>
        <w:t>At least one backup copy is stored in an immutable/write-once form so it cannot be altered or deleted even by a compromised administrative account, guarding against both accidents and malicious deletion.</w:t>
      </w:r>
    </w:p>
    <w:p w14:paraId="3AD51651" w14:textId="77777777" w:rsidR="00D22B56" w:rsidRPr="00684E95" w:rsidRDefault="001856FD">
      <w:pPr>
        <w:pStyle w:val="Heading2"/>
        <w:spacing w:before="220" w:after="100"/>
      </w:pPr>
      <w:r w:rsidRPr="00684E95">
        <w:t>Recovery Time Objective (RTO) and Recovery Point Objective (RPO)</w:t>
      </w:r>
    </w:p>
    <w:p w14:paraId="1BC5E2B1"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RPO (maximum acceptable data loss): </w:t>
      </w:r>
      <w:r w:rsidRPr="00684E95">
        <w:rPr>
          <w:sz w:val="24"/>
          <w:szCs w:val="24"/>
        </w:rPr>
        <w:t>Achieved by setting the backup/replication frequency — e.g., if backups run every 15 minutes and replicate continuously, the worst-case data loss (RPO) is bounded to that interval rather than a full day.</w:t>
      </w:r>
    </w:p>
    <w:p w14:paraId="11965BCC"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RTO (maximum acceptable downtime): </w:t>
      </w:r>
      <w:r w:rsidRPr="00684E95">
        <w:rPr>
          <w:sz w:val="24"/>
          <w:szCs w:val="24"/>
        </w:rPr>
        <w:t>Achieved by pre-provisioning standby infrastructure and automated, tested restore procedures/runbooks, so recovery is a matter of executing a rehearsed process rather than improvising — the more automated and pre-staged the recovery path, the lower the achievable RTO.</w:t>
      </w:r>
    </w:p>
    <w:p w14:paraId="504C5D20"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lastRenderedPageBreak/>
        <w:t xml:space="preserve">Tiering objectives by data criticality: </w:t>
      </w:r>
      <w:r w:rsidRPr="00684E95">
        <w:rPr>
          <w:sz w:val="24"/>
          <w:szCs w:val="24"/>
        </w:rPr>
        <w:t xml:space="preserve">Core learning-record data (grades, </w:t>
      </w:r>
      <w:proofErr w:type="spellStart"/>
      <w:r w:rsidRPr="00684E95">
        <w:rPr>
          <w:sz w:val="24"/>
          <w:szCs w:val="24"/>
        </w:rPr>
        <w:t>enrollment</w:t>
      </w:r>
      <w:proofErr w:type="spellEnd"/>
      <w:r w:rsidRPr="00684E95">
        <w:rPr>
          <w:sz w:val="24"/>
          <w:szCs w:val="24"/>
        </w:rPr>
        <w:t>) is given the tightest RPO/RTO targets, while less critical data (e.g., discussion-forum posts) can tolerate a longer recovery window, focusing investment where it matters most.</w:t>
      </w:r>
    </w:p>
    <w:p w14:paraId="1C9D816C" w14:textId="77777777" w:rsidR="00D22B56" w:rsidRPr="00684E95" w:rsidRDefault="001856FD">
      <w:pPr>
        <w:pStyle w:val="Heading2"/>
        <w:spacing w:before="220" w:after="100"/>
      </w:pPr>
      <w:r w:rsidRPr="00684E95">
        <w:t>Steps to Ensure Business Continuity During Failures</w:t>
      </w:r>
    </w:p>
    <w:p w14:paraId="617ADC2E" w14:textId="77777777" w:rsidR="00D22B56" w:rsidRPr="00684E95" w:rsidRDefault="001856FD">
      <w:pPr>
        <w:spacing w:after="100" w:line="290" w:lineRule="auto"/>
        <w:ind w:left="360"/>
        <w:rPr>
          <w:sz w:val="24"/>
          <w:szCs w:val="24"/>
        </w:rPr>
      </w:pPr>
      <w:r w:rsidRPr="00684E95">
        <w:rPr>
          <w:b/>
          <w:bCs/>
          <w:sz w:val="24"/>
          <w:szCs w:val="24"/>
        </w:rPr>
        <w:t xml:space="preserve">1. Classify data and set objectives: </w:t>
      </w:r>
      <w:r w:rsidRPr="00684E95">
        <w:rPr>
          <w:sz w:val="24"/>
          <w:szCs w:val="24"/>
        </w:rPr>
        <w:t>Identify which datasets are business-critical and assign each an explicit RTO/RPO target.</w:t>
      </w:r>
    </w:p>
    <w:p w14:paraId="415DC9A5" w14:textId="77777777" w:rsidR="00D22B56" w:rsidRPr="00684E95" w:rsidRDefault="001856FD">
      <w:pPr>
        <w:spacing w:after="100" w:line="290" w:lineRule="auto"/>
        <w:ind w:left="360"/>
        <w:rPr>
          <w:sz w:val="24"/>
          <w:szCs w:val="24"/>
        </w:rPr>
      </w:pPr>
      <w:r w:rsidRPr="00684E95">
        <w:rPr>
          <w:b/>
          <w:bCs/>
          <w:sz w:val="24"/>
          <w:szCs w:val="24"/>
        </w:rPr>
        <w:t xml:space="preserve">2. Implement automated backup and versioning: </w:t>
      </w:r>
      <w:r w:rsidRPr="00684E95">
        <w:rPr>
          <w:sz w:val="24"/>
          <w:szCs w:val="24"/>
        </w:rPr>
        <w:t>Configure scheduled backups, cross-region replication, and object versioning per the classification above.</w:t>
      </w:r>
    </w:p>
    <w:p w14:paraId="460D9F39" w14:textId="77777777" w:rsidR="00D22B56" w:rsidRPr="00684E95" w:rsidRDefault="001856FD">
      <w:pPr>
        <w:spacing w:after="100" w:line="290" w:lineRule="auto"/>
        <w:ind w:left="360"/>
        <w:rPr>
          <w:sz w:val="24"/>
          <w:szCs w:val="24"/>
        </w:rPr>
      </w:pPr>
      <w:r w:rsidRPr="00684E95">
        <w:rPr>
          <w:b/>
          <w:bCs/>
          <w:sz w:val="24"/>
          <w:szCs w:val="24"/>
        </w:rPr>
        <w:t xml:space="preserve">3. Build and document a recovery runbook: </w:t>
      </w:r>
      <w:r w:rsidRPr="00684E95">
        <w:rPr>
          <w:sz w:val="24"/>
          <w:szCs w:val="24"/>
        </w:rPr>
        <w:t>Create step-by-step restore procedures for each failure scenario (accidental deletion, regional outage, corruption).</w:t>
      </w:r>
    </w:p>
    <w:p w14:paraId="13A23736" w14:textId="77777777" w:rsidR="00D22B56" w:rsidRPr="00684E95" w:rsidRDefault="001856FD">
      <w:pPr>
        <w:spacing w:after="100" w:line="290" w:lineRule="auto"/>
        <w:ind w:left="360"/>
        <w:rPr>
          <w:sz w:val="24"/>
          <w:szCs w:val="24"/>
        </w:rPr>
      </w:pPr>
      <w:r w:rsidRPr="00684E95">
        <w:rPr>
          <w:b/>
          <w:bCs/>
          <w:sz w:val="24"/>
          <w:szCs w:val="24"/>
        </w:rPr>
        <w:t xml:space="preserve">4. Test recovery regularly: </w:t>
      </w:r>
      <w:r w:rsidRPr="00684E95">
        <w:rPr>
          <w:sz w:val="24"/>
          <w:szCs w:val="24"/>
        </w:rPr>
        <w:t>Run periodic disaster-recovery drills restoring from backup to confirm the actual RTO/RPO achieved matches the targets — an untested backup is not a reliable one.</w:t>
      </w:r>
    </w:p>
    <w:p w14:paraId="512CBC80" w14:textId="77777777" w:rsidR="00D22B56" w:rsidRPr="00684E95" w:rsidRDefault="001856FD">
      <w:pPr>
        <w:spacing w:after="100" w:line="290" w:lineRule="auto"/>
        <w:ind w:left="360"/>
        <w:rPr>
          <w:sz w:val="24"/>
          <w:szCs w:val="24"/>
        </w:rPr>
      </w:pPr>
      <w:r w:rsidRPr="00684E95">
        <w:rPr>
          <w:b/>
          <w:bCs/>
          <w:sz w:val="24"/>
          <w:szCs w:val="24"/>
        </w:rPr>
        <w:t xml:space="preserve">5. Monitor backup health: </w:t>
      </w:r>
      <w:r w:rsidRPr="00684E95">
        <w:rPr>
          <w:sz w:val="24"/>
          <w:szCs w:val="24"/>
        </w:rPr>
        <w:t>Alert automatically if a scheduled backup fails or replication lags, so gaps are caught before they are needed.</w:t>
      </w:r>
    </w:p>
    <w:p w14:paraId="3C4868F2" w14:textId="77777777" w:rsidR="00D22B56" w:rsidRPr="00684E95" w:rsidRDefault="001856FD">
      <w:pPr>
        <w:spacing w:after="100" w:line="290" w:lineRule="auto"/>
        <w:ind w:left="360"/>
        <w:rPr>
          <w:sz w:val="24"/>
          <w:szCs w:val="24"/>
        </w:rPr>
      </w:pPr>
      <w:r w:rsidRPr="00684E95">
        <w:rPr>
          <w:b/>
          <w:bCs/>
          <w:sz w:val="24"/>
          <w:szCs w:val="24"/>
        </w:rPr>
        <w:t xml:space="preserve">6. Communicate during an incident: </w:t>
      </w:r>
      <w:r w:rsidRPr="00684E95">
        <w:rPr>
          <w:sz w:val="24"/>
          <w:szCs w:val="24"/>
        </w:rPr>
        <w:t>Maintain a status page and notification plan so students and instructors are informed promptly if a failure and recovery are in progress.</w:t>
      </w:r>
    </w:p>
    <w:p w14:paraId="40EEDBB7" w14:textId="77777777" w:rsidR="00D22B56" w:rsidRPr="00684E95" w:rsidRDefault="00D22B56">
      <w:pPr>
        <w:pageBreakBefore/>
        <w:rPr>
          <w:sz w:val="24"/>
          <w:szCs w:val="24"/>
        </w:rPr>
      </w:pPr>
    </w:p>
    <w:p w14:paraId="266FC01E" w14:textId="3D571DCB" w:rsidR="00D22B56" w:rsidRPr="00684E95" w:rsidRDefault="001856FD">
      <w:pPr>
        <w:pStyle w:val="Heading1"/>
        <w:pBdr>
          <w:bottom w:val="single" w:sz="8" w:space="4" w:color="1F4E79"/>
        </w:pBdr>
        <w:spacing w:before="320" w:after="160"/>
        <w:rPr>
          <w:color w:val="0D0D0D" w:themeColor="text1" w:themeTint="F2"/>
        </w:rPr>
      </w:pPr>
      <w:r w:rsidRPr="00684E95">
        <w:rPr>
          <w:color w:val="0D0D0D" w:themeColor="text1" w:themeTint="F2"/>
        </w:rPr>
        <w:t>4. Hybrid Cloud Architecture for a Government Agency</w:t>
      </w:r>
    </w:p>
    <w:p w14:paraId="282A0110" w14:textId="77777777" w:rsidR="00D22B56" w:rsidRPr="00684E95" w:rsidRDefault="001856FD">
      <w:pPr>
        <w:spacing w:after="140" w:line="300" w:lineRule="auto"/>
        <w:rPr>
          <w:sz w:val="24"/>
          <w:szCs w:val="24"/>
        </w:rPr>
      </w:pPr>
      <w:r w:rsidRPr="00684E95">
        <w:rPr>
          <w:sz w:val="24"/>
          <w:szCs w:val="24"/>
        </w:rPr>
        <w:t>A hybrid model keeps sensitive workloads on-premises to satisfy compliance mandates (data sovereignty, classification requirements) while moving non-sensitive, scalable workloads to the public cloud — the architecture's job is to make these two environments work together securely without either side becoming a weak link for the other.</w:t>
      </w:r>
    </w:p>
    <w:p w14:paraId="6E778532" w14:textId="77777777" w:rsidR="00D22B56" w:rsidRPr="00684E95" w:rsidRDefault="001856FD">
      <w:pPr>
        <w:pStyle w:val="Heading2"/>
        <w:spacing w:before="220" w:after="100"/>
      </w:pPr>
      <w:r w:rsidRPr="00684E95">
        <w:t>Hybrid Architecture Design</w:t>
      </w:r>
    </w:p>
    <w:p w14:paraId="7A3DCCD1"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Workload placement by sensitivity: </w:t>
      </w:r>
      <w:proofErr w:type="gramStart"/>
      <w:r w:rsidRPr="00684E95">
        <w:rPr>
          <w:sz w:val="24"/>
          <w:szCs w:val="24"/>
        </w:rPr>
        <w:t>Sensitive</w:t>
      </w:r>
      <w:proofErr w:type="gramEnd"/>
      <w:r w:rsidRPr="00684E95">
        <w:rPr>
          <w:sz w:val="24"/>
          <w:szCs w:val="24"/>
        </w:rPr>
        <w:t xml:space="preserve"> citizen data, classified systems, and regulated workloads remain on-premises or in a dedicated private/government cloud region, while public-facing, non-sensitive applications (e.g., a public information portal) run in the public cloud where elasticity and cost benefits apply.</w:t>
      </w:r>
    </w:p>
    <w:p w14:paraId="2FE75F4B"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Dedicated private connectivity: </w:t>
      </w:r>
      <w:r w:rsidRPr="00684E95">
        <w:rPr>
          <w:sz w:val="24"/>
          <w:szCs w:val="24"/>
        </w:rPr>
        <w:t xml:space="preserve">A private, dedicated network link (e.g., a direct connect / express route circuit) connects the on-premises </w:t>
      </w:r>
      <w:proofErr w:type="spellStart"/>
      <w:r w:rsidRPr="00684E95">
        <w:rPr>
          <w:sz w:val="24"/>
          <w:szCs w:val="24"/>
        </w:rPr>
        <w:t>datacenter</w:t>
      </w:r>
      <w:proofErr w:type="spellEnd"/>
      <w:r w:rsidRPr="00684E95">
        <w:rPr>
          <w:sz w:val="24"/>
          <w:szCs w:val="24"/>
        </w:rPr>
        <w:t xml:space="preserve"> to the cloud provider, avoiding exposure of sensitive traffic to the public internet.</w:t>
      </w:r>
    </w:p>
    <w:p w14:paraId="5A3F9357"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Site-to-site VPN with encryption as a backup/secondary path: </w:t>
      </w:r>
      <w:r w:rsidRPr="00684E95">
        <w:rPr>
          <w:sz w:val="24"/>
          <w:szCs w:val="24"/>
        </w:rPr>
        <w:t>An encrypted VPN tunnel provides a redundant, still-private communication path if the dedicated link is unavailable.</w:t>
      </w:r>
    </w:p>
    <w:p w14:paraId="54045B4D"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API gateway as the controlled boundary: </w:t>
      </w:r>
      <w:r w:rsidRPr="00684E95">
        <w:rPr>
          <w:sz w:val="24"/>
          <w:szCs w:val="24"/>
        </w:rPr>
        <w:t>All communication between environments passes through a governed API gateway that enforces authentication, rate limiting, and request validation, rather than allowing direct, unmediated network access between environments.</w:t>
      </w:r>
    </w:p>
    <w:p w14:paraId="462F8BFD"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Consistent network segmentation: </w:t>
      </w:r>
      <w:r w:rsidRPr="00684E95">
        <w:rPr>
          <w:sz w:val="24"/>
          <w:szCs w:val="24"/>
        </w:rPr>
        <w:t>Virtual private cloud subnets and on-premises network segments are designed with matching security zones (e.g., DMZ, restricted, internal) so policy enforcement is consistent on both sides of the hybrid boundary.</w:t>
      </w:r>
    </w:p>
    <w:p w14:paraId="291A3BC8" w14:textId="77777777" w:rsidR="00D22B56" w:rsidRPr="00684E95" w:rsidRDefault="001856FD">
      <w:pPr>
        <w:pStyle w:val="Heading2"/>
        <w:spacing w:before="220" w:after="100"/>
      </w:pPr>
      <w:r w:rsidRPr="00684E95">
        <w:t>Identity Management and Encryption</w:t>
      </w:r>
    </w:p>
    <w:p w14:paraId="6E743D72"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Federated identity: </w:t>
      </w:r>
      <w:r w:rsidRPr="00684E95">
        <w:rPr>
          <w:sz w:val="24"/>
          <w:szCs w:val="24"/>
        </w:rPr>
        <w:t>A single identity provider (integrated via SAML/OIDC) is federated across both the on-premises directory and the cloud environment, so users and services authenticate once with consistent, centrally managed credentials rather than maintaining separate identity stores.</w:t>
      </w:r>
    </w:p>
    <w:p w14:paraId="7C663DCA"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Role-based and attribute-based access control: </w:t>
      </w:r>
      <w:r w:rsidRPr="00684E95">
        <w:rPr>
          <w:sz w:val="24"/>
          <w:szCs w:val="24"/>
        </w:rPr>
        <w:t>Access to sensitive systems is granted based on role and security clearance attributes, enforced identically whether the request originates on-premises or from the cloud side.</w:t>
      </w:r>
    </w:p>
    <w:p w14:paraId="795D667D"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lastRenderedPageBreak/>
        <w:t xml:space="preserve">Multi-factor authentication: </w:t>
      </w:r>
      <w:r w:rsidRPr="00684E95">
        <w:rPr>
          <w:sz w:val="24"/>
          <w:szCs w:val="24"/>
        </w:rPr>
        <w:t>Required for all administrative and sensitive-data access, on both environments, to reduce the risk of credential-based compromise crossing the hybrid boundary.</w:t>
      </w:r>
    </w:p>
    <w:p w14:paraId="0F31D036"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Encryption in transit: </w:t>
      </w:r>
      <w:r w:rsidRPr="00684E95">
        <w:rPr>
          <w:sz w:val="24"/>
          <w:szCs w:val="24"/>
        </w:rPr>
        <w:t>All traffic crossing the hybrid boundary is encrypted (TLS for application traffic, IPsec for VPN tunnels), even over the dedicated private link, since "private" does not mean "needs no encryption."</w:t>
      </w:r>
    </w:p>
    <w:p w14:paraId="050D5268"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Encryption at rest with agency-controlled keys: </w:t>
      </w:r>
      <w:r w:rsidRPr="00684E95">
        <w:rPr>
          <w:sz w:val="24"/>
          <w:szCs w:val="24"/>
        </w:rPr>
        <w:t>Sensitive data stored in the cloud portion uses encryption with keys managed by the agency (not solely the cloud provider), maintaining control appropriate for government data classification requirements.</w:t>
      </w:r>
    </w:p>
    <w:p w14:paraId="6B1F0864" w14:textId="77777777" w:rsidR="00D22B56" w:rsidRPr="00684E95" w:rsidRDefault="001856FD">
      <w:pPr>
        <w:pStyle w:val="Heading2"/>
        <w:spacing w:before="220" w:after="100"/>
      </w:pPr>
      <w:r w:rsidRPr="00684E95">
        <w:t>Challenges in Managing Hybrid Cloud Environments</w:t>
      </w:r>
    </w:p>
    <w:p w14:paraId="2091CF67"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Consistent security policy enforcement: </w:t>
      </w:r>
      <w:r w:rsidRPr="00684E95">
        <w:rPr>
          <w:sz w:val="24"/>
          <w:szCs w:val="24"/>
        </w:rPr>
        <w:t>Keeping identical security controls, patching cadence, and monitoring coverage across two fundamentally different environments (on-premises hardware vs cloud services) is operationally difficult and easy to let drift.</w:t>
      </w:r>
    </w:p>
    <w:p w14:paraId="14CE6BA0"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Network complexity and latency: </w:t>
      </w:r>
      <w:r w:rsidRPr="00684E95">
        <w:rPr>
          <w:sz w:val="24"/>
          <w:szCs w:val="24"/>
        </w:rPr>
        <w:t>Hybrid connectivity introduces additional network hops and potential latency for workloads that need to call across the boundary frequently, requiring careful architectural placement of dependent services.</w:t>
      </w:r>
    </w:p>
    <w:p w14:paraId="4E039E5C"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Visibility and unified monitoring: </w:t>
      </w:r>
      <w:r w:rsidRPr="00684E95">
        <w:rPr>
          <w:sz w:val="24"/>
          <w:szCs w:val="24"/>
        </w:rPr>
        <w:t>Aggregating logs and metrics from on-premises systems and the cloud into one coherent monitoring view requires additional tooling and integration effort.</w:t>
      </w:r>
    </w:p>
    <w:p w14:paraId="7BDF02F7"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Skills and operational overhead: </w:t>
      </w:r>
      <w:r w:rsidRPr="00684E95">
        <w:rPr>
          <w:sz w:val="24"/>
          <w:szCs w:val="24"/>
        </w:rPr>
        <w:t>Staff need expertise in both traditional on-premises infrastructure and cloud-native operations, which can strain smaller government IT teams.</w:t>
      </w:r>
    </w:p>
    <w:p w14:paraId="3581ABE0"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Compliance mapping across environments: </w:t>
      </w:r>
      <w:r w:rsidRPr="00684E95">
        <w:rPr>
          <w:sz w:val="24"/>
          <w:szCs w:val="24"/>
        </w:rPr>
        <w:t>Demonstrating to auditors that the same compliance posture is maintained on both sides of the hybrid boundary requires careful documentation and consistent control mapping.</w:t>
      </w:r>
    </w:p>
    <w:p w14:paraId="4AAB8AD0" w14:textId="77777777" w:rsidR="00D22B56" w:rsidRPr="00684E95" w:rsidRDefault="00D22B56">
      <w:pPr>
        <w:pageBreakBefore/>
        <w:rPr>
          <w:sz w:val="24"/>
          <w:szCs w:val="24"/>
        </w:rPr>
      </w:pPr>
    </w:p>
    <w:p w14:paraId="31F9309E" w14:textId="373AD59B" w:rsidR="00D22B56" w:rsidRPr="00684E95" w:rsidRDefault="001856FD">
      <w:pPr>
        <w:pStyle w:val="Heading1"/>
        <w:pBdr>
          <w:bottom w:val="single" w:sz="8" w:space="4" w:color="1F4E79"/>
        </w:pBdr>
        <w:spacing w:before="320" w:after="160"/>
        <w:rPr>
          <w:color w:val="0D0D0D" w:themeColor="text1" w:themeTint="F2"/>
        </w:rPr>
      </w:pPr>
      <w:r w:rsidRPr="00684E95">
        <w:rPr>
          <w:color w:val="0D0D0D" w:themeColor="text1" w:themeTint="F2"/>
        </w:rPr>
        <w:t>5. Multi-Region High Availability for a SaaS Application</w:t>
      </w:r>
    </w:p>
    <w:p w14:paraId="3FCAFC2F" w14:textId="77777777" w:rsidR="00D22B56" w:rsidRPr="00684E95" w:rsidRDefault="001856FD">
      <w:pPr>
        <w:spacing w:after="140" w:line="300" w:lineRule="auto"/>
        <w:rPr>
          <w:sz w:val="24"/>
          <w:szCs w:val="24"/>
        </w:rPr>
      </w:pPr>
      <w:r w:rsidRPr="00684E95">
        <w:rPr>
          <w:sz w:val="24"/>
          <w:szCs w:val="24"/>
        </w:rPr>
        <w:t>To keep a SaaS application running even if an entire cloud region fails, the architecture must treat single-region operation as a temporary state, not a design assumption — every critical component needs a healthy counterpart in at least one other region, along with an automated way to redirect users to it.</w:t>
      </w:r>
    </w:p>
    <w:p w14:paraId="6939684B" w14:textId="77777777" w:rsidR="00D22B56" w:rsidRPr="00684E95" w:rsidRDefault="001856FD">
      <w:pPr>
        <w:pStyle w:val="Heading2"/>
        <w:spacing w:before="220" w:after="100"/>
      </w:pPr>
      <w:r w:rsidRPr="00684E95">
        <w:t>Multi-Region Deployment Strategy</w:t>
      </w:r>
    </w:p>
    <w:p w14:paraId="5A63018D"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Active-active or active-passive regions: </w:t>
      </w:r>
      <w:r w:rsidRPr="00684E95">
        <w:rPr>
          <w:sz w:val="24"/>
          <w:szCs w:val="24"/>
        </w:rPr>
        <w:t>In active-active, two or more regions simultaneously serve live traffic and share load; in active-passive, a standby region stays warm/ready to take over if the primary fails. Active-active gives better resource utilization and faster failover; active-passive is simpler to reason about and often cheaper.</w:t>
      </w:r>
    </w:p>
    <w:p w14:paraId="233F652D"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Stateless application tier: </w:t>
      </w:r>
      <w:r w:rsidRPr="00684E95">
        <w:rPr>
          <w:sz w:val="24"/>
          <w:szCs w:val="24"/>
        </w:rPr>
        <w:t>Application servers are deployed identically in each region and kept stateless (session data externalized to a shared/replicated store), so any region's instances can handle any user's request.</w:t>
      </w:r>
    </w:p>
    <w:p w14:paraId="521938DA"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Global traffic routing: </w:t>
      </w:r>
      <w:r w:rsidRPr="00684E95">
        <w:rPr>
          <w:sz w:val="24"/>
          <w:szCs w:val="24"/>
        </w:rPr>
        <w:t>A global load balancer or geo-DNS routes users to the nearest healthy region under normal conditions and automatically redirects traffic away from a failed region during an incident.</w:t>
      </w:r>
    </w:p>
    <w:p w14:paraId="2CA6E44E"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Independent regional auto-scaling: </w:t>
      </w:r>
      <w:r w:rsidRPr="00684E95">
        <w:rPr>
          <w:sz w:val="24"/>
          <w:szCs w:val="24"/>
        </w:rPr>
        <w:t>Each region scales its own compute independently based on the traffic it currently receives, including any extra load shifted to it during another region's failover.</w:t>
      </w:r>
    </w:p>
    <w:p w14:paraId="19914766" w14:textId="77777777" w:rsidR="00D22B56" w:rsidRPr="00684E95" w:rsidRDefault="001856FD">
      <w:pPr>
        <w:pStyle w:val="Heading2"/>
        <w:spacing w:before="220" w:after="100"/>
      </w:pPr>
      <w:r w:rsidRPr="00684E95">
        <w:t>Data Replication and Failover Configuration</w:t>
      </w:r>
    </w:p>
    <w:p w14:paraId="756CDD55"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Multi-region database replication: </w:t>
      </w:r>
      <w:r w:rsidRPr="00684E95">
        <w:rPr>
          <w:sz w:val="24"/>
          <w:szCs w:val="24"/>
        </w:rPr>
        <w:t>The primary database replicates continuously (synchronously for the strongest consistency where latency allows, or asynchronously across distant regions) to standby databases in other regions.</w:t>
      </w:r>
    </w:p>
    <w:p w14:paraId="6C73F871"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Automated failover with health checks: </w:t>
      </w:r>
      <w:r w:rsidRPr="00684E95">
        <w:rPr>
          <w:sz w:val="24"/>
          <w:szCs w:val="24"/>
        </w:rPr>
        <w:t>Continuous health checks on the primary database/region trigger automatic promotion of a replica to primary if the original region becomes unreachable, minimizing manual intervention time.</w:t>
      </w:r>
    </w:p>
    <w:p w14:paraId="380EFCEA"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Conflict resolution for active-active writes: </w:t>
      </w:r>
      <w:r w:rsidRPr="00684E95">
        <w:rPr>
          <w:sz w:val="24"/>
          <w:szCs w:val="24"/>
        </w:rPr>
        <w:t>If more than one region can accept writes simultaneously, a conflict-resolution strategy (e.g., last-write-wins, region-based data partitioning) is defined in advance to prevent silent data corruption.</w:t>
      </w:r>
    </w:p>
    <w:p w14:paraId="32096C35"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lastRenderedPageBreak/>
        <w:t xml:space="preserve">Regular failover testing: </w:t>
      </w:r>
      <w:r w:rsidRPr="00684E95">
        <w:rPr>
          <w:sz w:val="24"/>
          <w:szCs w:val="24"/>
        </w:rPr>
        <w:t>Failover is tested on a scheduled basis (e.g., quarterly game-day exercises) rather than assumed to work, since an untested failover path frequently fails when it is actually needed.</w:t>
      </w:r>
    </w:p>
    <w:p w14:paraId="2E8906DF" w14:textId="77777777" w:rsidR="00D22B56" w:rsidRPr="00684E95" w:rsidRDefault="001856FD">
      <w:pPr>
        <w:pStyle w:val="Heading2"/>
        <w:spacing w:before="220" w:after="100"/>
      </w:pPr>
      <w:r w:rsidRPr="00684E95">
        <w:t>Monitoring and Alerting Strategies</w:t>
      </w:r>
    </w:p>
    <w:p w14:paraId="59D955C7"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Cross-region health dashboards: </w:t>
      </w:r>
      <w:r w:rsidRPr="00684E95">
        <w:rPr>
          <w:sz w:val="24"/>
          <w:szCs w:val="24"/>
        </w:rPr>
        <w:t>Unified monitoring aggregates the health, latency, and error rates of every region into one view so operators can immediately see when one region is degrading relative to others.</w:t>
      </w:r>
    </w:p>
    <w:p w14:paraId="01BC990D"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Synthetic transaction monitoring: </w:t>
      </w:r>
      <w:r w:rsidRPr="00684E95">
        <w:rPr>
          <w:sz w:val="24"/>
          <w:szCs w:val="24"/>
        </w:rPr>
        <w:t>Automated probes continuously simulate real user actions (login, key API calls) from multiple locations to detect regional problems before real users report them.</w:t>
      </w:r>
    </w:p>
    <w:p w14:paraId="3B482E76"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Threshold- and anomaly-based alerting: </w:t>
      </w:r>
      <w:r w:rsidRPr="00684E95">
        <w:rPr>
          <w:sz w:val="24"/>
          <w:szCs w:val="24"/>
        </w:rPr>
        <w:t>Alerts fire on both fixed thresholds (e.g., error rate &gt; 2%) and anomaly detection (unusual deviation from normal patterns), catching both obvious failures and subtler degradations.</w:t>
      </w:r>
    </w:p>
    <w:p w14:paraId="5B2B3B30"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Automated incident response integration: </w:t>
      </w:r>
      <w:r w:rsidRPr="00684E95">
        <w:rPr>
          <w:sz w:val="24"/>
          <w:szCs w:val="24"/>
        </w:rPr>
        <w:t>Alerts feed directly into on-call/incident-management tooling, and where safe, trigger automated remediation (e.g., initiating regional failover) rather than waiting solely on human response.</w:t>
      </w:r>
    </w:p>
    <w:p w14:paraId="248A7482" w14:textId="77777777" w:rsidR="00D22B56" w:rsidRPr="00684E95" w:rsidRDefault="001856FD">
      <w:pPr>
        <w:pStyle w:val="ListParagraph"/>
        <w:numPr>
          <w:ilvl w:val="0"/>
          <w:numId w:val="2"/>
        </w:numPr>
        <w:spacing w:after="80" w:line="290" w:lineRule="auto"/>
        <w:rPr>
          <w:sz w:val="24"/>
          <w:szCs w:val="24"/>
        </w:rPr>
      </w:pPr>
      <w:r w:rsidRPr="00684E95">
        <w:rPr>
          <w:b/>
          <w:bCs/>
          <w:sz w:val="24"/>
          <w:szCs w:val="24"/>
        </w:rPr>
        <w:t xml:space="preserve">Post-incident review: </w:t>
      </w:r>
      <w:r w:rsidRPr="00684E95">
        <w:rPr>
          <w:sz w:val="24"/>
          <w:szCs w:val="24"/>
        </w:rPr>
        <w:t>Every regional failover or major alert is followed by a review to refine thresholds, runbooks, and architecture, continuously improving the system's resilience over time.</w:t>
      </w:r>
    </w:p>
    <w:sectPr w:rsidR="00D22B56" w:rsidRPr="00684E9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129B8"/>
    <w:multiLevelType w:val="hybridMultilevel"/>
    <w:tmpl w:val="5EDC9B62"/>
    <w:lvl w:ilvl="0" w:tplc="A6C2D466">
      <w:start w:val="1"/>
      <w:numFmt w:val="bullet"/>
      <w:lvlText w:val="●"/>
      <w:lvlJc w:val="left"/>
      <w:pPr>
        <w:ind w:left="720" w:hanging="360"/>
      </w:pPr>
    </w:lvl>
    <w:lvl w:ilvl="1" w:tplc="D30C30D6">
      <w:start w:val="1"/>
      <w:numFmt w:val="bullet"/>
      <w:lvlText w:val="○"/>
      <w:lvlJc w:val="left"/>
      <w:pPr>
        <w:ind w:left="1440" w:hanging="360"/>
      </w:pPr>
    </w:lvl>
    <w:lvl w:ilvl="2" w:tplc="FDFC54CE">
      <w:start w:val="1"/>
      <w:numFmt w:val="bullet"/>
      <w:lvlText w:val="■"/>
      <w:lvlJc w:val="left"/>
      <w:pPr>
        <w:ind w:left="2160" w:hanging="360"/>
      </w:pPr>
    </w:lvl>
    <w:lvl w:ilvl="3" w:tplc="F3C0BBCC">
      <w:start w:val="1"/>
      <w:numFmt w:val="bullet"/>
      <w:lvlText w:val="●"/>
      <w:lvlJc w:val="left"/>
      <w:pPr>
        <w:ind w:left="2880" w:hanging="360"/>
      </w:pPr>
    </w:lvl>
    <w:lvl w:ilvl="4" w:tplc="37844352">
      <w:start w:val="1"/>
      <w:numFmt w:val="bullet"/>
      <w:lvlText w:val="○"/>
      <w:lvlJc w:val="left"/>
      <w:pPr>
        <w:ind w:left="3600" w:hanging="360"/>
      </w:pPr>
    </w:lvl>
    <w:lvl w:ilvl="5" w:tplc="F730A4F0">
      <w:start w:val="1"/>
      <w:numFmt w:val="bullet"/>
      <w:lvlText w:val="■"/>
      <w:lvlJc w:val="left"/>
      <w:pPr>
        <w:ind w:left="4320" w:hanging="360"/>
      </w:pPr>
    </w:lvl>
    <w:lvl w:ilvl="6" w:tplc="F4482ABA">
      <w:start w:val="1"/>
      <w:numFmt w:val="bullet"/>
      <w:lvlText w:val="●"/>
      <w:lvlJc w:val="left"/>
      <w:pPr>
        <w:ind w:left="5040" w:hanging="360"/>
      </w:pPr>
    </w:lvl>
    <w:lvl w:ilvl="7" w:tplc="A5A6397E">
      <w:start w:val="1"/>
      <w:numFmt w:val="bullet"/>
      <w:lvlText w:val="●"/>
      <w:lvlJc w:val="left"/>
      <w:pPr>
        <w:ind w:left="5760" w:hanging="360"/>
      </w:pPr>
    </w:lvl>
    <w:lvl w:ilvl="8" w:tplc="0C4E8BB2">
      <w:start w:val="1"/>
      <w:numFmt w:val="bullet"/>
      <w:lvlText w:val="●"/>
      <w:lvlJc w:val="left"/>
      <w:pPr>
        <w:ind w:left="6480" w:hanging="360"/>
      </w:pPr>
    </w:lvl>
  </w:abstractNum>
  <w:abstractNum w:abstractNumId="1" w15:restartNumberingAfterBreak="0">
    <w:nsid w:val="14E668A3"/>
    <w:multiLevelType w:val="hybridMultilevel"/>
    <w:tmpl w:val="E45AE80C"/>
    <w:lvl w:ilvl="0" w:tplc="C21E70BE">
      <w:start w:val="1"/>
      <w:numFmt w:val="bullet"/>
      <w:lvlText w:val="•"/>
      <w:lvlJc w:val="left"/>
      <w:pPr>
        <w:ind w:left="720" w:hanging="360"/>
      </w:pPr>
    </w:lvl>
    <w:lvl w:ilvl="1" w:tplc="9BB88AF2">
      <w:numFmt w:val="decimal"/>
      <w:lvlText w:val=""/>
      <w:lvlJc w:val="left"/>
    </w:lvl>
    <w:lvl w:ilvl="2" w:tplc="02224E9E">
      <w:numFmt w:val="decimal"/>
      <w:lvlText w:val=""/>
      <w:lvlJc w:val="left"/>
    </w:lvl>
    <w:lvl w:ilvl="3" w:tplc="5A141E4C">
      <w:numFmt w:val="decimal"/>
      <w:lvlText w:val=""/>
      <w:lvlJc w:val="left"/>
    </w:lvl>
    <w:lvl w:ilvl="4" w:tplc="B150D382">
      <w:numFmt w:val="decimal"/>
      <w:lvlText w:val=""/>
      <w:lvlJc w:val="left"/>
    </w:lvl>
    <w:lvl w:ilvl="5" w:tplc="981632C6">
      <w:numFmt w:val="decimal"/>
      <w:lvlText w:val=""/>
      <w:lvlJc w:val="left"/>
    </w:lvl>
    <w:lvl w:ilvl="6" w:tplc="6630DFCA">
      <w:numFmt w:val="decimal"/>
      <w:lvlText w:val=""/>
      <w:lvlJc w:val="left"/>
    </w:lvl>
    <w:lvl w:ilvl="7" w:tplc="D3C49524">
      <w:numFmt w:val="decimal"/>
      <w:lvlText w:val=""/>
      <w:lvlJc w:val="left"/>
    </w:lvl>
    <w:lvl w:ilvl="8" w:tplc="1E004BA2">
      <w:numFmt w:val="decimal"/>
      <w:lvlText w:val=""/>
      <w:lvlJc w:val="left"/>
    </w:lvl>
  </w:abstractNum>
  <w:num w:numId="1" w16cid:durableId="1580141836">
    <w:abstractNumId w:val="0"/>
    <w:lvlOverride w:ilvl="0">
      <w:startOverride w:val="1"/>
    </w:lvlOverride>
  </w:num>
  <w:num w:numId="2" w16cid:durableId="166593447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B56"/>
    <w:rsid w:val="00684E95"/>
    <w:rsid w:val="00B97E96"/>
    <w:rsid w:val="00D22B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3EC40"/>
  <w15:docId w15:val="{16E2C367-453E-48A1-896A-ADF4F0EF0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F4E79"/>
      <w:sz w:val="30"/>
      <w:szCs w:val="30"/>
    </w:rPr>
  </w:style>
  <w:style w:type="paragraph" w:styleId="Heading2">
    <w:name w:val="heading 2"/>
    <w:uiPriority w:val="9"/>
    <w:unhideWhenUsed/>
    <w:qFormat/>
    <w:pPr>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10</Pages>
  <Words>2794</Words>
  <Characters>15927</Characters>
  <Application>Microsoft Office Word</Application>
  <DocSecurity>0</DocSecurity>
  <Lines>132</Lines>
  <Paragraphs>37</Paragraphs>
  <ScaleCrop>false</ScaleCrop>
  <Company/>
  <LinksUpToDate>false</LinksUpToDate>
  <CharactersWithSpaces>18684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challagali praveen</cp:lastModifiedBy>
  <cp:revision>2</cp:revision>
  <dcterms:created xsi:type="dcterms:W3CDTF">2026-08-05T05:57:00Z</dcterms:created>
  <dcterms:modified xsi:type="dcterms:W3CDTF">2026-08-05T05:57:00Z</dcterms:modified>
</cp:coreProperties>
</file>