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64065">
      <w:pPr>
        <w:jc w:val="center"/>
        <w:rPr>
          <w:b/>
          <w:bCs/>
          <w:sz w:val="34"/>
          <w:szCs w:val="34"/>
        </w:rPr>
      </w:pPr>
      <w:r>
        <w:rPr>
          <w:b/>
          <w:bCs/>
          <w:sz w:val="34"/>
          <w:szCs w:val="34"/>
        </w:rPr>
        <w:t xml:space="preserve"> SIMATS ENGINEERING</w:t>
      </w:r>
    </w:p>
    <w:p w14:paraId="64966F56">
      <w:pPr>
        <w:jc w:val="center"/>
        <w:rPr>
          <w:b/>
          <w:bCs/>
          <w:sz w:val="28"/>
          <w:szCs w:val="28"/>
        </w:rPr>
      </w:pPr>
      <w:r>
        <w:rPr>
          <w:b/>
          <w:bCs/>
          <w:sz w:val="28"/>
          <w:szCs w:val="28"/>
        </w:rPr>
        <w:t>ASSESSMENT TOOL 1</w:t>
      </w:r>
    </w:p>
    <w:p w14:paraId="4DF13305">
      <w:pPr>
        <w:jc w:val="center"/>
        <w:rPr>
          <w:b/>
          <w:bCs/>
          <w:sz w:val="34"/>
          <w:szCs w:val="34"/>
        </w:rPr>
      </w:pPr>
    </w:p>
    <w:p w14:paraId="70E017D3">
      <w:pPr>
        <w:jc w:val="center"/>
        <w:rPr>
          <w:b/>
          <w:bCs/>
          <w:sz w:val="34"/>
          <w:szCs w:val="34"/>
        </w:rPr>
      </w:pPr>
    </w:p>
    <w:p w14:paraId="42F4DF5E">
      <w:pPr>
        <w:rPr>
          <w:rFonts w:ascii="Arial" w:hAnsi="Arial" w:eastAsia="Arial" w:cs="Arial"/>
          <w:b/>
          <w:bCs/>
        </w:rPr>
      </w:pPr>
      <w:r>
        <w:rPr>
          <w:rFonts w:ascii="Arial" w:hAnsi="Arial" w:eastAsia="Arial" w:cs="Arial"/>
          <w:b/>
          <w:bCs/>
        </w:rPr>
        <w:t>COURSE CODE:</w:t>
      </w:r>
      <w:r>
        <w:rPr>
          <w:rFonts w:ascii="Arial" w:hAnsi="Arial" w:eastAsia="Arial" w:cs="Arial"/>
        </w:rPr>
        <w:t xml:space="preserve">  CSA0713                    </w:t>
      </w:r>
      <w:r>
        <w:rPr>
          <w:rFonts w:ascii="Arial" w:hAnsi="Arial" w:eastAsia="Arial" w:cs="Arial"/>
          <w:b/>
          <w:bCs/>
        </w:rPr>
        <w:t>COURSE NAME: COMPUTER NETWORKS</w:t>
      </w:r>
    </w:p>
    <w:p w14:paraId="634C03D0">
      <w:pPr>
        <w:rPr>
          <w:rFonts w:ascii="Arial" w:hAnsi="Arial" w:eastAsia="Arial" w:cs="Arial"/>
          <w:b/>
          <w:bCs/>
        </w:rPr>
      </w:pPr>
    </w:p>
    <w:p w14:paraId="18830731">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0144008F">
      <w:pPr>
        <w:rPr>
          <w:rFonts w:ascii="Arial" w:hAnsi="Arial" w:eastAsia="Arial" w:cs="Arial"/>
          <w:b/>
          <w:bCs/>
        </w:rPr>
      </w:pPr>
    </w:p>
    <w:p w14:paraId="2148EDB0">
      <w:pPr>
        <w:rPr>
          <w:rFonts w:ascii="Arial" w:hAnsi="Arial" w:eastAsia="Arial" w:cs="Arial"/>
          <w:b/>
          <w:bCs/>
        </w:rPr>
      </w:pPr>
    </w:p>
    <w:p w14:paraId="67197062">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11F08D8"/>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11F08D8"/>
                  </w:txbxContent>
                </v:textbox>
                <w10:wrap type="none"/>
                <w10:anchorlock/>
              </v:rect>
            </w:pict>
          </mc:Fallback>
        </mc:AlternateContent>
      </w:r>
    </w:p>
    <w:p w14:paraId="7B6E74DD">
      <w:pPr>
        <w:rPr>
          <w:rFonts w:ascii="Arial" w:hAnsi="Arial" w:eastAsia="Arial" w:cs="Arial"/>
          <w:b/>
          <w:bCs/>
        </w:rPr>
      </w:pPr>
    </w:p>
    <w:p w14:paraId="2FFA91C3">
      <w:pPr>
        <w:rPr>
          <w:rFonts w:ascii="Arial" w:hAnsi="Arial" w:eastAsia="Arial" w:cs="Arial"/>
          <w:b/>
          <w:bCs/>
        </w:rPr>
      </w:pPr>
      <w:r>
        <w:rPr>
          <w:rFonts w:ascii="Arial" w:hAnsi="Arial" w:eastAsia="Arial" w:cs="Arial"/>
          <w:b/>
          <w:bCs/>
        </w:rPr>
        <w:t>COURSE OUTCOME COVERED</w:t>
      </w:r>
    </w:p>
    <w:p w14:paraId="142306A2">
      <w:pPr>
        <w:rPr>
          <w:rFonts w:ascii="Arial" w:hAnsi="Arial" w:eastAsia="Arial" w:cs="Arial"/>
          <w:b/>
          <w:bCs/>
        </w:rPr>
      </w:pPr>
    </w:p>
    <w:p w14:paraId="1B422412">
      <w:pPr>
        <w:jc w:val="both"/>
        <w:rPr>
          <w:rFonts w:ascii="Arial" w:hAnsi="Arial" w:eastAsia="Arial" w:cs="Arial"/>
          <w:i/>
          <w:iCs/>
          <w:color w:val="000000"/>
          <w:sz w:val="20"/>
          <w:szCs w:val="20"/>
        </w:rPr>
      </w:pPr>
      <w:r>
        <w:rPr>
          <w:rFonts w:ascii="Arial" w:hAnsi="Arial" w:eastAsia="Arial" w:cs="Arial"/>
          <w:b/>
          <w:bCs/>
          <w:i/>
          <w:iCs/>
        </w:rPr>
        <w:t xml:space="preserve">CO2: </w:t>
      </w:r>
      <w:r>
        <w:rPr>
          <w:sz w:val="28"/>
          <w:szCs w:val="28"/>
        </w:rPr>
        <w:t>Configure IP addressing schemes, subnetting, and basic routing techniques using simulation tool, for efficient network design and topology</w:t>
      </w:r>
      <w:r>
        <w:rPr>
          <w:rFonts w:ascii="Arial" w:hAnsi="Arial" w:eastAsia="Arial" w:cs="Arial"/>
          <w:i/>
          <w:iCs/>
          <w:color w:val="000000"/>
        </w:rPr>
        <w:t>.</w:t>
      </w:r>
      <w:r>
        <w:rPr>
          <w:rFonts w:ascii="Arial" w:hAnsi="Arial" w:eastAsia="Arial" w:cs="Arial"/>
          <w:i/>
          <w:iCs/>
          <w:color w:val="000000"/>
          <w:sz w:val="20"/>
          <w:szCs w:val="20"/>
        </w:rPr>
        <w:t xml:space="preserve"> (BL3)</w:t>
      </w:r>
    </w:p>
    <w:p w14:paraId="04B5564A">
      <w:pPr>
        <w:rPr>
          <w:rFonts w:ascii="Arial" w:hAnsi="Arial" w:eastAsia="Arial" w:cs="Arial"/>
          <w:i/>
          <w:iCs/>
        </w:rPr>
      </w:pPr>
    </w:p>
    <w:p w14:paraId="04733717">
      <w:pPr>
        <w:rPr>
          <w:rFonts w:ascii="Arial" w:hAnsi="Arial" w:eastAsia="Arial" w:cs="Arial"/>
          <w:i/>
          <w:iCs/>
        </w:rPr>
      </w:pPr>
      <w:r>
        <w:rPr>
          <w:rFonts w:ascii="Arial" w:hAnsi="Arial" w:eastAsia="Arial" w:cs="Arial"/>
          <w:i/>
          <w:iCs/>
        </w:rPr>
        <w:t>Assessment Tool Weightage: 40%</w:t>
      </w:r>
    </w:p>
    <w:p w14:paraId="26B6DA60">
      <w:pPr>
        <w:rPr>
          <w:rFonts w:ascii="Arial" w:hAnsi="Arial" w:eastAsia="Arial" w:cs="Arial"/>
          <w:i/>
          <w:iCs/>
        </w:rPr>
      </w:pPr>
    </w:p>
    <w:p w14:paraId="3218C522">
      <w:pPr>
        <w:rPr>
          <w:rFonts w:ascii="Arial" w:hAnsi="Arial" w:eastAsia="Arial" w:cs="Arial"/>
        </w:rPr>
      </w:pPr>
      <w:r>
        <w:rPr>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5F60E33"/>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5F60E33"/>
                  </w:txbxContent>
                </v:textbox>
                <w10:wrap type="none"/>
                <w10:anchorlock/>
              </v:rect>
            </w:pict>
          </mc:Fallback>
        </mc:AlternateContent>
      </w:r>
    </w:p>
    <w:p w14:paraId="06325430">
      <w:pPr>
        <w:rPr>
          <w:rFonts w:ascii="Arial" w:hAnsi="Arial" w:eastAsia="Arial" w:cs="Arial"/>
        </w:rPr>
      </w:pPr>
    </w:p>
    <w:p w14:paraId="7C308744">
      <w:pPr>
        <w:ind w:left="2880" w:firstLine="720"/>
        <w:rPr>
          <w:rFonts w:ascii="Arial" w:hAnsi="Arial" w:eastAsia="Arial" w:cs="Arial"/>
        </w:rPr>
      </w:pPr>
      <w:r>
        <w:rPr>
          <w:rFonts w:ascii="Arial" w:hAnsi="Arial" w:eastAsia="Arial" w:cs="Arial"/>
        </w:rPr>
        <w:t>Annexure A</w:t>
      </w:r>
    </w:p>
    <w:p w14:paraId="52CFFCE2">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5E0DBEEE">
      <w:pPr>
        <w:jc w:val="center"/>
        <w:rPr>
          <w:b/>
          <w:bCs/>
          <w:sz w:val="34"/>
          <w:szCs w:val="34"/>
        </w:rPr>
      </w:pPr>
      <w:r>
        <w:rPr>
          <w:b/>
          <w:bCs/>
          <w:sz w:val="28"/>
          <w:szCs w:val="28"/>
        </w:rPr>
        <w:t>ANALYTICAL PROBLEM SOLVING</w:t>
      </w:r>
    </w:p>
    <w:p w14:paraId="1432A967">
      <w:pPr>
        <w:rPr>
          <w:b/>
          <w:bCs/>
        </w:rPr>
      </w:pPr>
    </w:p>
    <w:p w14:paraId="158528AD">
      <w:pPr>
        <w:rPr>
          <w:b/>
          <w:bCs/>
        </w:rPr>
      </w:pPr>
      <w:r>
        <w:rPr>
          <w:sz w:val="22"/>
          <w:szCs w:val="22"/>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3C1E149"/>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3C1E149"/>
                  </w:txbxContent>
                </v:textbox>
                <w10:wrap type="none"/>
                <w10:anchorlock/>
              </v:rect>
            </w:pict>
          </mc:Fallback>
        </mc:AlternateContent>
      </w:r>
    </w:p>
    <w:p w14:paraId="02CF711B">
      <w:pPr>
        <w:rPr>
          <w:b/>
          <w:bCs/>
        </w:rPr>
      </w:pPr>
    </w:p>
    <w:p w14:paraId="19062BFB">
      <w:pPr>
        <w:rPr>
          <w:b/>
          <w:bCs/>
          <w:i/>
          <w:iCs/>
        </w:rPr>
      </w:pPr>
      <w:r>
        <w:rPr>
          <w:b/>
          <w:bCs/>
          <w:i/>
          <w:iCs/>
        </w:rPr>
        <w:t>Code of Conduct:</w:t>
      </w:r>
    </w:p>
    <w:p w14:paraId="4DE5310B">
      <w:pPr>
        <w:rPr>
          <w:i/>
          <w:iCs/>
        </w:rPr>
      </w:pPr>
    </w:p>
    <w:p w14:paraId="247F52A1">
      <w:pPr>
        <w:jc w:val="both"/>
        <w:rPr>
          <w:i/>
          <w:iCs/>
        </w:rPr>
      </w:pPr>
      <w:r>
        <w:rPr>
          <w:i/>
          <w:iCs/>
        </w:rPr>
        <w:t xml:space="preserve">I </w:t>
      </w:r>
      <w:r>
        <w:rPr>
          <w:rFonts w:hint="default"/>
          <w:i/>
          <w:iCs/>
          <w:lang w:val="en-IN"/>
        </w:rPr>
        <w:t>SHIVESH.P(192565044)</w:t>
      </w:r>
      <w:r>
        <w:rPr>
          <w:i/>
          <w:iCs/>
        </w:rPr>
        <w:t xml:space="preserve"> certify that this submission is my original work and that I have adhered to the guidelines specified for this assessment.</w:t>
      </w:r>
    </w:p>
    <w:p w14:paraId="6F631DD7">
      <w:pPr>
        <w:jc w:val="both"/>
        <w:rPr>
          <w:i/>
          <w:iCs/>
        </w:rPr>
      </w:pPr>
      <w:r>
        <w:rPr>
          <w:i/>
          <w:iCs/>
        </w:rPr>
        <w:t>I understand that any violation of academic integrity rules will result in disciplinary action.</w:t>
      </w:r>
    </w:p>
    <w:p w14:paraId="13629056">
      <w:pPr>
        <w:rPr>
          <w:i/>
          <w:iCs/>
        </w:rPr>
      </w:pPr>
    </w:p>
    <w:p w14:paraId="6817A909">
      <w:pPr>
        <w:rPr>
          <w:b/>
          <w:bCs/>
          <w:i/>
          <w:iCs/>
        </w:rPr>
      </w:pPr>
      <w:r>
        <w:rPr>
          <w:b/>
          <w:bCs/>
          <w:i/>
          <w:iCs/>
        </w:rPr>
        <w:t>Signature of the student:</w:t>
      </w:r>
    </w:p>
    <w:p w14:paraId="7E23C957"/>
    <w:p w14:paraId="59797696">
      <w:pPr>
        <w:rPr>
          <w:i/>
          <w:iCs/>
        </w:rPr>
      </w:pPr>
    </w:p>
    <w:p w14:paraId="73C072FF">
      <w:pPr>
        <w:rPr>
          <w:rFonts w:hint="default"/>
          <w:i/>
          <w:iCs/>
          <w:lang w:val="en-IN"/>
        </w:rPr>
      </w:pPr>
      <w:r>
        <w:rPr>
          <w:rFonts w:hint="default" w:ascii="Arial" w:hAnsi="Arial" w:eastAsia="Arial" w:cs="Arial"/>
          <w:lang w:val="en-IN"/>
        </w:rPr>
        <w:drawing>
          <wp:inline distT="0" distB="0" distL="114300" distR="114300">
            <wp:extent cx="1416685" cy="1889760"/>
            <wp:effectExtent l="0" t="0" r="635" b="0"/>
            <wp:docPr id="4" name="Picture 4" descr="WhatsApp Image 2026-07-25 at 10.07.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7-25 at 10.07.49 AM"/>
                    <pic:cNvPicPr>
                      <a:picLocks noChangeAspect="1"/>
                    </pic:cNvPicPr>
                  </pic:nvPicPr>
                  <pic:blipFill>
                    <a:blip r:embed="rId4"/>
                    <a:stretch>
                      <a:fillRect/>
                    </a:stretch>
                  </pic:blipFill>
                  <pic:spPr>
                    <a:xfrm>
                      <a:off x="0" y="0"/>
                      <a:ext cx="1416685" cy="1889760"/>
                    </a:xfrm>
                    <a:prstGeom prst="rect">
                      <a:avLst/>
                    </a:prstGeom>
                  </pic:spPr>
                </pic:pic>
              </a:graphicData>
            </a:graphic>
          </wp:inline>
        </w:drawing>
      </w:r>
      <w:bookmarkStart w:id="0" w:name="_GoBack"/>
      <w:bookmarkEnd w:id="0"/>
    </w:p>
    <w:p w14:paraId="7CC63384">
      <w:pPr>
        <w:rPr>
          <w:i/>
          <w:iCs/>
        </w:rPr>
      </w:pPr>
    </w:p>
    <w:p w14:paraId="4803EDDF">
      <w:pPr>
        <w:rPr>
          <w:i/>
          <w:iCs/>
        </w:rPr>
      </w:pPr>
    </w:p>
    <w:p w14:paraId="3FFAEEA6">
      <w:pPr>
        <w:rPr>
          <w:i/>
          <w:iCs/>
        </w:rPr>
      </w:pPr>
    </w:p>
    <w:p w14:paraId="2DB58B88">
      <w:pPr>
        <w:rPr>
          <w:i/>
          <w:iCs/>
        </w:rPr>
      </w:pPr>
    </w:p>
    <w:p w14:paraId="1F191C05">
      <w:pPr>
        <w:jc w:val="both"/>
        <w:rPr>
          <w:rFonts w:hint="default" w:ascii="Arial" w:hAnsi="Arial" w:eastAsia="Arial" w:cs="Arial"/>
          <w:lang w:val="en-IN"/>
        </w:rPr>
        <w:sectPr>
          <w:pgSz w:w="11909" w:h="16834"/>
          <w:pgMar w:top="1440" w:right="1397" w:bottom="1440" w:left="1440" w:header="720" w:footer="720" w:gutter="0"/>
          <w:pgNumType w:start="1"/>
          <w:cols w:space="720" w:num="1"/>
        </w:sectPr>
      </w:pPr>
    </w:p>
    <w:p w14:paraId="5B041CC4">
      <w:pPr>
        <w:ind w:left="3600"/>
        <w:jc w:val="both"/>
        <w:rPr>
          <w:rFonts w:ascii="Arial" w:hAnsi="Arial" w:eastAsia="Arial" w:cs="Arial"/>
        </w:rPr>
      </w:pPr>
      <w:r>
        <w:rPr>
          <w:rFonts w:ascii="Arial" w:hAnsi="Arial" w:eastAsia="Arial" w:cs="Arial"/>
        </w:rPr>
        <w:t>nnexure A</w:t>
      </w:r>
    </w:p>
    <w:p w14:paraId="66452378">
      <w:pPr>
        <w:rPr>
          <w:rFonts w:ascii="Arial" w:hAnsi="Arial" w:eastAsia="Arial" w:cs="Arial"/>
        </w:rPr>
      </w:pPr>
    </w:p>
    <w:p w14:paraId="0CEFDD3C">
      <w:pPr>
        <w:ind w:left="1440" w:firstLine="720"/>
        <w:rPr>
          <w:b/>
          <w:bCs/>
          <w:sz w:val="34"/>
          <w:szCs w:val="34"/>
        </w:rPr>
      </w:pPr>
      <w:r>
        <w:rPr>
          <w:b/>
          <w:bCs/>
          <w:sz w:val="28"/>
          <w:szCs w:val="28"/>
        </w:rPr>
        <w:t>ANALYTICAL PROBLEM SOLVING</w:t>
      </w:r>
    </w:p>
    <w:p w14:paraId="58396558">
      <w:pPr>
        <w:jc w:val="both"/>
        <w:rPr>
          <w:rFonts w:ascii="Arial" w:hAnsi="Arial" w:eastAsia="Arial" w:cs="Arial"/>
          <w:color w:val="000000"/>
        </w:rPr>
      </w:pPr>
    </w:p>
    <w:p w14:paraId="140FA541">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sz w:val="28"/>
          <w:szCs w:val="28"/>
        </w:rPr>
        <w:t xml:space="preserve">1. </w:t>
      </w:r>
      <w:r>
        <w:rPr>
          <w:color w:val="000000"/>
        </w:rPr>
        <w:t>Suppose we want to transmit the message 11100011 and protect it from errors using the CRC polynomial X3+1.</w:t>
      </w:r>
    </w:p>
    <w:p w14:paraId="0DD884F8">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color w:val="000000"/>
        </w:rPr>
      </w:pPr>
      <w:r>
        <w:rPr>
          <w:color w:val="000000"/>
        </w:rPr>
        <w:t>i.) Use polynomial long division to determine the message that should be transmitted.</w:t>
      </w:r>
    </w:p>
    <w:p w14:paraId="299CF554">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b/>
          <w:bCs/>
          <w:color w:val="000000"/>
        </w:rPr>
      </w:pPr>
      <w:r>
        <w:rPr>
          <w:color w:val="000000"/>
        </w:rPr>
        <w:t>ii) Suppose the leftmost bit of the message is inverted due to noise on the transmission link. What is the result of the receiver's CRC calculation? How does the receiver know that an error has occurred?</w:t>
      </w:r>
    </w:p>
    <w:p w14:paraId="5B33F15A">
      <w:pPr>
        <w:pBdr>
          <w:top w:val="none" w:color="auto" w:sz="0" w:space="0"/>
          <w:left w:val="none" w:color="auto" w:sz="0" w:space="0"/>
          <w:bottom w:val="none" w:color="auto" w:sz="0" w:space="0"/>
          <w:right w:val="none" w:color="auto" w:sz="0" w:space="0"/>
          <w:between w:val="none" w:color="auto" w:sz="0" w:space="0"/>
        </w:pBdr>
        <w:jc w:val="both"/>
        <w:rPr>
          <w:color w:val="000000"/>
        </w:rPr>
      </w:pPr>
    </w:p>
    <w:p w14:paraId="5BA02A04">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 xml:space="preserve">2. a) A network with bandwidth of 10 Mbps can pass only an average of 12,000 frames per minute with each frame carrying an average of 10,000 bits. What is the throughput of this network? </w:t>
      </w:r>
    </w:p>
    <w:p w14:paraId="1CFACC51">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b) A network has a bandwidth of 3000 Hz (300 to 3300 Hz) assigned for data communications. The signal- to-noise ratio is 3162. Find the channel capacity</w:t>
      </w:r>
    </w:p>
    <w:p w14:paraId="3594C63E">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ab/>
      </w:r>
      <w:r>
        <w:rPr>
          <w:b/>
          <w:bCs/>
          <w:color w:val="000000"/>
        </w:rPr>
        <w:t xml:space="preserve">               </w:t>
      </w:r>
    </w:p>
    <w:p w14:paraId="7C456AB6">
      <w:pPr>
        <w:pBdr>
          <w:top w:val="none" w:color="auto" w:sz="0" w:space="0"/>
          <w:left w:val="none" w:color="auto" w:sz="0" w:space="0"/>
          <w:bottom w:val="none" w:color="auto" w:sz="0" w:space="0"/>
          <w:right w:val="none" w:color="auto" w:sz="0" w:space="0"/>
          <w:between w:val="none" w:color="auto" w:sz="0" w:space="0"/>
        </w:pBdr>
        <w:spacing w:line="360" w:lineRule="auto"/>
        <w:jc w:val="both"/>
      </w:pPr>
      <w:r>
        <w:rPr>
          <w:color w:val="000000"/>
        </w:rPr>
        <w:t xml:space="preserve">3. </w:t>
      </w:r>
      <w:r>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Pr>
          <w:rStyle w:val="10"/>
        </w:rPr>
        <w:t>Hamming (12,8)</w:t>
      </w:r>
      <w:r>
        <w:t xml:space="preserve"> error-correcting code.</w:t>
      </w:r>
    </w:p>
    <w:p w14:paraId="617FC2D4">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rPr>
      </w:pPr>
    </w:p>
    <w:p w14:paraId="1214BE85">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 xml:space="preserve">4. a) A company uses the IP address </w:t>
      </w:r>
      <w:r>
        <w:rPr>
          <w:b/>
          <w:bCs/>
          <w:color w:val="000000"/>
        </w:rPr>
        <w:t>172.16.10.0/24</w:t>
      </w:r>
      <w:r>
        <w:rPr>
          <w:color w:val="000000"/>
        </w:rPr>
        <w:t xml:space="preserve"> and has implemented subnetting using a </w:t>
      </w:r>
      <w:r>
        <w:rPr>
          <w:b/>
          <w:bCs/>
          <w:color w:val="000000"/>
        </w:rPr>
        <w:t>/27 subnet mask</w:t>
      </w:r>
      <w:r>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Pr>
          <w:b/>
          <w:bCs/>
          <w:color w:val="000000"/>
        </w:rPr>
        <w:t>172.16.10.78</w:t>
      </w:r>
      <w:r>
        <w:rPr>
          <w:color w:val="000000"/>
        </w:rPr>
        <w:t xml:space="preserve"> belongs. Identify the network address and broadcast address for that subnet. Also, determine whether the IP address </w:t>
      </w:r>
      <w:r>
        <w:rPr>
          <w:b/>
          <w:bCs/>
          <w:color w:val="000000"/>
        </w:rPr>
        <w:t>172.16.10.95</w:t>
      </w:r>
      <w:r>
        <w:rPr>
          <w:color w:val="000000"/>
        </w:rPr>
        <w:t xml:space="preserve"> falls within the same subnet range based on the given configuration.</w:t>
      </w:r>
    </w:p>
    <w:p w14:paraId="2942C0E1">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p>
    <w:p w14:paraId="3D4CC87D">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 xml:space="preserve">b) A network uses the Internet Protocol </w:t>
      </w:r>
      <w:r>
        <w:t>version 6</w:t>
      </w:r>
      <w:r>
        <w:rPr>
          <w:color w:val="000000"/>
        </w:rPr>
        <w:t xml:space="preserve"> address </w:t>
      </w:r>
      <w:r>
        <w:rPr>
          <w:b/>
          <w:bCs/>
          <w:color w:val="000000"/>
        </w:rPr>
        <w:t>2001:0db8:0000:0000:0000:ff00:0042:8329</w:t>
      </w:r>
      <w:r>
        <w:rPr>
          <w:color w:val="000000"/>
        </w:rPr>
        <w:t xml:space="preserve">. Apply IPv6 addressing rules to compress the given address into its shortest form and then expand the compressed address back to its full notation. Using a prefix length of </w:t>
      </w:r>
      <w:r>
        <w:rPr>
          <w:b/>
          <w:bCs/>
          <w:color w:val="000000"/>
        </w:rPr>
        <w:t>/64</w:t>
      </w:r>
      <w:r>
        <w:rPr>
          <w:color w:val="000000"/>
        </w:rPr>
        <w:t>, determine the network prefix of the given address. Also, calculate the total number of possible host addresses available within this network based on the given prefix length.</w:t>
      </w:r>
    </w:p>
    <w:p w14:paraId="39A8C0EC">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p>
    <w:p w14:paraId="4DA73968">
      <w:pPr>
        <w:pBdr>
          <w:top w:val="none" w:color="auto" w:sz="0" w:space="0"/>
          <w:left w:val="none" w:color="auto" w:sz="0" w:space="0"/>
          <w:bottom w:val="none" w:color="auto" w:sz="0" w:space="0"/>
          <w:right w:val="none" w:color="auto" w:sz="0" w:space="0"/>
          <w:between w:val="none" w:color="auto" w:sz="0" w:space="0"/>
        </w:pBdr>
        <w:spacing w:line="360" w:lineRule="auto"/>
        <w:jc w:val="both"/>
        <w:rPr>
          <w:rFonts w:eastAsia="Arial"/>
          <w:b/>
          <w:bCs/>
          <w:color w:val="000000"/>
        </w:rPr>
      </w:pPr>
      <w:r>
        <w:rPr>
          <w:rFonts w:eastAsia="Arial"/>
          <w:b/>
          <w:bCs/>
          <w:color w:val="000000"/>
        </w:rPr>
        <w:t xml:space="preserve">5. </w:t>
      </w:r>
      <w:r>
        <w:t xml:space="preserve">A university is conducting an online semester examination for </w:t>
      </w:r>
      <w:r>
        <w:rPr>
          <w:rStyle w:val="10"/>
        </w:rPr>
        <w:t>8,000 students</w:t>
      </w:r>
      <w:r>
        <w:t xml:space="preserve"> simultaneously. At exactly </w:t>
      </w:r>
      <w:r>
        <w:rPr>
          <w:rStyle w:val="10"/>
        </w:rPr>
        <w:t>10:00 AM</w:t>
      </w:r>
      <w:r>
        <w:t xml:space="preserve">, the examination server begins transmitting encrypted question papers to all students. The university server is connected through a </w:t>
      </w:r>
      <w:r>
        <w:rPr>
          <w:rStyle w:val="10"/>
        </w:rPr>
        <w:t>10 Gbps high-speed network</w:t>
      </w:r>
      <w:r>
        <w:t xml:space="preserve">, while students access the examination portal using different internet connections such as </w:t>
      </w:r>
      <w:r>
        <w:rPr>
          <w:rStyle w:val="10"/>
        </w:rPr>
        <w:t>fiber broadband (100 Mbps), home Wi-Fi (20 Mbps), and mobile networks (5–10 Mbps)</w:t>
      </w:r>
      <w:r>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Pr>
          <w:rStyle w:val="10"/>
        </w:rPr>
        <w:t>Analyze</w:t>
      </w:r>
      <w:r>
        <w:t xml:space="preserve"> the above scenario and identify the primary networking problem. Explain how the mismatch between the sender's transmission speed and the receiver's processing capability affects communication.</w:t>
      </w:r>
    </w:p>
    <w:p w14:paraId="794903CD">
      <w:pPr>
        <w:rPr>
          <w:rFonts w:ascii="Arial" w:hAnsi="Arial" w:eastAsia="Arial" w:cs="Arial"/>
          <w:b/>
          <w:bCs/>
          <w:color w:val="000000"/>
        </w:rPr>
      </w:pPr>
      <w:r>
        <w:rPr>
          <w:rFonts w:ascii="Arial" w:hAnsi="Arial" w:eastAsia="Arial" w:cs="Arial"/>
          <w:b/>
          <w:bCs/>
          <w:color w:val="000000"/>
        </w:rPr>
        <w:br w:type="page"/>
      </w:r>
    </w:p>
    <w:p w14:paraId="194A1E8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RUBRICS FOR CALCULATION</w:t>
      </w:r>
    </w:p>
    <w:p w14:paraId="4560BEF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tbl>
      <w:tblPr>
        <w:tblStyle w:val="14"/>
        <w:tblW w:w="9395" w:type="dxa"/>
        <w:tblInd w:w="-5" w:type="dxa"/>
        <w:tblLayout w:type="fixed"/>
        <w:tblCellMar>
          <w:top w:w="0" w:type="dxa"/>
          <w:left w:w="115" w:type="dxa"/>
          <w:bottom w:w="0" w:type="dxa"/>
          <w:right w:w="115" w:type="dxa"/>
        </w:tblCellMar>
      </w:tblPr>
      <w:tblGrid>
        <w:gridCol w:w="1647"/>
        <w:gridCol w:w="1329"/>
        <w:gridCol w:w="1745"/>
        <w:gridCol w:w="1501"/>
        <w:gridCol w:w="1672"/>
        <w:gridCol w:w="1501"/>
      </w:tblGrid>
      <w:tr w14:paraId="208EE63B">
        <w:tblPrEx>
          <w:tblCellMar>
            <w:top w:w="0" w:type="dxa"/>
            <w:left w:w="115" w:type="dxa"/>
            <w:bottom w:w="0" w:type="dxa"/>
            <w:right w:w="115" w:type="dxa"/>
          </w:tblCellMar>
        </w:tblPrEx>
        <w:trPr>
          <w:trHeight w:val="829" w:hRule="atLeast"/>
        </w:trPr>
        <w:tc>
          <w:tcPr>
            <w:tcW w:w="16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B48EBF">
            <w:r>
              <w:t>Criteria</w:t>
            </w:r>
          </w:p>
        </w:tc>
        <w:tc>
          <w:tcPr>
            <w:tcW w:w="1329" w:type="dxa"/>
            <w:tcBorders>
              <w:top w:val="single" w:color="000000" w:sz="4" w:space="0"/>
              <w:left w:val="nil"/>
              <w:bottom w:val="single" w:color="000000" w:sz="4" w:space="0"/>
              <w:right w:val="single" w:color="000000" w:sz="4" w:space="0"/>
            </w:tcBorders>
            <w:shd w:val="clear" w:color="auto" w:fill="FFFFFF"/>
            <w:vAlign w:val="center"/>
          </w:tcPr>
          <w:p w14:paraId="7BD26A49">
            <w:r>
              <w:t>Weightage</w:t>
            </w:r>
          </w:p>
        </w:tc>
        <w:tc>
          <w:tcPr>
            <w:tcW w:w="1745" w:type="dxa"/>
            <w:tcBorders>
              <w:top w:val="single" w:color="000000" w:sz="4" w:space="0"/>
              <w:left w:val="nil"/>
              <w:bottom w:val="single" w:color="000000" w:sz="4" w:space="0"/>
              <w:right w:val="single" w:color="000000" w:sz="4" w:space="0"/>
            </w:tcBorders>
            <w:shd w:val="clear" w:color="auto" w:fill="FFFFFF"/>
            <w:vAlign w:val="center"/>
          </w:tcPr>
          <w:p w14:paraId="6D7D8DE3">
            <w:r>
              <w:t>Level 4 (Exemplary)</w:t>
            </w:r>
          </w:p>
        </w:tc>
        <w:tc>
          <w:tcPr>
            <w:tcW w:w="1501" w:type="dxa"/>
            <w:tcBorders>
              <w:top w:val="single" w:color="000000" w:sz="4" w:space="0"/>
              <w:left w:val="nil"/>
              <w:bottom w:val="single" w:color="000000" w:sz="4" w:space="0"/>
              <w:right w:val="single" w:color="000000" w:sz="4" w:space="0"/>
            </w:tcBorders>
            <w:shd w:val="clear" w:color="auto" w:fill="FFFFFF"/>
            <w:vAlign w:val="center"/>
          </w:tcPr>
          <w:p w14:paraId="4AB893ED">
            <w:r>
              <w:t>Level 3 (Proficient)</w:t>
            </w:r>
          </w:p>
        </w:tc>
        <w:tc>
          <w:tcPr>
            <w:tcW w:w="1672" w:type="dxa"/>
            <w:tcBorders>
              <w:top w:val="single" w:color="000000" w:sz="4" w:space="0"/>
              <w:left w:val="nil"/>
              <w:bottom w:val="single" w:color="000000" w:sz="4" w:space="0"/>
              <w:right w:val="single" w:color="000000" w:sz="4" w:space="0"/>
            </w:tcBorders>
            <w:shd w:val="clear" w:color="auto" w:fill="FFFFFF"/>
            <w:vAlign w:val="center"/>
          </w:tcPr>
          <w:p w14:paraId="678C8263">
            <w:r>
              <w:t>Level 2 (Developing)</w:t>
            </w:r>
          </w:p>
        </w:tc>
        <w:tc>
          <w:tcPr>
            <w:tcW w:w="1501" w:type="dxa"/>
            <w:tcBorders>
              <w:top w:val="single" w:color="000000" w:sz="4" w:space="0"/>
              <w:left w:val="nil"/>
              <w:bottom w:val="single" w:color="000000" w:sz="4" w:space="0"/>
              <w:right w:val="single" w:color="000000" w:sz="4" w:space="0"/>
            </w:tcBorders>
            <w:shd w:val="clear" w:color="auto" w:fill="FFFFFF"/>
            <w:vAlign w:val="center"/>
          </w:tcPr>
          <w:p w14:paraId="400D0FF9">
            <w:r>
              <w:t>Level 1 (Beginning)</w:t>
            </w:r>
          </w:p>
        </w:tc>
      </w:tr>
      <w:tr w14:paraId="04F3B763">
        <w:tblPrEx>
          <w:tblCellMar>
            <w:top w:w="0" w:type="dxa"/>
            <w:left w:w="115" w:type="dxa"/>
            <w:bottom w:w="0" w:type="dxa"/>
            <w:right w:w="115" w:type="dxa"/>
          </w:tblCellMar>
        </w:tblPrEx>
        <w:trPr>
          <w:trHeight w:val="1293" w:hRule="atLeast"/>
        </w:trPr>
        <w:tc>
          <w:tcPr>
            <w:tcW w:w="1647" w:type="dxa"/>
            <w:tcBorders>
              <w:top w:val="nil"/>
              <w:left w:val="single" w:color="000000" w:sz="4" w:space="0"/>
              <w:bottom w:val="single" w:color="000000" w:sz="4" w:space="0"/>
              <w:right w:val="single" w:color="000000" w:sz="4" w:space="0"/>
            </w:tcBorders>
            <w:vAlign w:val="center"/>
          </w:tcPr>
          <w:p w14:paraId="5C2B54BE">
            <w:pPr>
              <w:jc w:val="center"/>
              <w:rPr>
                <w:rFonts w:ascii="Arial" w:hAnsi="Arial" w:eastAsia="Arial" w:cs="Arial"/>
                <w:color w:val="000000"/>
                <w:sz w:val="22"/>
                <w:szCs w:val="22"/>
              </w:rPr>
            </w:pPr>
            <w:r>
              <w:rPr>
                <w:rFonts w:ascii="Arial" w:hAnsi="Arial" w:eastAsia="Arial" w:cs="Arial"/>
                <w:color w:val="000000"/>
                <w:sz w:val="22"/>
                <w:szCs w:val="22"/>
              </w:rPr>
              <w:t>Problem Understanding</w:t>
            </w:r>
          </w:p>
        </w:tc>
        <w:tc>
          <w:tcPr>
            <w:tcW w:w="1329" w:type="dxa"/>
            <w:tcBorders>
              <w:top w:val="nil"/>
              <w:left w:val="nil"/>
              <w:bottom w:val="single" w:color="000000" w:sz="4" w:space="0"/>
              <w:right w:val="single" w:color="000000" w:sz="4" w:space="0"/>
            </w:tcBorders>
            <w:vAlign w:val="center"/>
          </w:tcPr>
          <w:p w14:paraId="25A4D149">
            <w:pPr>
              <w:jc w:val="center"/>
              <w:rPr>
                <w:rFonts w:ascii="Arial" w:hAnsi="Arial" w:eastAsia="Arial" w:cs="Arial"/>
                <w:color w:val="000000"/>
                <w:sz w:val="22"/>
                <w:szCs w:val="22"/>
              </w:rPr>
            </w:pPr>
            <w:r>
              <w:rPr>
                <w:rFonts w:ascii="Arial" w:hAnsi="Arial" w:eastAsia="Arial" w:cs="Arial"/>
                <w:color w:val="000000"/>
                <w:sz w:val="22"/>
                <w:szCs w:val="22"/>
              </w:rPr>
              <w:t>20%</w:t>
            </w:r>
          </w:p>
        </w:tc>
        <w:tc>
          <w:tcPr>
            <w:tcW w:w="1745" w:type="dxa"/>
            <w:tcBorders>
              <w:top w:val="nil"/>
              <w:left w:val="nil"/>
              <w:bottom w:val="single" w:color="000000" w:sz="4" w:space="0"/>
              <w:right w:val="single" w:color="000000" w:sz="4" w:space="0"/>
            </w:tcBorders>
            <w:vAlign w:val="center"/>
          </w:tcPr>
          <w:p w14:paraId="5251FC7A">
            <w:pPr>
              <w:jc w:val="center"/>
              <w:rPr>
                <w:rFonts w:ascii="Arial" w:hAnsi="Arial" w:eastAsia="Arial" w:cs="Arial"/>
                <w:color w:val="000000"/>
                <w:sz w:val="22"/>
                <w:szCs w:val="22"/>
              </w:rPr>
            </w:pPr>
            <w:r>
              <w:rPr>
                <w:rFonts w:ascii="Arial" w:hAnsi="Arial" w:eastAsia="Arial" w:cs="Arial"/>
                <w:color w:val="000000"/>
                <w:sz w:val="22"/>
                <w:szCs w:val="22"/>
              </w:rPr>
              <w:t>Clearly interprets problem, identifies all parameters and requirements accurately</w:t>
            </w:r>
          </w:p>
        </w:tc>
        <w:tc>
          <w:tcPr>
            <w:tcW w:w="1501" w:type="dxa"/>
            <w:tcBorders>
              <w:top w:val="nil"/>
              <w:left w:val="nil"/>
              <w:bottom w:val="single" w:color="000000" w:sz="4" w:space="0"/>
              <w:right w:val="single" w:color="000000" w:sz="4" w:space="0"/>
            </w:tcBorders>
            <w:vAlign w:val="center"/>
          </w:tcPr>
          <w:p w14:paraId="772EE7AA">
            <w:pPr>
              <w:jc w:val="center"/>
              <w:rPr>
                <w:rFonts w:ascii="Arial" w:hAnsi="Arial" w:eastAsia="Arial" w:cs="Arial"/>
                <w:color w:val="000000"/>
                <w:sz w:val="22"/>
                <w:szCs w:val="22"/>
              </w:rPr>
            </w:pPr>
            <w:r>
              <w:rPr>
                <w:rFonts w:ascii="Arial" w:hAnsi="Arial" w:eastAsia="Arial" w:cs="Arial"/>
                <w:color w:val="000000"/>
                <w:sz w:val="22"/>
                <w:szCs w:val="22"/>
              </w:rPr>
              <w:t>Understands problem with minor gaps</w:t>
            </w:r>
          </w:p>
        </w:tc>
        <w:tc>
          <w:tcPr>
            <w:tcW w:w="1672" w:type="dxa"/>
            <w:tcBorders>
              <w:top w:val="nil"/>
              <w:left w:val="nil"/>
              <w:bottom w:val="single" w:color="000000" w:sz="4" w:space="0"/>
              <w:right w:val="single" w:color="000000" w:sz="4" w:space="0"/>
            </w:tcBorders>
            <w:vAlign w:val="center"/>
          </w:tcPr>
          <w:p w14:paraId="19C3AAA3">
            <w:pPr>
              <w:jc w:val="center"/>
              <w:rPr>
                <w:rFonts w:ascii="Arial" w:hAnsi="Arial" w:eastAsia="Arial" w:cs="Arial"/>
                <w:color w:val="000000"/>
                <w:sz w:val="22"/>
                <w:szCs w:val="22"/>
              </w:rPr>
            </w:pPr>
            <w:r>
              <w:rPr>
                <w:rFonts w:ascii="Arial" w:hAnsi="Arial" w:eastAsia="Arial" w:cs="Arial"/>
                <w:color w:val="000000"/>
                <w:sz w:val="22"/>
                <w:szCs w:val="22"/>
              </w:rPr>
              <w:t>Partial understanding; misses key elements</w:t>
            </w:r>
          </w:p>
        </w:tc>
        <w:tc>
          <w:tcPr>
            <w:tcW w:w="1501" w:type="dxa"/>
            <w:tcBorders>
              <w:top w:val="nil"/>
              <w:left w:val="nil"/>
              <w:bottom w:val="single" w:color="000000" w:sz="4" w:space="0"/>
              <w:right w:val="single" w:color="000000" w:sz="4" w:space="0"/>
            </w:tcBorders>
            <w:vAlign w:val="center"/>
          </w:tcPr>
          <w:p w14:paraId="5135978E">
            <w:pPr>
              <w:jc w:val="center"/>
              <w:rPr>
                <w:rFonts w:ascii="Arial" w:hAnsi="Arial" w:eastAsia="Arial" w:cs="Arial"/>
                <w:color w:val="000000"/>
                <w:sz w:val="22"/>
                <w:szCs w:val="22"/>
              </w:rPr>
            </w:pPr>
            <w:r>
              <w:rPr>
                <w:rFonts w:ascii="Arial" w:hAnsi="Arial" w:eastAsia="Arial" w:cs="Arial"/>
                <w:color w:val="000000"/>
                <w:sz w:val="22"/>
                <w:szCs w:val="22"/>
              </w:rPr>
              <w:t>Misinterprets or unable to understand problem</w:t>
            </w:r>
          </w:p>
        </w:tc>
      </w:tr>
      <w:tr w14:paraId="1686B63F">
        <w:tblPrEx>
          <w:tblCellMar>
            <w:top w:w="0" w:type="dxa"/>
            <w:left w:w="115" w:type="dxa"/>
            <w:bottom w:w="0" w:type="dxa"/>
            <w:right w:w="115" w:type="dxa"/>
          </w:tblCellMar>
        </w:tblPrEx>
        <w:trPr>
          <w:trHeight w:val="1293" w:hRule="atLeast"/>
        </w:trPr>
        <w:tc>
          <w:tcPr>
            <w:tcW w:w="1647" w:type="dxa"/>
            <w:tcBorders>
              <w:top w:val="nil"/>
              <w:left w:val="single" w:color="000000" w:sz="4" w:space="0"/>
              <w:bottom w:val="single" w:color="000000" w:sz="4" w:space="0"/>
              <w:right w:val="single" w:color="000000" w:sz="4" w:space="0"/>
            </w:tcBorders>
            <w:vAlign w:val="center"/>
          </w:tcPr>
          <w:p w14:paraId="4FF92E95">
            <w:pPr>
              <w:jc w:val="center"/>
              <w:rPr>
                <w:rFonts w:ascii="Arial" w:hAnsi="Arial" w:eastAsia="Arial" w:cs="Arial"/>
                <w:color w:val="000000"/>
                <w:sz w:val="22"/>
                <w:szCs w:val="22"/>
              </w:rPr>
            </w:pPr>
            <w:r>
              <w:rPr>
                <w:rFonts w:ascii="Arial" w:hAnsi="Arial" w:eastAsia="Arial" w:cs="Arial"/>
                <w:color w:val="000000"/>
                <w:sz w:val="22"/>
                <w:szCs w:val="22"/>
              </w:rPr>
              <w:t>Method Selection</w:t>
            </w:r>
          </w:p>
        </w:tc>
        <w:tc>
          <w:tcPr>
            <w:tcW w:w="1329" w:type="dxa"/>
            <w:tcBorders>
              <w:top w:val="nil"/>
              <w:left w:val="nil"/>
              <w:bottom w:val="single" w:color="000000" w:sz="4" w:space="0"/>
              <w:right w:val="single" w:color="000000" w:sz="4" w:space="0"/>
            </w:tcBorders>
            <w:vAlign w:val="center"/>
          </w:tcPr>
          <w:p w14:paraId="1D533553">
            <w:pPr>
              <w:jc w:val="center"/>
              <w:rPr>
                <w:rFonts w:ascii="Arial" w:hAnsi="Arial" w:eastAsia="Arial" w:cs="Arial"/>
                <w:color w:val="000000"/>
                <w:sz w:val="22"/>
                <w:szCs w:val="22"/>
              </w:rPr>
            </w:pPr>
            <w:r>
              <w:rPr>
                <w:rFonts w:ascii="Arial" w:hAnsi="Arial" w:eastAsia="Arial" w:cs="Arial"/>
                <w:color w:val="000000"/>
                <w:sz w:val="22"/>
                <w:szCs w:val="22"/>
              </w:rPr>
              <w:t>20%</w:t>
            </w:r>
          </w:p>
        </w:tc>
        <w:tc>
          <w:tcPr>
            <w:tcW w:w="1745" w:type="dxa"/>
            <w:tcBorders>
              <w:top w:val="nil"/>
              <w:left w:val="nil"/>
              <w:bottom w:val="single" w:color="000000" w:sz="4" w:space="0"/>
              <w:right w:val="single" w:color="000000" w:sz="4" w:space="0"/>
            </w:tcBorders>
            <w:vAlign w:val="center"/>
          </w:tcPr>
          <w:p w14:paraId="5FA7377C">
            <w:pPr>
              <w:jc w:val="center"/>
              <w:rPr>
                <w:rFonts w:ascii="Arial" w:hAnsi="Arial" w:eastAsia="Arial" w:cs="Arial"/>
                <w:color w:val="000000"/>
                <w:sz w:val="22"/>
                <w:szCs w:val="22"/>
              </w:rPr>
            </w:pPr>
            <w:r>
              <w:rPr>
                <w:rFonts w:ascii="Arial" w:hAnsi="Arial" w:eastAsia="Arial" w:cs="Arial"/>
                <w:color w:val="000000"/>
                <w:sz w:val="22"/>
                <w:szCs w:val="22"/>
              </w:rPr>
              <w:t>Selects most appropriate method/formula with strong justification</w:t>
            </w:r>
          </w:p>
        </w:tc>
        <w:tc>
          <w:tcPr>
            <w:tcW w:w="1501" w:type="dxa"/>
            <w:tcBorders>
              <w:top w:val="nil"/>
              <w:left w:val="nil"/>
              <w:bottom w:val="single" w:color="000000" w:sz="4" w:space="0"/>
              <w:right w:val="single" w:color="000000" w:sz="4" w:space="0"/>
            </w:tcBorders>
            <w:vAlign w:val="center"/>
          </w:tcPr>
          <w:p w14:paraId="43F2E1DD">
            <w:pPr>
              <w:jc w:val="center"/>
              <w:rPr>
                <w:rFonts w:ascii="Arial" w:hAnsi="Arial" w:eastAsia="Arial" w:cs="Arial"/>
                <w:color w:val="000000"/>
                <w:sz w:val="22"/>
                <w:szCs w:val="22"/>
              </w:rPr>
            </w:pPr>
            <w:r>
              <w:rPr>
                <w:rFonts w:ascii="Arial" w:hAnsi="Arial" w:eastAsia="Arial" w:cs="Arial"/>
                <w:color w:val="000000"/>
                <w:sz w:val="22"/>
                <w:szCs w:val="22"/>
              </w:rPr>
              <w:t>Selects correct method with minor errors</w:t>
            </w:r>
          </w:p>
        </w:tc>
        <w:tc>
          <w:tcPr>
            <w:tcW w:w="1672" w:type="dxa"/>
            <w:tcBorders>
              <w:top w:val="nil"/>
              <w:left w:val="nil"/>
              <w:bottom w:val="single" w:color="000000" w:sz="4" w:space="0"/>
              <w:right w:val="single" w:color="000000" w:sz="4" w:space="0"/>
            </w:tcBorders>
            <w:vAlign w:val="center"/>
          </w:tcPr>
          <w:p w14:paraId="6CDD1C6D">
            <w:pPr>
              <w:jc w:val="center"/>
              <w:rPr>
                <w:rFonts w:ascii="Arial" w:hAnsi="Arial" w:eastAsia="Arial" w:cs="Arial"/>
                <w:color w:val="000000"/>
                <w:sz w:val="22"/>
                <w:szCs w:val="22"/>
              </w:rPr>
            </w:pPr>
            <w:r>
              <w:rPr>
                <w:rFonts w:ascii="Arial" w:hAnsi="Arial" w:eastAsia="Arial" w:cs="Arial"/>
                <w:color w:val="000000"/>
                <w:sz w:val="22"/>
                <w:szCs w:val="22"/>
              </w:rPr>
              <w:t>Inappropriate or partially correct method</w:t>
            </w:r>
          </w:p>
        </w:tc>
        <w:tc>
          <w:tcPr>
            <w:tcW w:w="1501" w:type="dxa"/>
            <w:tcBorders>
              <w:top w:val="nil"/>
              <w:left w:val="nil"/>
              <w:bottom w:val="single" w:color="000000" w:sz="4" w:space="0"/>
              <w:right w:val="single" w:color="000000" w:sz="4" w:space="0"/>
            </w:tcBorders>
            <w:vAlign w:val="center"/>
          </w:tcPr>
          <w:p w14:paraId="1859BE72">
            <w:pPr>
              <w:jc w:val="center"/>
              <w:rPr>
                <w:rFonts w:ascii="Arial" w:hAnsi="Arial" w:eastAsia="Arial" w:cs="Arial"/>
                <w:color w:val="000000"/>
                <w:sz w:val="22"/>
                <w:szCs w:val="22"/>
              </w:rPr>
            </w:pPr>
            <w:r>
              <w:rPr>
                <w:rFonts w:ascii="Arial" w:hAnsi="Arial" w:eastAsia="Arial" w:cs="Arial"/>
                <w:color w:val="000000"/>
                <w:sz w:val="22"/>
                <w:szCs w:val="22"/>
              </w:rPr>
              <w:t>Unable to select method</w:t>
            </w:r>
          </w:p>
        </w:tc>
      </w:tr>
      <w:tr w14:paraId="2C1E7E13">
        <w:tblPrEx>
          <w:tblCellMar>
            <w:top w:w="0" w:type="dxa"/>
            <w:left w:w="115" w:type="dxa"/>
            <w:bottom w:w="0" w:type="dxa"/>
            <w:right w:w="115" w:type="dxa"/>
          </w:tblCellMar>
        </w:tblPrEx>
        <w:trPr>
          <w:trHeight w:val="1293" w:hRule="atLeast"/>
        </w:trPr>
        <w:tc>
          <w:tcPr>
            <w:tcW w:w="1647" w:type="dxa"/>
            <w:tcBorders>
              <w:top w:val="nil"/>
              <w:left w:val="single" w:color="000000" w:sz="4" w:space="0"/>
              <w:bottom w:val="single" w:color="000000" w:sz="4" w:space="0"/>
              <w:right w:val="single" w:color="000000" w:sz="4" w:space="0"/>
            </w:tcBorders>
            <w:vAlign w:val="center"/>
          </w:tcPr>
          <w:p w14:paraId="5AA18C4F">
            <w:pPr>
              <w:jc w:val="center"/>
              <w:rPr>
                <w:rFonts w:ascii="Arial" w:hAnsi="Arial" w:eastAsia="Arial" w:cs="Arial"/>
                <w:color w:val="000000"/>
                <w:sz w:val="22"/>
                <w:szCs w:val="22"/>
              </w:rPr>
            </w:pPr>
            <w:r>
              <w:rPr>
                <w:rFonts w:ascii="Arial" w:hAnsi="Arial" w:eastAsia="Arial" w:cs="Arial"/>
                <w:color w:val="000000"/>
                <w:sz w:val="22"/>
                <w:szCs w:val="22"/>
              </w:rPr>
              <w:t>Solution Process</w:t>
            </w:r>
          </w:p>
        </w:tc>
        <w:tc>
          <w:tcPr>
            <w:tcW w:w="1329" w:type="dxa"/>
            <w:tcBorders>
              <w:top w:val="nil"/>
              <w:left w:val="nil"/>
              <w:bottom w:val="single" w:color="000000" w:sz="4" w:space="0"/>
              <w:right w:val="single" w:color="000000" w:sz="4" w:space="0"/>
            </w:tcBorders>
            <w:vAlign w:val="center"/>
          </w:tcPr>
          <w:p w14:paraId="104F3FC2">
            <w:pPr>
              <w:jc w:val="center"/>
              <w:rPr>
                <w:rFonts w:ascii="Arial" w:hAnsi="Arial" w:eastAsia="Arial" w:cs="Arial"/>
                <w:color w:val="000000"/>
                <w:sz w:val="22"/>
                <w:szCs w:val="22"/>
              </w:rPr>
            </w:pPr>
            <w:r>
              <w:rPr>
                <w:rFonts w:ascii="Arial" w:hAnsi="Arial" w:eastAsia="Arial" w:cs="Arial"/>
                <w:color w:val="000000"/>
                <w:sz w:val="22"/>
                <w:szCs w:val="22"/>
              </w:rPr>
              <w:t>25%</w:t>
            </w:r>
          </w:p>
        </w:tc>
        <w:tc>
          <w:tcPr>
            <w:tcW w:w="1745" w:type="dxa"/>
            <w:tcBorders>
              <w:top w:val="nil"/>
              <w:left w:val="nil"/>
              <w:bottom w:val="single" w:color="000000" w:sz="4" w:space="0"/>
              <w:right w:val="single" w:color="000000" w:sz="4" w:space="0"/>
            </w:tcBorders>
            <w:vAlign w:val="center"/>
          </w:tcPr>
          <w:p w14:paraId="3480E2D7">
            <w:pPr>
              <w:jc w:val="center"/>
              <w:rPr>
                <w:rFonts w:ascii="Arial" w:hAnsi="Arial" w:eastAsia="Arial" w:cs="Arial"/>
                <w:color w:val="000000"/>
                <w:sz w:val="22"/>
                <w:szCs w:val="22"/>
              </w:rPr>
            </w:pPr>
            <w:r>
              <w:rPr>
                <w:rFonts w:ascii="Arial" w:hAnsi="Arial" w:eastAsia="Arial" w:cs="Arial"/>
                <w:color w:val="000000"/>
                <w:sz w:val="22"/>
                <w:szCs w:val="22"/>
              </w:rPr>
              <w:t>Logical, systematic steps with correct approach throughout</w:t>
            </w:r>
          </w:p>
        </w:tc>
        <w:tc>
          <w:tcPr>
            <w:tcW w:w="1501" w:type="dxa"/>
            <w:tcBorders>
              <w:top w:val="nil"/>
              <w:left w:val="nil"/>
              <w:bottom w:val="single" w:color="000000" w:sz="4" w:space="0"/>
              <w:right w:val="single" w:color="000000" w:sz="4" w:space="0"/>
            </w:tcBorders>
            <w:vAlign w:val="center"/>
          </w:tcPr>
          <w:p w14:paraId="06506A1E">
            <w:pPr>
              <w:jc w:val="center"/>
              <w:rPr>
                <w:rFonts w:ascii="Arial" w:hAnsi="Arial" w:eastAsia="Arial" w:cs="Arial"/>
                <w:color w:val="000000"/>
                <w:sz w:val="22"/>
                <w:szCs w:val="22"/>
              </w:rPr>
            </w:pPr>
            <w:r>
              <w:rPr>
                <w:rFonts w:ascii="Arial" w:hAnsi="Arial" w:eastAsia="Arial" w:cs="Arial"/>
                <w:color w:val="000000"/>
                <w:sz w:val="22"/>
                <w:szCs w:val="22"/>
              </w:rPr>
              <w:t>Mostly correct steps with minor mistakes</w:t>
            </w:r>
          </w:p>
        </w:tc>
        <w:tc>
          <w:tcPr>
            <w:tcW w:w="1672" w:type="dxa"/>
            <w:tcBorders>
              <w:top w:val="nil"/>
              <w:left w:val="nil"/>
              <w:bottom w:val="single" w:color="000000" w:sz="4" w:space="0"/>
              <w:right w:val="single" w:color="000000" w:sz="4" w:space="0"/>
            </w:tcBorders>
            <w:vAlign w:val="center"/>
          </w:tcPr>
          <w:p w14:paraId="798D9B6A">
            <w:pPr>
              <w:jc w:val="center"/>
              <w:rPr>
                <w:rFonts w:ascii="Arial" w:hAnsi="Arial" w:eastAsia="Arial" w:cs="Arial"/>
                <w:color w:val="000000"/>
                <w:sz w:val="22"/>
                <w:szCs w:val="22"/>
              </w:rPr>
            </w:pPr>
            <w:r>
              <w:rPr>
                <w:rFonts w:ascii="Arial" w:hAnsi="Arial" w:eastAsia="Arial" w:cs="Arial"/>
                <w:color w:val="000000"/>
                <w:sz w:val="22"/>
                <w:szCs w:val="22"/>
              </w:rPr>
              <w:t>Disorganized steps; multiple errors</w:t>
            </w:r>
          </w:p>
        </w:tc>
        <w:tc>
          <w:tcPr>
            <w:tcW w:w="1501" w:type="dxa"/>
            <w:tcBorders>
              <w:top w:val="nil"/>
              <w:left w:val="nil"/>
              <w:bottom w:val="single" w:color="000000" w:sz="4" w:space="0"/>
              <w:right w:val="single" w:color="000000" w:sz="4" w:space="0"/>
            </w:tcBorders>
            <w:vAlign w:val="center"/>
          </w:tcPr>
          <w:p w14:paraId="0865796A">
            <w:pPr>
              <w:jc w:val="center"/>
              <w:rPr>
                <w:rFonts w:ascii="Arial" w:hAnsi="Arial" w:eastAsia="Arial" w:cs="Arial"/>
                <w:color w:val="000000"/>
                <w:sz w:val="22"/>
                <w:szCs w:val="22"/>
              </w:rPr>
            </w:pPr>
            <w:r>
              <w:rPr>
                <w:rFonts w:ascii="Arial" w:hAnsi="Arial" w:eastAsia="Arial" w:cs="Arial"/>
                <w:color w:val="000000"/>
                <w:sz w:val="22"/>
                <w:szCs w:val="22"/>
              </w:rPr>
              <w:t>No clear process</w:t>
            </w:r>
          </w:p>
        </w:tc>
      </w:tr>
      <w:tr w14:paraId="7557E5ED">
        <w:tblPrEx>
          <w:tblCellMar>
            <w:top w:w="0" w:type="dxa"/>
            <w:left w:w="115" w:type="dxa"/>
            <w:bottom w:w="0" w:type="dxa"/>
            <w:right w:w="115" w:type="dxa"/>
          </w:tblCellMar>
        </w:tblPrEx>
        <w:trPr>
          <w:trHeight w:val="776" w:hRule="atLeast"/>
        </w:trPr>
        <w:tc>
          <w:tcPr>
            <w:tcW w:w="1647" w:type="dxa"/>
            <w:tcBorders>
              <w:top w:val="nil"/>
              <w:left w:val="single" w:color="000000" w:sz="4" w:space="0"/>
              <w:bottom w:val="single" w:color="000000" w:sz="4" w:space="0"/>
              <w:right w:val="single" w:color="000000" w:sz="4" w:space="0"/>
            </w:tcBorders>
            <w:vAlign w:val="center"/>
          </w:tcPr>
          <w:p w14:paraId="658AA965">
            <w:pPr>
              <w:jc w:val="center"/>
              <w:rPr>
                <w:rFonts w:ascii="Arial" w:hAnsi="Arial" w:eastAsia="Arial" w:cs="Arial"/>
                <w:color w:val="000000"/>
                <w:sz w:val="22"/>
                <w:szCs w:val="22"/>
              </w:rPr>
            </w:pPr>
            <w:r>
              <w:rPr>
                <w:rFonts w:ascii="Arial" w:hAnsi="Arial" w:eastAsia="Arial" w:cs="Arial"/>
                <w:color w:val="000000"/>
                <w:sz w:val="22"/>
                <w:szCs w:val="22"/>
              </w:rPr>
              <w:t>Accuracy of Calculation</w:t>
            </w:r>
          </w:p>
        </w:tc>
        <w:tc>
          <w:tcPr>
            <w:tcW w:w="1329" w:type="dxa"/>
            <w:tcBorders>
              <w:top w:val="nil"/>
              <w:left w:val="nil"/>
              <w:bottom w:val="single" w:color="000000" w:sz="4" w:space="0"/>
              <w:right w:val="single" w:color="000000" w:sz="4" w:space="0"/>
            </w:tcBorders>
            <w:vAlign w:val="center"/>
          </w:tcPr>
          <w:p w14:paraId="14CE80A6">
            <w:pPr>
              <w:jc w:val="center"/>
              <w:rPr>
                <w:rFonts w:ascii="Arial" w:hAnsi="Arial" w:eastAsia="Arial" w:cs="Arial"/>
                <w:color w:val="000000"/>
                <w:sz w:val="22"/>
                <w:szCs w:val="22"/>
              </w:rPr>
            </w:pPr>
            <w:r>
              <w:rPr>
                <w:rFonts w:ascii="Arial" w:hAnsi="Arial" w:eastAsia="Arial" w:cs="Arial"/>
                <w:color w:val="000000"/>
                <w:sz w:val="22"/>
                <w:szCs w:val="22"/>
              </w:rPr>
              <w:t>20%</w:t>
            </w:r>
          </w:p>
        </w:tc>
        <w:tc>
          <w:tcPr>
            <w:tcW w:w="1745" w:type="dxa"/>
            <w:tcBorders>
              <w:top w:val="nil"/>
              <w:left w:val="nil"/>
              <w:bottom w:val="single" w:color="000000" w:sz="4" w:space="0"/>
              <w:right w:val="single" w:color="000000" w:sz="4" w:space="0"/>
            </w:tcBorders>
            <w:vAlign w:val="center"/>
          </w:tcPr>
          <w:p w14:paraId="30ED5D9E">
            <w:pPr>
              <w:jc w:val="center"/>
              <w:rPr>
                <w:rFonts w:ascii="Arial" w:hAnsi="Arial" w:eastAsia="Arial" w:cs="Arial"/>
                <w:color w:val="000000"/>
                <w:sz w:val="22"/>
                <w:szCs w:val="22"/>
              </w:rPr>
            </w:pPr>
            <w:r>
              <w:rPr>
                <w:rFonts w:ascii="Arial" w:hAnsi="Arial" w:eastAsia="Arial" w:cs="Arial"/>
                <w:color w:val="000000"/>
                <w:sz w:val="22"/>
                <w:szCs w:val="22"/>
              </w:rPr>
              <w:t>All calculations accurate; correct final answer</w:t>
            </w:r>
          </w:p>
        </w:tc>
        <w:tc>
          <w:tcPr>
            <w:tcW w:w="1501" w:type="dxa"/>
            <w:tcBorders>
              <w:top w:val="nil"/>
              <w:left w:val="nil"/>
              <w:bottom w:val="single" w:color="000000" w:sz="4" w:space="0"/>
              <w:right w:val="single" w:color="000000" w:sz="4" w:space="0"/>
            </w:tcBorders>
            <w:vAlign w:val="center"/>
          </w:tcPr>
          <w:p w14:paraId="79E57604">
            <w:pPr>
              <w:jc w:val="center"/>
              <w:rPr>
                <w:rFonts w:ascii="Arial" w:hAnsi="Arial" w:eastAsia="Arial" w:cs="Arial"/>
                <w:color w:val="000000"/>
                <w:sz w:val="22"/>
                <w:szCs w:val="22"/>
              </w:rPr>
            </w:pPr>
            <w:r>
              <w:rPr>
                <w:rFonts w:ascii="Arial" w:hAnsi="Arial" w:eastAsia="Arial" w:cs="Arial"/>
                <w:color w:val="000000"/>
                <w:sz w:val="22"/>
                <w:szCs w:val="22"/>
              </w:rPr>
              <w:t>Minor calculation errors</w:t>
            </w:r>
          </w:p>
        </w:tc>
        <w:tc>
          <w:tcPr>
            <w:tcW w:w="1672" w:type="dxa"/>
            <w:tcBorders>
              <w:top w:val="nil"/>
              <w:left w:val="nil"/>
              <w:bottom w:val="single" w:color="000000" w:sz="4" w:space="0"/>
              <w:right w:val="single" w:color="000000" w:sz="4" w:space="0"/>
            </w:tcBorders>
            <w:vAlign w:val="center"/>
          </w:tcPr>
          <w:p w14:paraId="0E6FA151">
            <w:pPr>
              <w:jc w:val="center"/>
              <w:rPr>
                <w:rFonts w:ascii="Arial" w:hAnsi="Arial" w:eastAsia="Arial" w:cs="Arial"/>
                <w:color w:val="000000"/>
                <w:sz w:val="22"/>
                <w:szCs w:val="22"/>
              </w:rPr>
            </w:pPr>
            <w:r>
              <w:rPr>
                <w:rFonts w:ascii="Arial" w:hAnsi="Arial" w:eastAsia="Arial" w:cs="Arial"/>
                <w:color w:val="000000"/>
                <w:sz w:val="22"/>
                <w:szCs w:val="22"/>
              </w:rPr>
              <w:t>Frequent errors; incorrect final answer</w:t>
            </w:r>
          </w:p>
        </w:tc>
        <w:tc>
          <w:tcPr>
            <w:tcW w:w="1501" w:type="dxa"/>
            <w:tcBorders>
              <w:top w:val="nil"/>
              <w:left w:val="nil"/>
              <w:bottom w:val="single" w:color="000000" w:sz="4" w:space="0"/>
              <w:right w:val="single" w:color="000000" w:sz="4" w:space="0"/>
            </w:tcBorders>
            <w:vAlign w:val="center"/>
          </w:tcPr>
          <w:p w14:paraId="756B24D4">
            <w:pPr>
              <w:jc w:val="center"/>
              <w:rPr>
                <w:rFonts w:ascii="Arial" w:hAnsi="Arial" w:eastAsia="Arial" w:cs="Arial"/>
                <w:color w:val="000000"/>
                <w:sz w:val="22"/>
                <w:szCs w:val="22"/>
              </w:rPr>
            </w:pPr>
            <w:r>
              <w:rPr>
                <w:rFonts w:ascii="Arial" w:hAnsi="Arial" w:eastAsia="Arial" w:cs="Arial"/>
                <w:color w:val="000000"/>
                <w:sz w:val="22"/>
                <w:szCs w:val="22"/>
              </w:rPr>
              <w:t>No valid calculations</w:t>
            </w:r>
          </w:p>
        </w:tc>
      </w:tr>
      <w:tr w14:paraId="3A4C3847">
        <w:tblPrEx>
          <w:tblCellMar>
            <w:top w:w="0" w:type="dxa"/>
            <w:left w:w="115" w:type="dxa"/>
            <w:bottom w:w="0" w:type="dxa"/>
            <w:right w:w="115" w:type="dxa"/>
          </w:tblCellMar>
        </w:tblPrEx>
        <w:trPr>
          <w:trHeight w:val="1034" w:hRule="atLeast"/>
        </w:trPr>
        <w:tc>
          <w:tcPr>
            <w:tcW w:w="1647" w:type="dxa"/>
            <w:tcBorders>
              <w:top w:val="nil"/>
              <w:left w:val="single" w:color="000000" w:sz="4" w:space="0"/>
              <w:bottom w:val="single" w:color="000000" w:sz="4" w:space="0"/>
              <w:right w:val="single" w:color="000000" w:sz="4" w:space="0"/>
            </w:tcBorders>
            <w:vAlign w:val="center"/>
          </w:tcPr>
          <w:p w14:paraId="13835885">
            <w:pPr>
              <w:jc w:val="center"/>
              <w:rPr>
                <w:rFonts w:ascii="Arial" w:hAnsi="Arial" w:eastAsia="Arial" w:cs="Arial"/>
                <w:color w:val="000000"/>
                <w:sz w:val="22"/>
                <w:szCs w:val="22"/>
              </w:rPr>
            </w:pPr>
            <w:r>
              <w:rPr>
                <w:rFonts w:ascii="Arial" w:hAnsi="Arial" w:eastAsia="Arial" w:cs="Arial"/>
                <w:color w:val="000000"/>
                <w:sz w:val="22"/>
                <w:szCs w:val="22"/>
              </w:rPr>
              <w:t>Interpretation of Results</w:t>
            </w:r>
          </w:p>
        </w:tc>
        <w:tc>
          <w:tcPr>
            <w:tcW w:w="1329" w:type="dxa"/>
            <w:tcBorders>
              <w:top w:val="nil"/>
              <w:left w:val="nil"/>
              <w:bottom w:val="single" w:color="000000" w:sz="4" w:space="0"/>
              <w:right w:val="single" w:color="000000" w:sz="4" w:space="0"/>
            </w:tcBorders>
            <w:vAlign w:val="center"/>
          </w:tcPr>
          <w:p w14:paraId="513E8015">
            <w:pPr>
              <w:jc w:val="center"/>
              <w:rPr>
                <w:rFonts w:ascii="Arial" w:hAnsi="Arial" w:eastAsia="Arial" w:cs="Arial"/>
                <w:color w:val="000000"/>
                <w:sz w:val="22"/>
                <w:szCs w:val="22"/>
              </w:rPr>
            </w:pPr>
            <w:r>
              <w:rPr>
                <w:rFonts w:ascii="Arial" w:hAnsi="Arial" w:eastAsia="Arial" w:cs="Arial"/>
                <w:color w:val="000000"/>
                <w:sz w:val="22"/>
                <w:szCs w:val="22"/>
              </w:rPr>
              <w:t>15%</w:t>
            </w:r>
          </w:p>
        </w:tc>
        <w:tc>
          <w:tcPr>
            <w:tcW w:w="1745" w:type="dxa"/>
            <w:tcBorders>
              <w:top w:val="nil"/>
              <w:left w:val="nil"/>
              <w:bottom w:val="single" w:color="000000" w:sz="4" w:space="0"/>
              <w:right w:val="single" w:color="000000" w:sz="4" w:space="0"/>
            </w:tcBorders>
            <w:vAlign w:val="center"/>
          </w:tcPr>
          <w:p w14:paraId="4264F634">
            <w:pPr>
              <w:jc w:val="center"/>
              <w:rPr>
                <w:rFonts w:ascii="Arial" w:hAnsi="Arial" w:eastAsia="Arial" w:cs="Arial"/>
                <w:color w:val="000000"/>
                <w:sz w:val="22"/>
                <w:szCs w:val="22"/>
              </w:rPr>
            </w:pPr>
            <w:r>
              <w:rPr>
                <w:rFonts w:ascii="Arial" w:hAnsi="Arial" w:eastAsia="Arial" w:cs="Arial"/>
                <w:color w:val="000000"/>
                <w:sz w:val="22"/>
                <w:szCs w:val="22"/>
              </w:rPr>
              <w:t>Clearly interprets results with units and engineering relevance</w:t>
            </w:r>
          </w:p>
        </w:tc>
        <w:tc>
          <w:tcPr>
            <w:tcW w:w="1501" w:type="dxa"/>
            <w:tcBorders>
              <w:top w:val="nil"/>
              <w:left w:val="nil"/>
              <w:bottom w:val="single" w:color="000000" w:sz="4" w:space="0"/>
              <w:right w:val="single" w:color="000000" w:sz="4" w:space="0"/>
            </w:tcBorders>
            <w:vAlign w:val="center"/>
          </w:tcPr>
          <w:p w14:paraId="268B6A70">
            <w:pPr>
              <w:jc w:val="center"/>
              <w:rPr>
                <w:rFonts w:ascii="Arial" w:hAnsi="Arial" w:eastAsia="Arial" w:cs="Arial"/>
                <w:color w:val="000000"/>
                <w:sz w:val="22"/>
                <w:szCs w:val="22"/>
              </w:rPr>
            </w:pPr>
            <w:r>
              <w:rPr>
                <w:rFonts w:ascii="Arial" w:hAnsi="Arial" w:eastAsia="Arial" w:cs="Arial"/>
                <w:color w:val="000000"/>
                <w:sz w:val="22"/>
                <w:szCs w:val="22"/>
              </w:rPr>
              <w:t>Basic interpretation with minor omissions</w:t>
            </w:r>
          </w:p>
        </w:tc>
        <w:tc>
          <w:tcPr>
            <w:tcW w:w="1672" w:type="dxa"/>
            <w:tcBorders>
              <w:top w:val="nil"/>
              <w:left w:val="nil"/>
              <w:bottom w:val="single" w:color="000000" w:sz="4" w:space="0"/>
              <w:right w:val="single" w:color="000000" w:sz="4" w:space="0"/>
            </w:tcBorders>
            <w:vAlign w:val="center"/>
          </w:tcPr>
          <w:p w14:paraId="0A166109">
            <w:pPr>
              <w:jc w:val="center"/>
              <w:rPr>
                <w:rFonts w:ascii="Arial" w:hAnsi="Arial" w:eastAsia="Arial" w:cs="Arial"/>
                <w:color w:val="000000"/>
                <w:sz w:val="22"/>
                <w:szCs w:val="22"/>
              </w:rPr>
            </w:pPr>
            <w:r>
              <w:rPr>
                <w:rFonts w:ascii="Arial" w:hAnsi="Arial" w:eastAsia="Arial" w:cs="Arial"/>
                <w:color w:val="000000"/>
                <w:sz w:val="22"/>
                <w:szCs w:val="22"/>
              </w:rPr>
              <w:t>Limited or unclear interpretation</w:t>
            </w:r>
          </w:p>
        </w:tc>
        <w:tc>
          <w:tcPr>
            <w:tcW w:w="1501" w:type="dxa"/>
            <w:tcBorders>
              <w:top w:val="nil"/>
              <w:left w:val="nil"/>
              <w:bottom w:val="single" w:color="000000" w:sz="4" w:space="0"/>
              <w:right w:val="single" w:color="000000" w:sz="4" w:space="0"/>
            </w:tcBorders>
            <w:vAlign w:val="center"/>
          </w:tcPr>
          <w:p w14:paraId="2DBFB4D6">
            <w:pPr>
              <w:jc w:val="center"/>
              <w:rPr>
                <w:rFonts w:ascii="Arial" w:hAnsi="Arial" w:eastAsia="Arial" w:cs="Arial"/>
                <w:color w:val="000000"/>
                <w:sz w:val="22"/>
                <w:szCs w:val="22"/>
              </w:rPr>
            </w:pPr>
            <w:r>
              <w:rPr>
                <w:rFonts w:ascii="Arial" w:hAnsi="Arial" w:eastAsia="Arial" w:cs="Arial"/>
                <w:color w:val="000000"/>
                <w:sz w:val="22"/>
                <w:szCs w:val="22"/>
              </w:rPr>
              <w:t>No interpretation</w:t>
            </w:r>
          </w:p>
        </w:tc>
      </w:tr>
    </w:tbl>
    <w:p w14:paraId="694D17A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AAE7AF0">
      <w:pPr>
        <w:ind w:left="1440" w:firstLine="720"/>
      </w:pPr>
    </w:p>
    <w:p w14:paraId="3379BBD6">
      <w:pPr>
        <w:rPr>
          <w:color w:val="000000"/>
        </w:rPr>
      </w:pPr>
    </w:p>
    <w:p w14:paraId="5B84D7FD">
      <w:pPr>
        <w:jc w:val="center"/>
        <w:rPr>
          <w:b/>
          <w:bCs/>
          <w:sz w:val="34"/>
          <w:szCs w:val="34"/>
        </w:rPr>
      </w:pPr>
    </w:p>
    <w:p w14:paraId="4C37EFBA">
      <w:pPr>
        <w:jc w:val="center"/>
        <w:rPr>
          <w:b/>
          <w:bCs/>
          <w:sz w:val="34"/>
          <w:szCs w:val="34"/>
        </w:rPr>
      </w:pPr>
    </w:p>
    <w:p w14:paraId="1034995B">
      <w:pPr>
        <w:jc w:val="center"/>
        <w:rPr>
          <w:b/>
          <w:bCs/>
          <w:sz w:val="34"/>
          <w:szCs w:val="34"/>
        </w:rPr>
      </w:pPr>
    </w:p>
    <w:p w14:paraId="6D2B2FA8">
      <w:pPr>
        <w:jc w:val="center"/>
        <w:rPr>
          <w:b/>
          <w:bCs/>
          <w:sz w:val="34"/>
          <w:szCs w:val="34"/>
        </w:rPr>
      </w:pPr>
    </w:p>
    <w:p w14:paraId="23B6D5E0">
      <w:pPr>
        <w:jc w:val="center"/>
        <w:rPr>
          <w:b/>
          <w:bCs/>
          <w:sz w:val="34"/>
          <w:szCs w:val="34"/>
        </w:rPr>
      </w:pPr>
    </w:p>
    <w:p w14:paraId="11236B09">
      <w:pPr>
        <w:jc w:val="center"/>
        <w:rPr>
          <w:b/>
          <w:bCs/>
          <w:sz w:val="34"/>
          <w:szCs w:val="34"/>
        </w:rPr>
      </w:pPr>
    </w:p>
    <w:p w14:paraId="4E1C1795">
      <w:pPr>
        <w:jc w:val="center"/>
        <w:rPr>
          <w:b/>
          <w:bCs/>
          <w:sz w:val="34"/>
          <w:szCs w:val="34"/>
        </w:rPr>
      </w:pPr>
    </w:p>
    <w:p w14:paraId="6E41EC46">
      <w:pPr>
        <w:jc w:val="center"/>
        <w:rPr>
          <w:b/>
          <w:bCs/>
          <w:sz w:val="34"/>
          <w:szCs w:val="34"/>
        </w:rPr>
      </w:pPr>
    </w:p>
    <w:p w14:paraId="203CD115">
      <w:pPr>
        <w:jc w:val="center"/>
        <w:rPr>
          <w:b/>
          <w:bCs/>
          <w:sz w:val="34"/>
          <w:szCs w:val="34"/>
        </w:rPr>
      </w:pPr>
    </w:p>
    <w:p w14:paraId="4A067964">
      <w:pPr>
        <w:jc w:val="center"/>
        <w:rPr>
          <w:b/>
          <w:bCs/>
          <w:sz w:val="34"/>
          <w:szCs w:val="34"/>
        </w:rPr>
      </w:pPr>
    </w:p>
    <w:p w14:paraId="41CA8930">
      <w:pPr>
        <w:jc w:val="center"/>
        <w:rPr>
          <w:b/>
          <w:bCs/>
          <w:sz w:val="34"/>
          <w:szCs w:val="34"/>
        </w:rPr>
      </w:pPr>
    </w:p>
    <w:p w14:paraId="75644CAE">
      <w:pPr>
        <w:pStyle w:val="12"/>
        <w:jc w:val="center"/>
      </w:pPr>
      <w:r>
        <w:t>ANALYTICAL PROBLEM SOLVING</w:t>
      </w:r>
      <w:r>
        <w:br w:type="textWrapping"/>
      </w:r>
      <w:r>
        <w:t>Detailed Step-by-Step Solutions</w:t>
      </w:r>
    </w:p>
    <w:p w14:paraId="641AAAB6">
      <w:pPr>
        <w:pStyle w:val="2"/>
      </w:pPr>
      <w:r>
        <w:t>1. CRC (Cyclic Redundancy Check)</w:t>
      </w:r>
    </w:p>
    <w:p w14:paraId="4E113641">
      <w:r>
        <w:t>Given Message = 11100011</w:t>
      </w:r>
      <w:r>
        <w:br w:type="textWrapping"/>
      </w:r>
      <w:r>
        <w:t>Generator Polynomial = x^3 + 1</w:t>
      </w:r>
      <w:r>
        <w:br w:type="textWrapping"/>
      </w:r>
      <w:r>
        <w:t>Generator Binary = 1001</w:t>
      </w:r>
      <w:r>
        <w:br w:type="textWrapping"/>
      </w:r>
      <w:r>
        <w:t>Degree = 3, therefore append three zeros.</w:t>
      </w:r>
    </w:p>
    <w:p w14:paraId="3F9FE289">
      <w:r>
        <w:t>Step 1: Append zeros:</w:t>
      </w:r>
      <w:r>
        <w:br w:type="textWrapping"/>
      </w:r>
      <w:r>
        <w:t>11100011 → 11100011000</w:t>
      </w:r>
    </w:p>
    <w:p w14:paraId="52616BCD">
      <w:r>
        <w:t>Step 2: Perform modulo-2 (XOR) long division using divisor 1001. At each step, whenever the leftmost bit is 1, XOR with 1001; otherwise XOR with 0000 and bring down the next bit. After completing the division, the final remainder is 100.</w:t>
      </w:r>
    </w:p>
    <w:p w14:paraId="410311F4">
      <w:r>
        <w:t>Step 3: Append the remainder to the original message.</w:t>
      </w:r>
      <w:r>
        <w:br w:type="textWrapping"/>
      </w:r>
      <w:r>
        <w:t>Transmitted codeword = 11100011 + 100 = 11100011100.</w:t>
      </w:r>
    </w:p>
    <w:p w14:paraId="28A6A616">
      <w:r>
        <w:t>Error case: If the leftmost transmitted bit is inverted, the receiver divides the received codeword by 1001. The remainder is non-zero (not 000), so the CRC check fails and the receiver detects an error.</w:t>
      </w:r>
    </w:p>
    <w:p w14:paraId="54884CA1">
      <w:pPr>
        <w:pStyle w:val="2"/>
      </w:pPr>
      <w:r>
        <w:t>2(a). Throughput</w:t>
      </w:r>
    </w:p>
    <w:p w14:paraId="7B9F5C99">
      <w:r>
        <w:t>Bandwidth = 10 Mbps</w:t>
      </w:r>
      <w:r>
        <w:br w:type="textWrapping"/>
      </w:r>
      <w:r>
        <w:t>Frames/minute = 12,000</w:t>
      </w:r>
      <w:r>
        <w:br w:type="textWrapping"/>
      </w:r>
      <w:r>
        <w:t>Frame size = 10,000 bits</w:t>
      </w:r>
    </w:p>
    <w:p w14:paraId="5408A305">
      <w:r>
        <w:t>Bits transmitted per minute = 12,000 × 10,000 = 120,000,000 bits.</w:t>
      </w:r>
    </w:p>
    <w:p w14:paraId="0C05A1D4">
      <w:r>
        <w:t>Throughput = 120,000,000 / 60 = 2,000,000 bps = 2 Mbps.</w:t>
      </w:r>
    </w:p>
    <w:p w14:paraId="3B08EF18">
      <w:r>
        <w:t>Efficiency = (2/10) × 100 = 20%.</w:t>
      </w:r>
    </w:p>
    <w:p w14:paraId="795B347B">
      <w:pPr>
        <w:pStyle w:val="2"/>
      </w:pPr>
      <w:r>
        <w:t>2(b). Shannon Channel Capacity</w:t>
      </w:r>
    </w:p>
    <w:p w14:paraId="60594801">
      <w:r>
        <w:t>Formula: C = B log2(1 + S/N)</w:t>
      </w:r>
    </w:p>
    <w:p w14:paraId="3427F458">
      <w:r>
        <w:t>B = 3000 Hz</w:t>
      </w:r>
      <w:r>
        <w:br w:type="textWrapping"/>
      </w:r>
      <w:r>
        <w:t>S/N = 3162</w:t>
      </w:r>
    </w:p>
    <w:p w14:paraId="22A72287">
      <w:r>
        <w:t>C = 3000 × log2(3163)</w:t>
      </w:r>
      <w:r>
        <w:br w:type="textWrapping"/>
      </w:r>
      <w:r>
        <w:t>≈ 3000 × 11.63</w:t>
      </w:r>
      <w:r>
        <w:br w:type="textWrapping"/>
      </w:r>
      <w:r>
        <w:t>≈ 34,890 bps ≈ 34.9 kbps.</w:t>
      </w:r>
    </w:p>
    <w:p w14:paraId="4C4BB3EB">
      <w:pPr>
        <w:pStyle w:val="2"/>
      </w:pPr>
      <w:r>
        <w:t>3. Hamming (12,8) Error Correcting Code</w:t>
      </w:r>
    </w:p>
    <w:p w14:paraId="19381946">
      <w:r>
        <w:t>Hamming (12,8) uses 8 data bits and 4 parity bits (positions 1,2,4,8).</w:t>
      </w:r>
    </w:p>
    <w:p w14:paraId="69A24BD0">
      <w:r>
        <w:t>Steps:</w:t>
      </w:r>
      <w:r>
        <w:br w:type="textWrapping"/>
      </w:r>
      <w:r>
        <w:t>1. Place data bits in remaining positions.</w:t>
      </w:r>
      <w:r>
        <w:br w:type="textWrapping"/>
      </w:r>
      <w:r>
        <w:t>2. Calculate parity bits.</w:t>
      </w:r>
      <w:r>
        <w:br w:type="textWrapping"/>
      </w:r>
      <w:r>
        <w:t>3. Transmit 12-bit codeword.</w:t>
      </w:r>
      <w:r>
        <w:br w:type="textWrapping"/>
      </w:r>
      <w:r>
        <w:t>4. At the receiver, recompute parity.</w:t>
      </w:r>
      <w:r>
        <w:br w:type="textWrapping"/>
      </w:r>
      <w:r>
        <w:t>5. The syndrome indicates the incorrect bit position.</w:t>
      </w:r>
      <w:r>
        <w:br w:type="textWrapping"/>
      </w:r>
      <w:r>
        <w:t>6. Flip that bit to recover the original data.</w:t>
      </w:r>
    </w:p>
    <w:p w14:paraId="12573774">
      <w:r>
        <w:t>Advantages: Corrects one-bit error, detects single-bit corruption, avoids retransmission, improves reliability in wireless medical monitoring.</w:t>
      </w:r>
    </w:p>
    <w:p w14:paraId="07CFC3A5">
      <w:pPr>
        <w:pStyle w:val="2"/>
      </w:pPr>
      <w:r>
        <w:t>4(a). IPv4 Subnetting</w:t>
      </w:r>
    </w:p>
    <w:p w14:paraId="3EF46602">
      <w:r>
        <w:t>Given Network = 172.16.10.0/24</w:t>
      </w:r>
      <w:r>
        <w:br w:type="textWrapping"/>
      </w:r>
      <w:r>
        <w:t>Subnet Mask = /27</w:t>
      </w:r>
    </w:p>
    <w:p w14:paraId="6DF76885">
      <w:r>
        <w:t>Borrowed bits = 27 - 24 = 3</w:t>
      </w:r>
      <w:r>
        <w:br w:type="textWrapping"/>
      </w:r>
      <w:r>
        <w:t>Subnets = 2^3 = 8</w:t>
      </w:r>
    </w:p>
    <w:p w14:paraId="73F2F63C">
      <w:r>
        <w:t>Host bits = 5</w:t>
      </w:r>
      <w:r>
        <w:br w:type="textWrapping"/>
      </w:r>
      <w:r>
        <w:t>Addresses per subnet = 2^5 = 32</w:t>
      </w:r>
      <w:r>
        <w:br w:type="textWrapping"/>
      </w:r>
      <w:r>
        <w:t>Usable hosts = 30</w:t>
      </w:r>
    </w:p>
    <w:p w14:paraId="3A599387">
      <w:r>
        <w:t>Subnet ranges:</w:t>
      </w:r>
      <w:r>
        <w:br w:type="textWrapping"/>
      </w:r>
      <w:r>
        <w:t>0-31, 32-63, 64-95, 96-127, 128-159, 160-191, 192-223, 224-255</w:t>
      </w:r>
    </w:p>
    <w:p w14:paraId="480F8701">
      <w:r>
        <w:t>172.16.10.78 lies in subnet 172.16.10.64/27.</w:t>
      </w:r>
      <w:r>
        <w:br w:type="textWrapping"/>
      </w:r>
      <w:r>
        <w:t>Network Address = 172.16.10.64</w:t>
      </w:r>
      <w:r>
        <w:br w:type="textWrapping"/>
      </w:r>
      <w:r>
        <w:t>Broadcast Address = 172.16.10.95</w:t>
      </w:r>
      <w:r>
        <w:br w:type="textWrapping"/>
      </w:r>
      <w:r>
        <w:t>Usable Hosts = 172.16.10.65 to 172.16.10.94.</w:t>
      </w:r>
    </w:p>
    <w:p w14:paraId="01111BFE">
      <w:r>
        <w:t>172.16.10.95 is the broadcast address, so it belongs to the same subnet but cannot be assigned to a host.</w:t>
      </w:r>
    </w:p>
    <w:p w14:paraId="1F172014">
      <w:pPr>
        <w:pStyle w:val="2"/>
      </w:pPr>
      <w:r>
        <w:t>4(b). IPv6</w:t>
      </w:r>
    </w:p>
    <w:p w14:paraId="470F7CDF">
      <w:r>
        <w:t>Address: 2001:0db8:0000:0000:0000:ff00:0042:8329</w:t>
      </w:r>
    </w:p>
    <w:p w14:paraId="412E9E3E">
      <w:r>
        <w:t>Compressed form: 2001:db8::ff00:42:8329</w:t>
      </w:r>
    </w:p>
    <w:p w14:paraId="0217C7CA">
      <w:r>
        <w:t>Expanded form: 2001:0db8:0000:0000:0000:ff00:0042:8329</w:t>
      </w:r>
    </w:p>
    <w:p w14:paraId="0F9113F9">
      <w:r>
        <w:t>Using /64 prefix, network prefix = 2001:0db8:0000:0000::/64</w:t>
      </w:r>
    </w:p>
    <w:p w14:paraId="6D027AE2">
      <w:r>
        <w:t>Host bits = 64</w:t>
      </w:r>
      <w:r>
        <w:br w:type="textWrapping"/>
      </w:r>
      <w:r>
        <w:t>Possible host addresses = 2^64 = 18,446,744,073,709,551,616</w:t>
      </w:r>
    </w:p>
    <w:p w14:paraId="5759BA86">
      <w:pPr>
        <w:pStyle w:val="2"/>
      </w:pPr>
      <w:r>
        <w:t>5. Flow Control Analysis</w:t>
      </w:r>
    </w:p>
    <w:p w14:paraId="667B704D">
      <w:r>
        <w:t>Problem identified: Flow Control.</w:t>
      </w:r>
    </w:p>
    <w:p w14:paraId="390E3EF6">
      <w:r>
        <w:t>The server sends data at 10 Gbps while many clients receive at only 5–100 Mbps. Because receivers process data more slowly, their buffers fill up and overflow. Packets are dropped, acknowledgements are delayed, TCP retransmits lost packets, network congestion increases, and students experience slow or incomplete downloads.</w:t>
      </w:r>
    </w:p>
    <w:p w14:paraId="7E0414AB">
      <w:r>
        <w:t>Solution: TCP flow control using the sliding window mechanism adjusts the sender's transmission rate according to the receiver's advertised window, preventing buffer overflow and improving reliability.</w:t>
      </w:r>
    </w:p>
    <w:p w14:paraId="53132BEB">
      <w:r>
        <w:br w:type="page"/>
      </w:r>
    </w:p>
    <w:p w14:paraId="4EAFA028">
      <w:pPr>
        <w:pStyle w:val="2"/>
      </w:pPr>
      <w:r>
        <w:t>Additional Notes 1</w:t>
      </w:r>
    </w:p>
    <w:p w14:paraId="2D65A9EF">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3D10C377">
      <w:r>
        <w:br w:type="page"/>
      </w:r>
    </w:p>
    <w:p w14:paraId="132F2564">
      <w:pPr>
        <w:pStyle w:val="2"/>
      </w:pPr>
      <w:r>
        <w:t>Additional Notes 2</w:t>
      </w:r>
    </w:p>
    <w:p w14:paraId="17D5EA7F">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6773AC15">
      <w:r>
        <w:br w:type="page"/>
      </w:r>
    </w:p>
    <w:p w14:paraId="1F38986B">
      <w:pPr>
        <w:pStyle w:val="2"/>
      </w:pPr>
      <w:r>
        <w:t>Additional Notes 3</w:t>
      </w:r>
    </w:p>
    <w:p w14:paraId="1AF8A63A">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1C3C7094">
      <w:r>
        <w:br w:type="page"/>
      </w:r>
    </w:p>
    <w:p w14:paraId="0DAE2A8E">
      <w:pPr>
        <w:pStyle w:val="2"/>
      </w:pPr>
      <w:r>
        <w:t>Additional Notes 4</w:t>
      </w:r>
    </w:p>
    <w:p w14:paraId="2465C1E2">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4003A2E8">
      <w:r>
        <w:br w:type="page"/>
      </w:r>
    </w:p>
    <w:p w14:paraId="2CA8DE4E">
      <w:pPr>
        <w:pStyle w:val="2"/>
      </w:pPr>
      <w:r>
        <w:t>Additional Notes 5</w:t>
      </w:r>
    </w:p>
    <w:p w14:paraId="7960D96A">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4B27356C">
      <w:r>
        <w:br w:type="page"/>
      </w:r>
    </w:p>
    <w:p w14:paraId="375DACB9">
      <w:pPr>
        <w:pStyle w:val="2"/>
      </w:pPr>
      <w:r>
        <w:t>Additional Notes 6</w:t>
      </w:r>
    </w:p>
    <w:p w14:paraId="543A9781">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2C81EBF5">
      <w:r>
        <w:br w:type="page"/>
      </w:r>
    </w:p>
    <w:p w14:paraId="60CAA830">
      <w:pPr>
        <w:pStyle w:val="2"/>
      </w:pPr>
      <w:r>
        <w:t>Additional Notes 7</w:t>
      </w:r>
    </w:p>
    <w:p w14:paraId="1B1522CF">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66DA2B3E">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6B6AFDC-34A2-458E-9C5F-97F75864350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EDDF67A-BBAA-4096-B5CF-283DACE1AB71}"/>
  </w:font>
  <w:font w:name="Wingdings">
    <w:panose1 w:val="05000000000000000000"/>
    <w:charset w:val="02"/>
    <w:family w:val="auto"/>
    <w:pitch w:val="default"/>
    <w:sig w:usb0="00000000" w:usb1="00000000" w:usb2="00000000" w:usb3="00000000" w:csb0="80000000" w:csb1="00000000"/>
    <w:embedRegular r:id="rId3" w:fontKey="{D1D84483-7476-4EB8-AE61-3C141565F2DB}"/>
  </w:font>
  <w:font w:name="Calibri">
    <w:panose1 w:val="020F0502020204030204"/>
    <w:charset w:val="00"/>
    <w:family w:val="swiss"/>
    <w:pitch w:val="default"/>
    <w:sig w:usb0="E4002EFF" w:usb1="C200247B" w:usb2="00000009" w:usb3="00000000" w:csb0="200001FF" w:csb1="00000000"/>
    <w:embedRegular r:id="rId4" w:fontKey="{1A8BB57C-6F31-49DA-9FF5-FC9983C0332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930"/>
    <w:rsid w:val="00043777"/>
    <w:rsid w:val="000B3930"/>
    <w:rsid w:val="00226E78"/>
    <w:rsid w:val="00A45763"/>
    <w:rsid w:val="00E158CF"/>
    <w:rsid w:val="027E5B8D"/>
    <w:rsid w:val="245020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0"/>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qFormat/>
    <w:uiPriority w:val="0"/>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qFormat/>
    <w:uiPriority w:val="0"/>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qFormat/>
    <w:uiPriority w:val="0"/>
    <w:pPr>
      <w:keepNext/>
      <w:keepLines/>
      <w:spacing w:before="280" w:after="80" w:line="276" w:lineRule="auto"/>
      <w:outlineLvl w:val="3"/>
    </w:pPr>
    <w:rPr>
      <w:rFonts w:ascii="Arial" w:hAnsi="Arial" w:eastAsia="Arial" w:cs="Arial"/>
      <w:color w:val="666666"/>
    </w:rPr>
  </w:style>
  <w:style w:type="paragraph" w:styleId="6">
    <w:name w:val="heading 5"/>
    <w:basedOn w:val="1"/>
    <w:next w:val="1"/>
    <w:qFormat/>
    <w:uiPriority w:val="0"/>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qFormat/>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Subtitle"/>
    <w:basedOn w:val="1"/>
    <w:next w:val="1"/>
    <w:qFormat/>
    <w:uiPriority w:val="0"/>
    <w:pPr>
      <w:keepNext/>
      <w:keepLines/>
      <w:spacing w:after="320" w:line="276" w:lineRule="auto"/>
    </w:pPr>
    <w:rPr>
      <w:rFonts w:ascii="Arial" w:hAnsi="Arial" w:eastAsia="Arial" w:cs="Arial"/>
      <w:color w:val="666666"/>
      <w:sz w:val="30"/>
      <w:szCs w:val="30"/>
    </w:rPr>
  </w:style>
  <w:style w:type="paragraph" w:styleId="12">
    <w:name w:val="Title"/>
    <w:basedOn w:val="1"/>
    <w:next w:val="1"/>
    <w:qFormat/>
    <w:uiPriority w:val="0"/>
    <w:pPr>
      <w:keepNext/>
      <w:keepLines/>
      <w:spacing w:after="60" w:line="276" w:lineRule="auto"/>
    </w:pPr>
    <w:rPr>
      <w:rFonts w:ascii="Arial" w:hAnsi="Arial" w:eastAsia="Arial" w:cs="Arial"/>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14</Pages>
  <Words>1659</Words>
  <Characters>9343</Characters>
  <Lines>37</Lines>
  <Paragraphs>10</Paragraphs>
  <TotalTime>6</TotalTime>
  <ScaleCrop>false</ScaleCrop>
  <LinksUpToDate>false</LinksUpToDate>
  <CharactersWithSpaces>10864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2026-07-24T02:22:00Z</dcterms:created>
  <dc:creator>Parthipan</dc:creator>
  <cp:lastModifiedBy>perar</cp:lastModifiedBy>
  <dcterms:modified xsi:type="dcterms:W3CDTF">2026-07-25T04:40:15Z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eyJoZGlkIjoiODkzZTgwNzQ0NzRhMTk1OTg1N2NjZjlmYzdmNTQyYzgiLCJ1c2VySWQiOiI1Njc2MjI1OTA3NzYifQ==</vt:lpwstr>
  </property>
  <property fmtid="{D5CDD505-2E9C-101B-9397-08002B2CF9AE}" pid="3" name="KSOProductBuildVer">
    <vt:lpwstr>1033-12.1.0.26880</vt:lpwstr>
  </property>
  <property fmtid="{D5CDD505-2E9C-101B-9397-08002B2CF9AE}" pid="4" name="ICV">
    <vt:lpwstr>31D9C02113494F6B8CE6F4A6F046E385_13</vt:lpwstr>
  </property>
</Properties>
</file>