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i w:val="false"/>
          <w:iCs w:val="false"/>
          <w:sz w:val="30"/>
          <w:szCs w:val="30"/>
        </w:rPr>
        <w:t xml:space="preserve">SIMATS ENGINEERING</w:t>
      </w:r>
    </w:p>
    <w:p>
      <w:pPr>
        <w:spacing w:after="200" w:line="276"/>
        <w:jc w:val="center"/>
      </w:pPr>
      <w:r>
        <w:rPr>
          <w:rFonts w:ascii="Times New Roman" w:cs="Times New Roman" w:eastAsia="Times New Roman" w:hAnsi="Times New Roman"/>
          <w:b/>
          <w:bCs/>
          <w:i w:val="false"/>
          <w:iCs w:val="false"/>
          <w:sz w:val="26"/>
          <w:szCs w:val="26"/>
        </w:rPr>
        <w:t xml:space="preserve">ASSESSMENT TOOL 1</w:t>
      </w:r>
    </w:p>
    <w:p>
      <w:pPr>
        <w:spacing w:after="200" w:line="276"/>
        <w:jc w:val="center"/>
      </w:pPr>
      <w:r>
        <w:rPr>
          <w:rFonts w:ascii="Times New Roman" w:cs="Times New Roman" w:eastAsia="Times New Roman" w:hAnsi="Times New Roman"/>
          <w:b/>
          <w:bCs/>
          <w:i w:val="false"/>
          <w:iCs w:val="false"/>
          <w:sz w:val="24"/>
          <w:szCs w:val="24"/>
        </w:rPr>
        <w:t xml:space="preserve">COURSE CODE: CSA51      COURSE NAME: Cryptography and Network Security</w:t>
      </w:r>
    </w:p>
    <w:p>
      <w:pPr>
        <w:spacing w:after="100" w:line="276"/>
        <w:jc w:val="center"/>
      </w:pPr>
      <w:r>
        <w:rPr>
          <w:rFonts w:ascii="Times New Roman" w:cs="Times New Roman" w:eastAsia="Times New Roman" w:hAnsi="Times New Roman"/>
          <w:b/>
          <w:bCs/>
          <w:i w:val="false"/>
          <w:iCs w:val="false"/>
          <w:sz w:val="24"/>
          <w:szCs w:val="24"/>
        </w:rPr>
        <w:t xml:space="preserve">COURSE OUTCOME COVERED</w:t>
      </w:r>
    </w:p>
    <w:p>
      <w:pPr>
        <w:spacing w:after="200" w:line="276"/>
        <w:jc w:val="both"/>
      </w:pPr>
      <w:r>
        <w:rPr>
          <w:rFonts w:ascii="Times New Roman" w:cs="Times New Roman" w:eastAsia="Times New Roman" w:hAnsi="Times New Roman"/>
          <w:b w:val="false"/>
          <w:bCs w:val="false"/>
          <w:i w:val="false"/>
          <w:iCs w:val="false"/>
          <w:sz w:val="24"/>
          <w:szCs w:val="24"/>
        </w:rPr>
        <w:t xml:space="preserve">CO2: Analyze Public Key crypto system strategies using RSA and Key Exchange for Encryption algorithm to strengthen information security. (BL4, BL5)</w:t>
      </w:r>
    </w:p>
    <w:p>
      <w:pPr>
        <w:spacing w:after="80" w:line="276"/>
        <w:jc w:val="left"/>
      </w:pPr>
      <w:r>
        <w:rPr>
          <w:rFonts w:ascii="Times New Roman" w:cs="Times New Roman" w:eastAsia="Times New Roman" w:hAnsi="Times New Roman"/>
          <w:b w:val="false"/>
          <w:bCs w:val="false"/>
          <w:i w:val="false"/>
          <w:iCs w:val="false"/>
          <w:sz w:val="24"/>
          <w:szCs w:val="24"/>
        </w:rPr>
        <w:t xml:space="preserve">Analytical Problem Solving: 40%</w:t>
      </w:r>
    </w:p>
    <w:p>
      <w:pPr>
        <w:spacing w:after="260" w:line="276"/>
        <w:jc w:val="left"/>
      </w:pPr>
      <w:r>
        <w:rPr>
          <w:rFonts w:ascii="Times New Roman" w:cs="Times New Roman" w:eastAsia="Times New Roman" w:hAnsi="Times New Roman"/>
          <w:b w:val="false"/>
          <w:bCs w:val="false"/>
          <w:i w:val="false"/>
          <w:iCs w:val="false"/>
          <w:sz w:val="24"/>
          <w:szCs w:val="24"/>
        </w:rPr>
        <w:t xml:space="preserve">QUESTIONS:                                                       Total Marks: 50</w:t>
      </w:r>
    </w:p>
    <w:p>
      <w:pPr>
        <w:spacing w:after="260" w:line="276"/>
        <w:jc w:val="center"/>
      </w:pPr>
      <w:r>
        <w:rPr>
          <w:rFonts w:ascii="Times New Roman" w:cs="Times New Roman" w:eastAsia="Times New Roman" w:hAnsi="Times New Roman"/>
          <w:b/>
          <w:bCs/>
          <w:i w:val="false"/>
          <w:iCs w:val="false"/>
          <w:sz w:val="24"/>
          <w:szCs w:val="24"/>
        </w:rPr>
        <w:t xml:space="preserve">Annexure A</w:t>
      </w:r>
    </w:p>
    <w:p>
      <w:pPr>
        <w:spacing w:after="120" w:line="276"/>
        <w:jc w:val="left"/>
      </w:pPr>
      <w:r>
        <w:rPr>
          <w:rFonts w:ascii="Times New Roman" w:cs="Times New Roman" w:eastAsia="Times New Roman" w:hAnsi="Times New Roman"/>
          <w:b/>
          <w:bCs/>
          <w:i w:val="false"/>
          <w:iCs w:val="false"/>
          <w:sz w:val="24"/>
          <w:szCs w:val="24"/>
        </w:rPr>
        <w:t xml:space="preserve">Code of Conduct:</w:t>
      </w:r>
    </w:p>
    <w:p>
      <w:pPr>
        <w:spacing w:after="120" w:line="276"/>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76"/>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76"/>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76"/>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100" w:before="220"/>
      </w:pPr>
      <w:r>
        <w:rPr>
          <w:rFonts w:ascii="Times New Roman" w:cs="Times New Roman" w:eastAsia="Times New Roman" w:hAnsi="Times New Roman"/>
          <w:b/>
          <w:bCs/>
          <w:sz w:val="26"/>
          <w:szCs w:val="26"/>
        </w:rPr>
        <w:t xml:space="preserve">7. Digital Signature Verification</w:t>
      </w:r>
    </w:p>
    <w:p>
      <w:pPr>
        <w:spacing w:after="140" w:line="276"/>
        <w:jc w:val="both"/>
      </w:pPr>
      <w:r>
        <w:rPr>
          <w:rFonts w:ascii="Times New Roman" w:cs="Times New Roman" w:eastAsia="Times New Roman" w:hAnsi="Times New Roman"/>
          <w:b w:val="false"/>
          <w:bCs w:val="false"/>
          <w:i/>
          <w:iCs/>
          <w:sz w:val="24"/>
          <w:szCs w:val="24"/>
        </w:rPr>
        <w:t xml:space="preserve">Scenario: A software company distributes application updates signed using RSA digital signatures.</w:t>
      </w:r>
    </w:p>
    <w:p>
      <w:pPr>
        <w:spacing w:after="80" w:before="120"/>
      </w:pPr>
      <w:r>
        <w:rPr>
          <w:rFonts w:ascii="Times New Roman" w:cs="Times New Roman" w:eastAsia="Times New Roman" w:hAnsi="Times New Roman"/>
          <w:b/>
          <w:bCs/>
          <w:sz w:val="24"/>
          <w:szCs w:val="24"/>
          <w:u w:val="single"/>
        </w:rPr>
        <w:t xml:space="preserve">1. How Users Verify the Authenticity of the Software</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Signing (company side): before releasing an update, the company computes a cryptographic hash (e.g., SHA-256) of the complete update file. This hash is a short, fixed-length fingerprint that changes drastically if even a single bit of the file changes. The company then encrypts this hash using its own RSA private key — this encrypted hash is the digital signature, and it is distributed alongside the update file, typically bundled in the installer or as a detached signature file.</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Verification (user side): the user's system (or the update-checking software) independently computes the hash of the update file it actually received, using the same hash function. It then decrypts the attached signature using the company's RSA public key — which is publicly known and typically distributed via a trusted digital certificate — to recover the hash value the company originally signed.</w:t>
      </w:r>
    </w:p>
    <w:p>
      <w:pPr>
        <w:spacing w:after="130" w:line="276"/>
        <w:ind w:left="30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Comparison: the freshly computed hash and the decrypted hash are compared. If they match exactly, two things are simultaneously confirmed: authenticity (the signature could only have been produced using the company's private key, since RSA signature verification with the public key only succeeds for data signed with the matching private key) and integrity (the file received is bit-for-bit identical to the file the company signed, since any modification — accidental corruption or deliberate tampering — would change the computed hash and cause a mismatch).</w:t>
      </w:r>
    </w:p>
    <w:p>
      <w:pPr>
        <w:spacing w:after="130" w:line="276"/>
        <w:ind w:left="30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Trust anchor: this entire process depends on the user's system genuinely possessing the company's authentic public key, which is normally guaranteed through a digital certificate issued by a trusted Certificate Authority (CA) as part of a Public Key Infrastructure (PKI), rather than a bare public key value that could itself be substituted by an attacker.</w:t>
      </w:r>
    </w:p>
    <w:p>
      <w:pPr>
        <w:spacing w:after="80" w:before="120"/>
      </w:pPr>
      <w:r>
        <w:rPr>
          <w:rFonts w:ascii="Times New Roman" w:cs="Times New Roman" w:eastAsia="Times New Roman" w:hAnsi="Times New Roman"/>
          <w:b/>
          <w:bCs/>
          <w:sz w:val="24"/>
          <w:szCs w:val="24"/>
          <w:u w:val="single"/>
        </w:rPr>
        <w:t xml:space="preserve">2. Consequences if the Company's Private Key is Compromised</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Forged signatures become possible: an attacker who obtains the private key can sign arbitrary files — including malicious or tampered updates — and these forged signatures will verify successfully against the company's genuine, already-trusted public key, since the verification process has no way to distinguish a signature made by the legitimate company from one made by anyone else holding the same private key.</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Silent, trusted malware distribution: because the update-checking software sees a valid signature, it will accept and install the attacker's malicious update exactly as it would a legitimate one, meaning the compromise can be exploited to push malware to every user of the software under the guise of a routine, trusted update — a particularly damaging and hard-to-detect attack vector precisely because it abuses the very mechanism meant to establish trust.</w:t>
      </w:r>
    </w:p>
    <w:p>
      <w:pPr>
        <w:spacing w:after="130" w:line="276"/>
        <w:ind w:left="30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Retroactive doubt: once a compromise is discovered (or even suspected), every update ever signed with that private key becomes suspect, since there is no way to distinguish, after the fact, which signed releases were genuinely produced by the company and which (if any) were forged during the period the key was compromised, unless additional safeguards such as timestamping or key-usage logs were already in place.</w:t>
      </w:r>
    </w:p>
    <w:p>
      <w:pPr>
        <w:spacing w:after="130" w:line="276"/>
        <w:ind w:left="30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Required incident response: recovery requires immediately revoking the compromised key by publishing it to a Certificate Revocation List (CRL) or via the Online Certificate Status Protocol (OCSP), generating a new key pair through a secure process, securely distributing the new public key/certificate to all users (itself a delicate bootstrapping problem, since the compromised channel can no longer be fully trusted), re-signing all legitimate current releases with the new key, and transparently notifying users and auditing recent releases for signs of tampering — a costly process that also causes serious, lasting damage to user trust and the company's reputation.</w:t>
      </w:r>
    </w:p>
    <w:p>
      <w:pPr>
        <w:spacing w:after="100" w:before="220"/>
      </w:pPr>
      <w:r>
        <w:rPr>
          <w:rFonts w:ascii="Times New Roman" w:cs="Times New Roman" w:eastAsia="Times New Roman" w:hAnsi="Times New Roman"/>
          <w:b/>
          <w:bCs/>
          <w:sz w:val="26"/>
          <w:szCs w:val="26"/>
        </w:rPr>
        <w:t xml:space="preserve">8. Hybrid Encryption Analysis</w:t>
      </w:r>
    </w:p>
    <w:p>
      <w:pPr>
        <w:spacing w:after="140" w:line="276"/>
        <w:jc w:val="both"/>
      </w:pPr>
      <w:r>
        <w:rPr>
          <w:rFonts w:ascii="Times New Roman" w:cs="Times New Roman" w:eastAsia="Times New Roman" w:hAnsi="Times New Roman"/>
          <w:b w:val="false"/>
          <w:bCs w:val="false"/>
          <w:i/>
          <w:iCs/>
          <w:sz w:val="24"/>
          <w:szCs w:val="24"/>
        </w:rPr>
        <w:t xml:space="preserve">Scenario: A company uses RSA to exchange an AES session key before encrypted communication begins.</w:t>
      </w:r>
    </w:p>
    <w:p>
      <w:pPr>
        <w:spacing w:after="80" w:before="120"/>
      </w:pPr>
      <w:r>
        <w:rPr>
          <w:rFonts w:ascii="Times New Roman" w:cs="Times New Roman" w:eastAsia="Times New Roman" w:hAnsi="Times New Roman"/>
          <w:b/>
          <w:bCs/>
          <w:sz w:val="24"/>
          <w:szCs w:val="24"/>
          <w:u w:val="single"/>
        </w:rPr>
        <w:t xml:space="preserve">1. Limitations of Using RSA Alone for Large Files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Computational cost: RSA is built on modular exponentiation with very large numbers (1024–4096-bit moduli in practice), which is computationally far more expensive per byte than symmetric algorithms like AES. Encrypting an entire large file directly with RSA would require this expensive operation to be applied repeatedly across the whole file, making it orders of magnitude slower than symmetric encryption for anything beyond a small piece of data.</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Message-size limitation: RSA cannot directly encrypt a plaintext block larger than its modulus size (minus padding overhead) in a single operation — a 2048-bit RSA key, for instance, can only encrypt messages of at most a few hundred bytes at a time. Encrypting a large file would therefore require manually splitting it into many small blocks and RSA-encrypting each one separately, which is inefficient, increases ciphertext size significantly (RSA ciphertext blocks are large relative to the plaintext they encrypt), and introduces additional complexity and potential security pitfalls in how blocks are structured and padded.</w:t>
      </w:r>
    </w:p>
    <w:p>
      <w:pPr>
        <w:spacing w:after="80" w:before="120"/>
      </w:pPr>
      <w:r>
        <w:rPr>
          <w:rFonts w:ascii="Times New Roman" w:cs="Times New Roman" w:eastAsia="Times New Roman" w:hAnsi="Times New Roman"/>
          <w:b/>
          <w:bCs/>
          <w:sz w:val="24"/>
          <w:szCs w:val="24"/>
          <w:u w:val="single"/>
        </w:rPr>
        <w:t xml:space="preserve">2. How the Hybrid Approach Works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Session key generation: a random symmetric key — an AES session key — is freshly generated for the communication session using a cryptographically secure random number generator.</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Key exchange via RSA: this small, fixed-size AES key (e.g., 128 or 256 bits) is encrypted using the recipient's RSA public key and sent over the (otherwise untrusted) channel. RSA is well suited to exactly this task, since it only needs to securely transmit a small amount of data and elegantly solves the key-distribution problem — the two parties do not need to have shared any secret beforehand.</w:t>
      </w:r>
    </w:p>
    <w:p>
      <w:pPr>
        <w:spacing w:after="130" w:line="276"/>
        <w:ind w:left="30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Bulk data encryption via AES: once the recipient decrypts the AES session key using their RSA private key, both parties use this shared AES key to encrypt and decrypt the actual, potentially large, communication data using fast symmetric encryption.</w:t>
      </w:r>
    </w:p>
    <w:p>
      <w:pPr>
        <w:spacing w:after="80" w:before="120"/>
      </w:pPr>
      <w:r>
        <w:rPr>
          <w:rFonts w:ascii="Times New Roman" w:cs="Times New Roman" w:eastAsia="Times New Roman" w:hAnsi="Times New Roman"/>
          <w:b/>
          <w:bCs/>
          <w:sz w:val="24"/>
          <w:szCs w:val="24"/>
          <w:u w:val="single"/>
        </w:rPr>
        <w:t xml:space="preserve">3. Why This is More Efficient and More Secure than RSA Alone</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Efficiency: AES symmetric encryption is dramatically faster than RSA for bulk data (often 100–1000 times faster in practice) and has no message-size restriction, so the hybrid scheme confines RSA's expensive operations to the tiny, one-time task of exchanging a session key, while the (potentially large) bulk of the communication is handled by the much faster AES algorithm — giving overall performance close to pure symmetric encryption while retaining RSA's key-exchange convenience.</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Security: using RSA alone for very large files would either be impractical (extremely slow) or would force the flawed approach of splitting the file into many RSA-encrypted blocks, which weakens the scheme's security guarantees (e.g., patterns across blocks, more exposed ciphertext for cryptanalysis, and greater complexity in correctly implementing padding for every block, any single mistake in which can introduce vulnerabilities). Restricting RSA's use to a single small, well-padded session-key exchange (typically using a secure padding scheme such as OAEP) minimizes RSA's attack surface, while AES — specifically designed and extensively vetted for bulk data encryption — securely and efficiently protects the actual communication content.</w:t>
      </w:r>
    </w:p>
    <w:p>
      <w:pPr>
        <w:spacing w:after="130" w:line="276"/>
        <w:ind w:left="30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Practicality: this hybrid pattern (RSA or another asymmetric algorithm for key exchange, plus a symmetric cipher for bulk data) is exactly how essentially all real-world secure communication protocols operate in practice — including TLS/HTTPS, secure email (S/MIME, PGP), and secure file-transfer protocols — precisely because it combines the key-distribution strength of asymmetric cryptography with the raw speed and efficiency of symmetric cryptography, making it the practical, industry-standard solution rather than choosing one algorithm type exclusively.</w:t>
      </w:r>
    </w:p>
    <w:p>
      <w:r>
        <w:br w:type="page"/>
      </w:r>
    </w:p>
    <w:p>
      <w:pPr>
        <w:spacing w:after="200" w:line="276"/>
        <w:jc w:val="center"/>
      </w:pPr>
      <w:r>
        <w:rPr>
          <w:rFonts w:ascii="Times New Roman" w:cs="Times New Roman" w:eastAsia="Times New Roman" w:hAnsi="Times New Roman"/>
          <w:b/>
          <w:bCs/>
          <w:i w:val="false"/>
          <w:iCs w:val="false"/>
          <w:sz w:val="26"/>
          <w:szCs w:val="26"/>
        </w:rPr>
        <w:t xml:space="preserve">RUBRICS FOR CALCULATION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700"/>
        <w:gridCol w:w="1700"/>
        <w:gridCol w:w="1700"/>
      </w:tblGrid>
      <w:tr>
        <w:trPr>
          <w:tblHeader/>
        </w:trPr>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1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(Exemplary)</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(Proficient)</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(Developing)</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Problem Understanding</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Clearly interprets problem, identifies all parameters and requirements accurately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Understands problem with minor gaps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Partial understanding; misses key elements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Misinterprets or unable to understand problem</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Method Selection</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Selects most appropriate method/formula with strong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Selects correct method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Inappropriate or partially correct method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select method</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Solution Process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Logical, systematic steps with correct approach throughout</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Mostly correct steps with minor mistakes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Disorganized steps; multiple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clear process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Accuracy of Calculation</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All calculations accurate; correct final answer</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Minor calculation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Frequent errors; incorrect final answer</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valid calculations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Interpretation of Results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Clearly interprets results with units and engineering relevance</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Basic interpretation with minor omissions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or unclear interpretation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interpretation</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2026-07-31T08:39:01.838Z</dcterms:created>
  <dcterms:modified xsi:type="dcterms:W3CDTF">2026-07-31T08:39:01.857Z</dcterms:modified>
</cp:coreProperties>
</file>

<file path=docProps/custom.xml><?xml version="1.0" encoding="utf-8"?>
<Properties xmlns="http://schemas.openxmlformats.org/officeDocument/2006/custom-properties" xmlns:vt="http://schemas.openxmlformats.org/officeDocument/2006/docPropsVTypes"/>
</file>