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1</w:t>
      </w:r>
    </w:p>
    <w:p>
      <w:pPr>
        <w:spacing w:after="200" w:line="276"/>
        <w:jc w:val="center"/>
      </w:pPr>
      <w:r>
        <w:rPr>
          <w:rFonts w:ascii="Times New Roman" w:cs="Times New Roman" w:eastAsia="Times New Roman" w:hAnsi="Times New Roman"/>
          <w:b/>
          <w:bCs/>
          <w:i w:val="false"/>
          <w:iCs w:val="false"/>
          <w:sz w:val="24"/>
          <w:szCs w:val="24"/>
        </w:rPr>
        <w:t xml:space="preserve">COURSE CODE: CSA51      COURSE NAME: Cryptography and Network Security</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Analyze Public Key crypto system strategies using RSA and Key Exchange for Encryption algorithm to strengthen information security. (BL4, BL5)</w:t>
      </w:r>
    </w:p>
    <w:p>
      <w:pPr>
        <w:spacing w:after="80" w:line="276"/>
        <w:jc w:val="left"/>
      </w:pPr>
      <w:r>
        <w:rPr>
          <w:rFonts w:ascii="Times New Roman" w:cs="Times New Roman" w:eastAsia="Times New Roman" w:hAnsi="Times New Roman"/>
          <w:b w:val="false"/>
          <w:bCs w:val="false"/>
          <w:i w:val="false"/>
          <w:iCs w:val="false"/>
          <w:sz w:val="24"/>
          <w:szCs w:val="24"/>
        </w:rPr>
        <w:t xml:space="preserve">Analytical Problem Solving: 40%</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Total Marks: 50</w:t>
      </w:r>
    </w:p>
    <w:p>
      <w:pPr>
        <w:spacing w:after="260" w:line="276"/>
        <w:jc w:val="center"/>
      </w:pPr>
      <w:r>
        <w:rPr>
          <w:rFonts w:ascii="Times New Roman" w:cs="Times New Roman" w:eastAsia="Times New Roman" w:hAnsi="Times New Roman"/>
          <w:b/>
          <w:bCs/>
          <w:i w:val="false"/>
          <w:iCs w:val="false"/>
          <w:sz w:val="24"/>
          <w:szCs w:val="24"/>
        </w:rPr>
        <w:t xml:space="preserve">Annexure A</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1. RSA Encryption Analysis</w:t>
      </w:r>
    </w:p>
    <w:p>
      <w:pPr>
        <w:spacing w:after="140" w:line="276"/>
        <w:jc w:val="both"/>
      </w:pPr>
      <w:r>
        <w:rPr>
          <w:rFonts w:ascii="Times New Roman" w:cs="Times New Roman" w:eastAsia="Times New Roman" w:hAnsi="Times New Roman"/>
          <w:b/>
          <w:bCs/>
          <w:i w:val="false"/>
          <w:iCs w:val="false"/>
          <w:sz w:val="24"/>
          <w:szCs w:val="24"/>
        </w:rPr>
        <w:t xml:space="preserve">Given: p = 11, q = 13, e = 7, Message M = 9</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 = p × q = 11 × 13 = 143.  φ(n) = (p − 1)(q − 1) = 10 × 12 = 120.</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 private key d must satisfy e × d ≡ 1 (mod φ(n)), i.e., 7d ≡ 1 (mod 120). Using the Extended Euclidean Algorithm, d = 103 (verification: 7 × 103 = 721 = 6 × 120 + 1, so 721 mod 120 = 1).</w:t>
      </w:r>
    </w:p>
    <w:p>
      <w:pPr>
        <w:spacing w:after="130" w:line="276"/>
        <w:ind w:left="30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Ciphertext C = M^e mod n = 9^7 mod 143 = 48.</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Decryption: M' = C^d mod n = 48^103 mod 143 = 9, which exactly matches the original message M = 9, confirming that the key pair (e = 7, d = 103) is correct.</w:t>
      </w:r>
    </w:p>
    <w:p>
      <w:pPr>
        <w:spacing w:after="130" w:line="276"/>
        <w:ind w:left="30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The public exponent e must always be coprime to φ(n); apart from this requirement, its value influences both performance and security. A very small e (such as e = 3), especially combined with weak or absent padding, can make RSA vulnerable to low-exponent attacks such as Coppersmith's attack or broadcast attacks when the same message is sent to multiple recipients with different moduli. A very large e increases the computational cost of encryption. In practice, a moderately sized e such as 65537 (2^16 + 1) is preferred because it is large enough to resist low-exponent attacks while still being efficient to compute (few 1-bits in binary, enabling fast modular exponentiation via square-and-multiply).</w:t>
      </w:r>
    </w:p>
    <w:p>
      <w:pPr>
        <w:spacing w:after="100" w:before="220"/>
      </w:pPr>
      <w:r>
        <w:rPr>
          <w:rFonts w:ascii="Times New Roman" w:cs="Times New Roman" w:eastAsia="Times New Roman" w:hAnsi="Times New Roman"/>
          <w:b/>
          <w:bCs/>
          <w:sz w:val="26"/>
          <w:szCs w:val="26"/>
        </w:rPr>
        <w:t xml:space="preserve">2. Block Cipher Mode Evaluation</w:t>
      </w:r>
    </w:p>
    <w:p>
      <w:pPr>
        <w:spacing w:after="100" w:line="276"/>
        <w:jc w:val="both"/>
      </w:pPr>
      <w:r>
        <w:rPr>
          <w:rFonts w:ascii="Times New Roman" w:cs="Times New Roman" w:eastAsia="Times New Roman" w:hAnsi="Times New Roman"/>
          <w:b/>
          <w:bCs/>
          <w:i w:val="false"/>
          <w:iCs w:val="false"/>
          <w:sz w:val="24"/>
          <w:szCs w:val="24"/>
        </w:rPr>
        <w:t xml:space="preserve">Given: Plaintext blocks P = [1010, 1010, 1111, 1010], Key K = 1100, IV = 0000</w:t>
      </w:r>
    </w:p>
    <w:p>
      <w:pPr>
        <w:spacing w:after="140" w:line="276"/>
        <w:jc w:val="both"/>
      </w:pPr>
      <w:r>
        <w:rPr>
          <w:rFonts w:ascii="Times New Roman" w:cs="Times New Roman" w:eastAsia="Times New Roman" w:hAnsi="Times New Roman"/>
          <w:b w:val="false"/>
          <w:bCs w:val="false"/>
          <w:i/>
          <w:iCs/>
          <w:sz w:val="24"/>
          <w:szCs w:val="24"/>
        </w:rPr>
        <w:t xml:space="preserve">(Each block is encrypted using a simple bitwise XOR operation with the key, E(X) = X ⊕ K, which is used here to illustrate how ECB and CBC modes behave.)</w:t>
      </w:r>
    </w:p>
    <w:p>
      <w:pPr>
        <w:spacing w:after="80" w:before="120"/>
      </w:pPr>
      <w:r>
        <w:rPr>
          <w:rFonts w:ascii="Times New Roman" w:cs="Times New Roman" w:eastAsia="Times New Roman" w:hAnsi="Times New Roman"/>
          <w:b/>
          <w:bCs/>
          <w:sz w:val="24"/>
          <w:szCs w:val="24"/>
          <w:u w:val="single"/>
        </w:rPr>
        <w:t xml:space="preserve">a. Encryption</w:t>
      </w:r>
    </w:p>
    <w:p>
      <w:pPr>
        <w:spacing w:after="60" w:line="276"/>
        <w:jc w:val="both"/>
      </w:pPr>
      <w:r>
        <w:rPr>
          <w:rFonts w:ascii="Times New Roman" w:cs="Times New Roman" w:eastAsia="Times New Roman" w:hAnsi="Times New Roman"/>
          <w:b/>
          <w:bCs/>
          <w:i w:val="false"/>
          <w:iCs w:val="false"/>
          <w:sz w:val="24"/>
          <w:szCs w:val="24"/>
        </w:rPr>
        <w:t xml:space="preserve">ECB Mode — every block is encrypted independently as C_i = P_i ⊕ K:</w:t>
      </w:r>
    </w:p>
    <w:p>
      <w:pPr>
        <w:spacing w:after="30" w:line="240"/>
        <w:jc w:val="left"/>
      </w:pPr>
      <w:r>
        <w:rPr>
          <w:rFonts w:ascii="Courier New" w:cs="Courier New" w:eastAsia="Courier New" w:hAnsi="Courier New"/>
          <w:sz w:val="22"/>
          <w:szCs w:val="22"/>
        </w:rPr>
        <w:t xml:space="preserve">C1 = 1010 XOR 1100 = 0110</w:t>
      </w:r>
    </w:p>
    <w:p>
      <w:pPr>
        <w:spacing w:after="30" w:line="240"/>
        <w:jc w:val="left"/>
      </w:pPr>
      <w:r>
        <w:rPr>
          <w:rFonts w:ascii="Courier New" w:cs="Courier New" w:eastAsia="Courier New" w:hAnsi="Courier New"/>
          <w:sz w:val="22"/>
          <w:szCs w:val="22"/>
        </w:rPr>
        <w:t xml:space="preserve">C2 = 1010 XOR 1100 = 0110</w:t>
      </w:r>
    </w:p>
    <w:p>
      <w:pPr>
        <w:spacing w:after="30" w:line="240"/>
        <w:jc w:val="left"/>
      </w:pPr>
      <w:r>
        <w:rPr>
          <w:rFonts w:ascii="Courier New" w:cs="Courier New" w:eastAsia="Courier New" w:hAnsi="Courier New"/>
          <w:sz w:val="22"/>
          <w:szCs w:val="22"/>
        </w:rPr>
        <w:t xml:space="preserve">C3 = 1111 XOR 1100 = 0011</w:t>
      </w:r>
    </w:p>
    <w:p>
      <w:pPr>
        <w:spacing w:after="140" w:line="240"/>
        <w:jc w:val="left"/>
      </w:pPr>
      <w:r>
        <w:rPr>
          <w:rFonts w:ascii="Courier New" w:cs="Courier New" w:eastAsia="Courier New" w:hAnsi="Courier New"/>
          <w:sz w:val="22"/>
          <w:szCs w:val="22"/>
        </w:rPr>
        <w:t xml:space="preserve">C4 = 1010 XOR 1100 = 0110</w:t>
      </w:r>
    </w:p>
    <w:p>
      <w:pPr>
        <w:spacing w:after="60" w:line="276"/>
        <w:jc w:val="both"/>
      </w:pPr>
      <w:r>
        <w:rPr>
          <w:rFonts w:ascii="Times New Roman" w:cs="Times New Roman" w:eastAsia="Times New Roman" w:hAnsi="Times New Roman"/>
          <w:b/>
          <w:bCs/>
          <w:i w:val="false"/>
          <w:iCs w:val="false"/>
          <w:sz w:val="24"/>
          <w:szCs w:val="24"/>
        </w:rPr>
        <w:t xml:space="preserve">CBC Mode — each block is chained: C_i = (P_i ⊕ C_(i-1)) ⊕ K, with C0 = IV = 0000:</w:t>
      </w:r>
    </w:p>
    <w:p>
      <w:pPr>
        <w:spacing w:after="30" w:line="240"/>
        <w:jc w:val="left"/>
      </w:pPr>
      <w:r>
        <w:rPr>
          <w:rFonts w:ascii="Courier New" w:cs="Courier New" w:eastAsia="Courier New" w:hAnsi="Courier New"/>
          <w:sz w:val="22"/>
          <w:szCs w:val="22"/>
        </w:rPr>
        <w:t xml:space="preserve">C1 = (1010 XOR 0000) XOR 1100 = 0110</w:t>
      </w:r>
    </w:p>
    <w:p>
      <w:pPr>
        <w:spacing w:after="30" w:line="240"/>
        <w:jc w:val="left"/>
      </w:pPr>
      <w:r>
        <w:rPr>
          <w:rFonts w:ascii="Courier New" w:cs="Courier New" w:eastAsia="Courier New" w:hAnsi="Courier New"/>
          <w:sz w:val="22"/>
          <w:szCs w:val="22"/>
        </w:rPr>
        <w:t xml:space="preserve">C2 = (1010 XOR 0110) XOR 1100 = 0000</w:t>
      </w:r>
    </w:p>
    <w:p>
      <w:pPr>
        <w:spacing w:after="30" w:line="240"/>
        <w:jc w:val="left"/>
      </w:pPr>
      <w:r>
        <w:rPr>
          <w:rFonts w:ascii="Courier New" w:cs="Courier New" w:eastAsia="Courier New" w:hAnsi="Courier New"/>
          <w:sz w:val="22"/>
          <w:szCs w:val="22"/>
        </w:rPr>
        <w:t xml:space="preserve">C3 = (1111 XOR 0000) XOR 1100 = 0011</w:t>
      </w:r>
    </w:p>
    <w:p>
      <w:pPr>
        <w:spacing w:after="160" w:line="240"/>
        <w:jc w:val="left"/>
      </w:pPr>
      <w:r>
        <w:rPr>
          <w:rFonts w:ascii="Courier New" w:cs="Courier New" w:eastAsia="Courier New" w:hAnsi="Courier New"/>
          <w:sz w:val="22"/>
          <w:szCs w:val="22"/>
        </w:rPr>
        <w:t xml:space="preserve">C4 = (1010 XOR 0011) XOR 1100 = 0101</w:t>
      </w:r>
    </w:p>
    <w:p>
      <w:pPr>
        <w:spacing w:after="80" w:before="120"/>
      </w:pPr>
      <w:r>
        <w:rPr>
          <w:rFonts w:ascii="Times New Roman" w:cs="Times New Roman" w:eastAsia="Times New Roman" w:hAnsi="Times New Roman"/>
          <w:b/>
          <w:bCs/>
          <w:sz w:val="24"/>
          <w:szCs w:val="24"/>
          <w:u w:val="single"/>
        </w:rPr>
        <w:t xml:space="preserve">b. Comparison of Ciphertext Outputs</w:t>
      </w:r>
    </w:p>
    <w:p>
      <w:pPr>
        <w:spacing w:after="160" w:line="276"/>
        <w:jc w:val="both"/>
      </w:pPr>
      <w:r>
        <w:rPr>
          <w:rFonts w:ascii="Times New Roman" w:cs="Times New Roman" w:eastAsia="Times New Roman" w:hAnsi="Times New Roman"/>
          <w:b w:val="false"/>
          <w:bCs w:val="false"/>
          <w:i w:val="false"/>
          <w:iCs w:val="false"/>
          <w:sz w:val="24"/>
          <w:szCs w:val="24"/>
        </w:rPr>
        <w:t xml:space="preserve">ECB output: 0110, 0110, 0011, 0110 — blocks 1, 2 and 4 produce the identical ciphertext 0110 because their plaintext blocks are identical. CBC output: 0110, 0000, 0011, 0101 — every ciphertext block is different, even though plaintext blocks 1, 2 and 4 are identical, because each block's ciphertext also depends on the previous ciphertext block through chaining.</w:t>
      </w:r>
    </w:p>
    <w:p>
      <w:pPr>
        <w:spacing w:after="80" w:before="120"/>
      </w:pPr>
      <w:r>
        <w:rPr>
          <w:rFonts w:ascii="Times New Roman" w:cs="Times New Roman" w:eastAsia="Times New Roman" w:hAnsi="Times New Roman"/>
          <w:b/>
          <w:bCs/>
          <w:sz w:val="24"/>
          <w:szCs w:val="24"/>
          <w:u w:val="single"/>
        </w:rPr>
        <w:t xml:space="preserve">c. Which Mode Hides Patterns Better</w:t>
      </w:r>
    </w:p>
    <w:p>
      <w:pPr>
        <w:spacing w:after="120" w:line="276"/>
        <w:jc w:val="both"/>
      </w:pPr>
      <w:r>
        <w:rPr>
          <w:rFonts w:ascii="Times New Roman" w:cs="Times New Roman" w:eastAsia="Times New Roman" w:hAnsi="Times New Roman"/>
          <w:b w:val="false"/>
          <w:bCs w:val="false"/>
          <w:i w:val="false"/>
          <w:iCs w:val="false"/>
          <w:sz w:val="24"/>
          <w:szCs w:val="24"/>
        </w:rPr>
        <w:t xml:space="preserve">CBC hides patterns far better than ECB. In ECB, identical plaintext blocks always map to identical ciphertext blocks, directly leaking the fact that blocks 1, 2 and 4 of the plaintext are the same — this is exactly the weakness that allows an observer to detect structure or repetition in encrypted data (e.g., the classic "ECB penguin" effect). In CBC, the XOR with the previous ciphertext block before encryption means that even identical plaintext blocks produce different ciphertext blocks, effectively randomising the output and hiding repeating patterns in the underlying data.</w:t>
      </w:r>
    </w:p>
    <w:p>
      <w:pPr>
        <w:spacing w:after="100" w:before="220"/>
      </w:pPr>
      <w:r>
        <w:rPr>
          <w:rFonts w:ascii="Times New Roman" w:cs="Times New Roman" w:eastAsia="Times New Roman" w:hAnsi="Times New Roman"/>
          <w:b/>
          <w:bCs/>
          <w:sz w:val="26"/>
          <w:szCs w:val="26"/>
        </w:rPr>
        <w:t xml:space="preserve">3. DES vs 3-DES vs Blowfish Performance Study</w:t>
      </w:r>
    </w:p>
    <w:p>
      <w:pPr>
        <w:spacing w:after="140" w:line="276"/>
        <w:jc w:val="both"/>
      </w:pPr>
      <w:r>
        <w:rPr>
          <w:rFonts w:ascii="Times New Roman" w:cs="Times New Roman" w:eastAsia="Times New Roman" w:hAnsi="Times New Roman"/>
          <w:b w:val="false"/>
          <w:bCs w:val="false"/>
          <w:i w:val="false"/>
          <w:iCs w:val="false"/>
          <w:sz w:val="24"/>
          <w:szCs w:val="24"/>
        </w:rPr>
        <w:t xml:space="preserve">Given: DES — 56-bit key, 2 ms/block; 3-DES — 168-bit key, 6 ms/block; Blowfish — 128-bit key, 1 ms/block. For 1000 blocks of data:</w:t>
      </w:r>
    </w:p>
    <w:p>
      <w:pPr>
        <w:spacing w:after="80" w:before="120"/>
      </w:pPr>
      <w:r>
        <w:rPr>
          <w:rFonts w:ascii="Times New Roman" w:cs="Times New Roman" w:eastAsia="Times New Roman" w:hAnsi="Times New Roman"/>
          <w:b/>
          <w:bCs/>
          <w:sz w:val="24"/>
          <w:szCs w:val="24"/>
          <w:u w:val="single"/>
        </w:rPr>
        <w:t xml:space="preserve">i. Total Encryption Time</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DES: 2 ms × 1000 = 2000 ms = 2 seconds.</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3-DES: 6 ms × 1000 = 6000 ms = 6 seconds.</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Blowfish: 1 ms × 1000 = 1000 ms = 1 second.</w:t>
      </w:r>
    </w:p>
    <w:p>
      <w:pPr>
        <w:spacing w:after="80" w:before="120"/>
      </w:pPr>
      <w:r>
        <w:rPr>
          <w:rFonts w:ascii="Times New Roman" w:cs="Times New Roman" w:eastAsia="Times New Roman" w:hAnsi="Times New Roman"/>
          <w:b/>
          <w:bCs/>
          <w:sz w:val="24"/>
          <w:szCs w:val="24"/>
          <w:u w:val="single"/>
        </w:rPr>
        <w:t xml:space="preserve">ii. Trade-offs Between Security and Performance</w:t>
      </w:r>
    </w:p>
    <w:p>
      <w:pPr>
        <w:spacing w:after="140" w:line="276"/>
        <w:jc w:val="both"/>
      </w:pPr>
      <w:r>
        <w:rPr>
          <w:rFonts w:ascii="Times New Roman" w:cs="Times New Roman" w:eastAsia="Times New Roman" w:hAnsi="Times New Roman"/>
          <w:b w:val="false"/>
          <w:bCs w:val="false"/>
          <w:i w:val="false"/>
          <w:iCs w:val="false"/>
          <w:sz w:val="24"/>
          <w:szCs w:val="24"/>
        </w:rPr>
        <w:t xml:space="preserve">DES is the fastest of the three legacy comparisons but its 56-bit key is now considered insecure, being breakable by brute force with modern computing power. 3-DES applies the DES algorithm three times in sequence, raising effective security (up to about 112–168 bits depending on the keying option) at the cost of being three times slower than DES and six times slower than Blowfish here; it also retains DES's small 64-bit block size, a legacy limitation. Blowfish offers a strong 128-bit key with the best performance of the three, making it an efficient option, though modern designs (e.g., AES) are generally preferred today over all three for new systems.</w:t>
      </w:r>
    </w:p>
    <w:p>
      <w:pPr>
        <w:spacing w:after="80" w:before="120"/>
      </w:pPr>
      <w:r>
        <w:rPr>
          <w:rFonts w:ascii="Times New Roman" w:cs="Times New Roman" w:eastAsia="Times New Roman" w:hAnsi="Times New Roman"/>
          <w:b/>
          <w:bCs/>
          <w:sz w:val="24"/>
          <w:szCs w:val="24"/>
          <w:u w:val="single"/>
        </w:rPr>
        <w:t xml:space="preserve">iii. Recommendation</w:t>
      </w:r>
    </w:p>
    <w:p>
      <w:pPr>
        <w:spacing w:after="120" w:line="276"/>
        <w:jc w:val="both"/>
      </w:pPr>
      <w:r>
        <w:rPr>
          <w:rFonts w:ascii="Times New Roman" w:cs="Times New Roman" w:eastAsia="Times New Roman" w:hAnsi="Times New Roman"/>
          <w:b w:val="false"/>
          <w:bCs w:val="false"/>
          <w:i w:val="false"/>
          <w:iCs w:val="false"/>
          <w:sz w:val="24"/>
          <w:szCs w:val="24"/>
        </w:rPr>
        <w:t xml:space="preserve">For secure real-time communication, Blowfish is the best choice among the three given here: it provides adequate security with a 128-bit key while completing 1000 blocks in a fraction of the time required by 3-DES, satisfying the low-latency demands of real-time systems. 3-DES, despite its higher nominal security, is too slow (6× the time of Blowfish) for strict real-time constraints, and DES is insecure regardless of speed. (In modern practice, AES would typically replace all three, offering both strong security and high performance.)</w:t>
      </w:r>
    </w:p>
    <w:p>
      <w:pPr>
        <w:spacing w:after="100" w:before="220"/>
      </w:pPr>
      <w:r>
        <w:rPr>
          <w:rFonts w:ascii="Times New Roman" w:cs="Times New Roman" w:eastAsia="Times New Roman" w:hAnsi="Times New Roman"/>
          <w:b/>
          <w:bCs/>
          <w:sz w:val="26"/>
          <w:szCs w:val="26"/>
        </w:rPr>
        <w:t xml:space="preserve">4. Secure File Sharing</w:t>
      </w:r>
    </w:p>
    <w:p>
      <w:pPr>
        <w:spacing w:after="140" w:line="276"/>
        <w:jc w:val="both"/>
      </w:pPr>
      <w:r>
        <w:rPr>
          <w:rFonts w:ascii="Times New Roman" w:cs="Times New Roman" w:eastAsia="Times New Roman" w:hAnsi="Times New Roman"/>
          <w:b w:val="false"/>
          <w:bCs w:val="false"/>
          <w:i/>
          <w:iCs/>
          <w:sz w:val="24"/>
          <w:szCs w:val="24"/>
        </w:rPr>
        <w:t xml:space="preserve">Scenario: An organization needs to securely share confidential design documents among multiple departments.</w:t>
      </w:r>
    </w:p>
    <w:p>
      <w:pPr>
        <w:spacing w:after="80" w:before="120"/>
      </w:pPr>
      <w:r>
        <w:rPr>
          <w:rFonts w:ascii="Times New Roman" w:cs="Times New Roman" w:eastAsia="Times New Roman" w:hAnsi="Times New Roman"/>
          <w:b/>
          <w:bCs/>
          <w:sz w:val="24"/>
          <w:szCs w:val="24"/>
          <w:u w:val="single"/>
        </w:rPr>
        <w:t xml:space="preserve">Proposed Cryptographic Strategy (Hybrid Encryption)</w:t>
      </w:r>
    </w:p>
    <w:p>
      <w:pPr>
        <w:spacing w:after="160" w:line="276"/>
        <w:jc w:val="both"/>
      </w:pPr>
      <w:r>
        <w:rPr>
          <w:rFonts w:ascii="Times New Roman" w:cs="Times New Roman" w:eastAsia="Times New Roman" w:hAnsi="Times New Roman"/>
          <w:b w:val="false"/>
          <w:bCs w:val="false"/>
          <w:i w:val="false"/>
          <w:iCs w:val="false"/>
          <w:sz w:val="24"/>
          <w:szCs w:val="24"/>
        </w:rPr>
        <w:t xml:space="preserve">A hybrid RSA + symmetric encryption strategy is proposed. For each document to be shared, a random symmetric session key (e.g., an AES key) is generated. The document itself is encrypted using AES with this session key, since symmetric encryption is fast and efficient for large files. The AES session key is then encrypted separately using the RSA public key of each intended recipient department, so that only that department's corresponding RSA private key can recover the session key. The sender also computes a cryptographic hash of the document and signs it with their own RSA private key to produce a digital signature, which is sent along with the encrypted document and encrypted key.</w:t>
      </w:r>
    </w:p>
    <w:p>
      <w:pPr>
        <w:spacing w:after="80" w:before="120"/>
      </w:pPr>
      <w:r>
        <w:rPr>
          <w:rFonts w:ascii="Times New Roman" w:cs="Times New Roman" w:eastAsia="Times New Roman" w:hAnsi="Times New Roman"/>
          <w:b/>
          <w:bCs/>
          <w:sz w:val="24"/>
          <w:szCs w:val="24"/>
          <w:u w:val="single"/>
        </w:rPr>
        <w:t xml:space="preserve">How Confidentiality, Authentication, and Integrity are Achieved</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Confidentiality: the document is protected by strong, fast AES encryption, and the AES key itself is protected by RSA so that only authorised departments possessing the matching private key can ever recover it — an eavesdropper who intercepts the transmission cannot read the document.</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Authentication: the digital signature, verifiable using the sender's RSA public key, proves that the document genuinely originated from the claimed sender, since only the sender's private key could have produced a signature that verifies correctly.</w:t>
      </w:r>
    </w:p>
    <w:p>
      <w:pPr>
        <w:spacing w:after="13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Integrity: verifying the digital signature also confirms that the document's hash matches what was signed; any modification to the document in transit changes its hash, causing signature verification to fail and alerting the recipient department to tampering.</w:t>
      </w:r>
    </w:p>
    <w:p>
      <w:pPr>
        <w:spacing w:after="100" w:before="220"/>
      </w:pPr>
      <w:r>
        <w:rPr>
          <w:rFonts w:ascii="Times New Roman" w:cs="Times New Roman" w:eastAsia="Times New Roman" w:hAnsi="Times New Roman"/>
          <w:b/>
          <w:bCs/>
          <w:sz w:val="26"/>
          <w:szCs w:val="26"/>
        </w:rPr>
        <w:t xml:space="preserve">5. Diffie–Hellman Key Exchange Analysis</w:t>
      </w:r>
    </w:p>
    <w:p>
      <w:pPr>
        <w:spacing w:after="140" w:line="276"/>
        <w:jc w:val="both"/>
      </w:pPr>
      <w:r>
        <w:rPr>
          <w:rFonts w:ascii="Times New Roman" w:cs="Times New Roman" w:eastAsia="Times New Roman" w:hAnsi="Times New Roman"/>
          <w:b/>
          <w:bCs/>
          <w:i w:val="false"/>
          <w:iCs w:val="false"/>
          <w:sz w:val="24"/>
          <w:szCs w:val="24"/>
        </w:rPr>
        <w:t xml:space="preserve">Given: p = 23, g = 5, User A's private key a = 6, User B's private key b = 15.</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Public keys — A = g^a mod p = 5^6 mod 23 = 8.  B = g^b mod p = 5^15 mod 23 = 19.</w:t>
      </w:r>
    </w:p>
    <w:p>
      <w:pPr>
        <w:spacing w:after="130" w:line="276"/>
        <w:ind w:left="30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Shared secret key — computed by A as K = B^a mod p = 19^6 mod 23 = 2, and by B as K = A^b mod p = 8^15 mod 23 = 2. Both users independently arrive at the same shared secret key, K = 2.</w:t>
      </w:r>
    </w:p>
    <w:p>
      <w:pPr>
        <w:spacing w:after="130" w:line="276"/>
        <w:ind w:left="30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Man-in-the-Middle attack: since the public values (p, g, A, B) travel over an unauthenticated public channel, an attacker positioned between A and B can intercept both transmissions. The attacker generates their own private value, sends a fabricated public value to A (pretending to be B) and another fabricated public value to B (pretending to be A). This results in the attacker sharing one secret key with A and a different secret key with B, without either party realising. The attacker can then decrypt, read, optionally modify, and re-encrypt all "secure" traffic passing between A and B, completely defeating the confidentiality of the exchange.</w:t>
      </w:r>
    </w:p>
    <w:p>
      <w:pPr>
        <w:spacing w:after="130" w:line="276"/>
        <w:ind w:left="300"/>
        <w:jc w:val="both"/>
      </w:pPr>
      <w:r>
        <w:rPr>
          <w:rFonts w:ascii="Times New Roman" w:cs="Times New Roman" w:eastAsia="Times New Roman" w:hAnsi="Times New Roman"/>
          <w:b/>
          <w:bCs/>
          <w:sz w:val="24"/>
          <w:szCs w:val="24"/>
        </w:rPr>
        <w:t xml:space="preserve">g.  </w:t>
      </w:r>
      <w:r>
        <w:rPr>
          <w:rFonts w:ascii="Times New Roman" w:cs="Times New Roman" w:eastAsia="Times New Roman" w:hAnsi="Times New Roman"/>
          <w:sz w:val="24"/>
          <w:szCs w:val="24"/>
        </w:rPr>
        <w:t xml:space="preserve">Prevention: the exchanged public values must be authenticated so that each party can be certain they are communicating with the genuine other party and not an attacker. This can be achieved by digitally signing the DH public values with each party's long-term RSA (or ECDSA) key and verifying the signature using a certificate issued by a trusted Certificate Authority, or by using an authenticated key-exchange protocol such as the Station-to-Station (STS) protocol, or by running the Diffie–Hellman exchange inside a certificate-authenticated channel such as TLS.</w:t>
      </w:r>
    </w:p>
    <w:p>
      <w:pPr>
        <w:spacing w:after="100" w:before="220"/>
      </w:pPr>
      <w:r>
        <w:rPr>
          <w:rFonts w:ascii="Times New Roman" w:cs="Times New Roman" w:eastAsia="Times New Roman" w:hAnsi="Times New Roman"/>
          <w:b/>
          <w:bCs/>
          <w:sz w:val="26"/>
          <w:szCs w:val="26"/>
        </w:rPr>
        <w:t xml:space="preserve">6. ECC vs RSA Comparison</w:t>
      </w:r>
    </w:p>
    <w:p>
      <w:pPr>
        <w:spacing w:after="140" w:line="276"/>
        <w:jc w:val="both"/>
      </w:pPr>
      <w:r>
        <w:rPr>
          <w:rFonts w:ascii="Times New Roman" w:cs="Times New Roman" w:eastAsia="Times New Roman" w:hAnsi="Times New Roman"/>
          <w:b/>
          <w:bCs/>
          <w:i w:val="false"/>
          <w:iCs w:val="false"/>
          <w:sz w:val="24"/>
          <w:szCs w:val="24"/>
        </w:rPr>
        <w:t xml:space="preserve">Given: RSA key size = 1024 bits, ECC key size = 160 bits (equivalent security), device processing capacity = limited (IoT device).</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Computational cost: RSA operations involve modular exponentiation with very large (1024-bit) numbers, requiring significantly more multiplications and larger intermediate values, which translates into higher CPU cycles, larger memory footprint for key storage and computation, and longer processing time per operation. ECC achieves an equivalent level of security using point multiplication on an elliptic curve with only a 160-bit key, requiring far fewer computational resources for the same security level.</w:t>
      </w:r>
    </w:p>
    <w:p>
      <w:pPr>
        <w:spacing w:after="130" w:line="276"/>
        <w:ind w:left="30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Power and memory: because ECC needs roughly 1/6th the key length of RSA for the same security (160 bits vs 1024 bits), it requires less RAM/ROM to store keys, fewer CPU cycles per cryptographic operation, and consequently consumes noticeably less power per operation — a critical factor for battery-operated IoT devices. RSA, with its larger keys and heavier exponentiation, consumes more memory and power for the equivalent security guarantee.</w:t>
      </w:r>
    </w:p>
    <w:p>
      <w:pPr>
        <w:spacing w:after="130" w:line="276"/>
        <w:ind w:left="30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For this IoT scenario, ECC is clearly the better cryptosystem. Its much smaller key size delivers the same security as 1024-bit RSA while demanding substantially less processing power, memory, and energy — directly matching the constraints of a limited-capacity IoT device — whereas RSA's heavier computational and storage requirements make it a poor fit for such resource-constrained hardware.</w:t>
      </w:r>
    </w:p>
    <w:p>
      <w:pPr>
        <w:spacing w:after="100" w:before="220"/>
      </w:pPr>
      <w:r>
        <w:rPr>
          <w:rFonts w:ascii="Times New Roman" w:cs="Times New Roman" w:eastAsia="Times New Roman" w:hAnsi="Times New Roman"/>
          <w:b/>
          <w:bCs/>
          <w:sz w:val="26"/>
          <w:szCs w:val="26"/>
        </w:rPr>
        <w:t xml:space="preserve">7. Digital Signature Verification</w:t>
      </w:r>
    </w:p>
    <w:p>
      <w:pPr>
        <w:spacing w:after="140" w:line="276"/>
        <w:jc w:val="both"/>
      </w:pPr>
      <w:r>
        <w:rPr>
          <w:rFonts w:ascii="Times New Roman" w:cs="Times New Roman" w:eastAsia="Times New Roman" w:hAnsi="Times New Roman"/>
          <w:b w:val="false"/>
          <w:bCs w:val="false"/>
          <w:i/>
          <w:iCs/>
          <w:sz w:val="24"/>
          <w:szCs w:val="24"/>
        </w:rPr>
        <w:t xml:space="preserve">Scenario: A software company distributes application updates signed using RSA digital signatures.</w:t>
      </w:r>
    </w:p>
    <w:p>
      <w:pPr>
        <w:spacing w:after="80" w:before="120"/>
      </w:pPr>
      <w:r>
        <w:rPr>
          <w:rFonts w:ascii="Times New Roman" w:cs="Times New Roman" w:eastAsia="Times New Roman" w:hAnsi="Times New Roman"/>
          <w:b/>
          <w:bCs/>
          <w:sz w:val="24"/>
          <w:szCs w:val="24"/>
          <w:u w:val="single"/>
        </w:rPr>
        <w:t xml:space="preserve">Verification Process</w:t>
      </w:r>
    </w:p>
    <w:p>
      <w:pPr>
        <w:spacing w:after="160" w:line="276"/>
        <w:jc w:val="both"/>
      </w:pPr>
      <w:r>
        <w:rPr>
          <w:rFonts w:ascii="Times New Roman" w:cs="Times New Roman" w:eastAsia="Times New Roman" w:hAnsi="Times New Roman"/>
          <w:b w:val="false"/>
          <w:bCs w:val="false"/>
          <w:i w:val="false"/>
          <w:iCs w:val="false"/>
          <w:sz w:val="24"/>
          <w:szCs w:val="24"/>
        </w:rPr>
        <w:t xml:space="preserve">Before distribution, the company computes a cryptographic hash of the update file and encrypts (signs) that hash with its own RSA private key, producing the digital signature attached to the update. On the user's side, the update-checking software independently computes the hash of the received update file, then decrypts the attached signature using the company's publicly known RSA public key to recover the original hash value. If the freshly computed hash matches the decrypted hash, the update is confirmed to be authentic (genuinely from the company, since only its private key could have produced a signature that decrypts correctly with its public key) and unmodified (since any change to the file would change its hash and cause a mismatch).</w:t>
      </w:r>
    </w:p>
    <w:p>
      <w:pPr>
        <w:spacing w:after="80" w:before="120"/>
      </w:pPr>
      <w:r>
        <w:rPr>
          <w:rFonts w:ascii="Times New Roman" w:cs="Times New Roman" w:eastAsia="Times New Roman" w:hAnsi="Times New Roman"/>
          <w:b/>
          <w:bCs/>
          <w:sz w:val="24"/>
          <w:szCs w:val="24"/>
          <w:u w:val="single"/>
        </w:rPr>
        <w:t xml:space="preserve">Consequences of Private Key Compromise</w:t>
      </w:r>
    </w:p>
    <w:p>
      <w:pPr>
        <w:spacing w:after="120" w:line="276"/>
        <w:jc w:val="both"/>
      </w:pPr>
      <w:r>
        <w:rPr>
          <w:rFonts w:ascii="Times New Roman" w:cs="Times New Roman" w:eastAsia="Times New Roman" w:hAnsi="Times New Roman"/>
          <w:b w:val="false"/>
          <w:bCs w:val="false"/>
          <w:i w:val="false"/>
          <w:iCs w:val="false"/>
          <w:sz w:val="24"/>
          <w:szCs w:val="24"/>
        </w:rPr>
        <w:t xml:space="preserve">If the company's private key is compromised, an attacker gains the ability to sign arbitrary malicious software with a signature that will still verify successfully against the company's genuine public key, since verification alone cannot distinguish the source of the private key used. Users' software would trust and install attacker-modified or entirely malicious updates believing them to be legitimate, potentially leading to widespread malware distribution under the company's trusted identity. Recovery requires immediately revoking the compromised key (e.g., via a certificate revocation list), generating and securely distributing a new key pair, re-signing all legitimate updates, and notifying users — all of which is costly and damaging to the company's trust and reputation.</w:t>
      </w:r>
    </w:p>
    <w:p>
      <w:pPr>
        <w:spacing w:after="100" w:before="220"/>
      </w:pPr>
      <w:r>
        <w:rPr>
          <w:rFonts w:ascii="Times New Roman" w:cs="Times New Roman" w:eastAsia="Times New Roman" w:hAnsi="Times New Roman"/>
          <w:b/>
          <w:bCs/>
          <w:sz w:val="26"/>
          <w:szCs w:val="26"/>
        </w:rPr>
        <w:t xml:space="preserve">8. Hybrid Encryption Analysis</w:t>
      </w:r>
    </w:p>
    <w:p>
      <w:pPr>
        <w:spacing w:after="140" w:line="276"/>
        <w:jc w:val="both"/>
      </w:pPr>
      <w:r>
        <w:rPr>
          <w:rFonts w:ascii="Times New Roman" w:cs="Times New Roman" w:eastAsia="Times New Roman" w:hAnsi="Times New Roman"/>
          <w:b w:val="false"/>
          <w:bCs w:val="false"/>
          <w:i/>
          <w:iCs/>
          <w:sz w:val="24"/>
          <w:szCs w:val="24"/>
        </w:rPr>
        <w:t xml:space="preserve">Scenario: A company uses RSA to exchange an AES session key before encrypted communication begins.</w:t>
      </w:r>
    </w:p>
    <w:p>
      <w:pPr>
        <w:spacing w:after="80" w:before="120"/>
      </w:pPr>
      <w:r>
        <w:rPr>
          <w:rFonts w:ascii="Times New Roman" w:cs="Times New Roman" w:eastAsia="Times New Roman" w:hAnsi="Times New Roman"/>
          <w:b/>
          <w:bCs/>
          <w:sz w:val="24"/>
          <w:szCs w:val="24"/>
          <w:u w:val="single"/>
        </w:rPr>
        <w:t xml:space="preserve">Why the Hybrid Approach is More Efficient and Secure</w:t>
      </w:r>
    </w:p>
    <w:p>
      <w:pPr>
        <w:spacing w:after="100" w:line="276"/>
        <w:jc w:val="both"/>
      </w:pPr>
      <w:r>
        <w:rPr>
          <w:rFonts w:ascii="Times New Roman" w:cs="Times New Roman" w:eastAsia="Times New Roman" w:hAnsi="Times New Roman"/>
          <w:b w:val="false"/>
          <w:bCs w:val="false"/>
          <w:i w:val="false"/>
          <w:iCs w:val="false"/>
          <w:sz w:val="24"/>
          <w:szCs w:val="24"/>
        </w:rPr>
        <w:t xml:space="preserve">RSA (asymmetric encryption) is computationally expensive because it relies on large-number modular exponentiation, making it slow when applied directly to large files, and its usable message size is inherently limited by the modulus size (an RSA key cannot directly encrypt data larger than its key length without additional block-splitting, which is inefficient and complicates padding/security). AES (symmetric encryption), by contrast, is extremely fast and has no such size restriction, making it well suited to encrypting large volumes of data. The hybrid approach uses RSA only for the small, fixed-size task of securely exchanging a randomly generated AES session key — a task at which RSA excels, since it solves the classic key-distribution problem without requiring a pre-shared secret — while AES handles the bulk encryption of the actual communication efficiently. This combination gives the best of both worlds: RSA's secure key exchange over an untrusted channel, and AES's speed for the large-file/communication payload, making it far more efficient and, in practice, more secure than attempting to encrypt large files with RSA alone.</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Problem Understanding</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Clearly interprets problem, identifies all parameters and requirements accurately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Understands problem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 understanding; misses key elements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Misinterprets or unable to understand problem</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Method Selection</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Selects most appropriate method/formula with strong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Selects correct method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Inappropriate or partially correct method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select method</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Solution Process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Logical, systematic steps with correct approach throughout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Mostly correct steps with minor mistakes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Disorganized steps; multiple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clear process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Accuracy of Calculation</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All calculations accurate; correct final answer</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Minor calculation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Frequent errors; incorrect final answer</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valid calculations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Interpretation of Results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Clearly interprets results with units and engineering relevance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Basic interpretation with minor omissions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or unclear interpretation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interpretation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2026-07-31T03:27:26.330Z</dcterms:created>
  <dcterms:modified xsi:type="dcterms:W3CDTF">2026-07-31T03:27:26.344Z</dcterms:modified>
</cp:coreProperties>
</file>

<file path=docProps/custom.xml><?xml version="1.0" encoding="utf-8"?>
<Properties xmlns="http://schemas.openxmlformats.org/officeDocument/2006/custom-properties" xmlns:vt="http://schemas.openxmlformats.org/officeDocument/2006/docPropsVTypes"/>
</file>