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Times New Roman" w:cs="Times New Roman" w:eastAsia="Times New Roman" w:hAnsi="Times New Roman"/>
          <w:b/>
          <w:bCs/>
          <w:i w:val="false"/>
          <w:iCs w:val="false"/>
          <w:sz w:val="30"/>
          <w:szCs w:val="30"/>
        </w:rPr>
        <w:t xml:space="preserve">SIMATS ENGINEERING</w:t>
      </w:r>
    </w:p>
    <w:p>
      <w:pPr>
        <w:spacing w:after="200" w:line="276"/>
        <w:jc w:val="center"/>
      </w:pPr>
      <w:r>
        <w:rPr>
          <w:rFonts w:ascii="Times New Roman" w:cs="Times New Roman" w:eastAsia="Times New Roman" w:hAnsi="Times New Roman"/>
          <w:b/>
          <w:bCs/>
          <w:i w:val="false"/>
          <w:iCs w:val="false"/>
          <w:sz w:val="26"/>
          <w:szCs w:val="26"/>
        </w:rPr>
        <w:t xml:space="preserve">ASSESSMENT TOOL 2</w:t>
      </w:r>
    </w:p>
    <w:p>
      <w:pPr>
        <w:spacing w:after="200" w:line="276"/>
        <w:jc w:val="center"/>
      </w:pPr>
      <w:r>
        <w:rPr>
          <w:rFonts w:ascii="Times New Roman" w:cs="Times New Roman" w:eastAsia="Times New Roman" w:hAnsi="Times New Roman"/>
          <w:b/>
          <w:bCs/>
          <w:i w:val="false"/>
          <w:iCs w:val="false"/>
          <w:sz w:val="24"/>
          <w:szCs w:val="24"/>
        </w:rPr>
        <w:t xml:space="preserve">COURSE NAME: Cryptography and Network Security      COURSE CODE: CSA51</w:t>
      </w:r>
    </w:p>
    <w:p>
      <w:pPr>
        <w:spacing w:after="100" w:line="276"/>
        <w:jc w:val="center"/>
      </w:pPr>
      <w:r>
        <w:rPr>
          <w:rFonts w:ascii="Times New Roman" w:cs="Times New Roman" w:eastAsia="Times New Roman" w:hAnsi="Times New Roman"/>
          <w:b/>
          <w:bCs/>
          <w:i w:val="false"/>
          <w:iCs w:val="false"/>
          <w:sz w:val="24"/>
          <w:szCs w:val="24"/>
        </w:rPr>
        <w:t xml:space="preserve">COURSE OUTCOME COVERED</w:t>
      </w:r>
    </w:p>
    <w:p>
      <w:pPr>
        <w:spacing w:after="200" w:line="276"/>
        <w:jc w:val="both"/>
      </w:pPr>
      <w:r>
        <w:rPr>
          <w:rFonts w:ascii="Times New Roman" w:cs="Times New Roman" w:eastAsia="Times New Roman" w:hAnsi="Times New Roman"/>
          <w:b w:val="false"/>
          <w:bCs w:val="false"/>
          <w:i w:val="false"/>
          <w:iCs w:val="false"/>
          <w:sz w:val="24"/>
          <w:szCs w:val="24"/>
        </w:rPr>
        <w:t xml:space="preserve">CO2: Analyze Public Key crypto system strategies using RSA and Key Exchange for Encryption algorithm to strengthen information security. (BL4, BL5)</w:t>
      </w:r>
    </w:p>
    <w:p>
      <w:pPr>
        <w:spacing w:after="80" w:line="276"/>
        <w:jc w:val="left"/>
      </w:pPr>
      <w:r>
        <w:rPr>
          <w:rFonts w:ascii="Times New Roman" w:cs="Times New Roman" w:eastAsia="Times New Roman" w:hAnsi="Times New Roman"/>
          <w:b w:val="false"/>
          <w:bCs w:val="false"/>
          <w:i w:val="false"/>
          <w:iCs w:val="false"/>
          <w:sz w:val="24"/>
          <w:szCs w:val="24"/>
        </w:rPr>
        <w:t xml:space="preserve">Scenario-Based: 20%</w:t>
      </w:r>
    </w:p>
    <w:p>
      <w:pPr>
        <w:spacing w:after="260" w:line="276"/>
        <w:jc w:val="left"/>
      </w:pPr>
      <w:r>
        <w:rPr>
          <w:rFonts w:ascii="Times New Roman" w:cs="Times New Roman" w:eastAsia="Times New Roman" w:hAnsi="Times New Roman"/>
          <w:b w:val="false"/>
          <w:bCs w:val="false"/>
          <w:i w:val="false"/>
          <w:iCs w:val="false"/>
          <w:sz w:val="24"/>
          <w:szCs w:val="24"/>
        </w:rPr>
        <w:t xml:space="preserve">QUESTIONS:                                                       Total Marks: 50</w:t>
      </w:r>
    </w:p>
    <w:p>
      <w:pPr>
        <w:spacing w:after="260" w:line="276"/>
        <w:jc w:val="center"/>
      </w:pPr>
      <w:r>
        <w:rPr>
          <w:rFonts w:ascii="Times New Roman" w:cs="Times New Roman" w:eastAsia="Times New Roman" w:hAnsi="Times New Roman"/>
          <w:b/>
          <w:bCs/>
          <w:i w:val="false"/>
          <w:iCs w:val="false"/>
          <w:sz w:val="24"/>
          <w:szCs w:val="24"/>
        </w:rPr>
        <w:t xml:space="preserve">Annexure A</w:t>
      </w:r>
    </w:p>
    <w:p>
      <w:pPr>
        <w:spacing w:after="120" w:line="276"/>
        <w:jc w:val="left"/>
      </w:pPr>
      <w:r>
        <w:rPr>
          <w:rFonts w:ascii="Times New Roman" w:cs="Times New Roman" w:eastAsia="Times New Roman" w:hAnsi="Times New Roman"/>
          <w:b/>
          <w:bCs/>
          <w:i w:val="false"/>
          <w:iCs w:val="false"/>
          <w:sz w:val="24"/>
          <w:szCs w:val="24"/>
        </w:rPr>
        <w:t xml:space="preserve">Code of Conduct:</w:t>
      </w:r>
    </w:p>
    <w:p>
      <w:pPr>
        <w:spacing w:after="120" w:line="276"/>
        <w:jc w:val="both"/>
      </w:pPr>
      <w:r>
        <w:rPr>
          <w:rFonts w:ascii="Times New Roman" w:cs="Times New Roman" w:eastAsia="Times New Roman" w:hAnsi="Times New Roman"/>
          <w:b w:val="false"/>
          <w:bCs w:val="false"/>
          <w:i w:val="false"/>
          <w:iCs w:val="false"/>
          <w:sz w:val="24"/>
          <w:szCs w:val="24"/>
        </w:rPr>
        <w:t xml:space="preserve">I  RITHISH KUMAR D  (Name / Reg No: 192565089)  certify that this submission is my original work and that I have adhered to the guidelines specified for this assessment.</w:t>
      </w:r>
    </w:p>
    <w:p>
      <w:pPr>
        <w:spacing w:after="260" w:line="276"/>
        <w:jc w:val="both"/>
      </w:pPr>
      <w:r>
        <w:rPr>
          <w:rFonts w:ascii="Times New Roman" w:cs="Times New Roman" w:eastAsia="Times New Roman" w:hAnsi="Times New Roman"/>
          <w:b w:val="false"/>
          <w:bCs w:val="false"/>
          <w:i w:val="false"/>
          <w:iCs w:val="false"/>
          <w:sz w:val="24"/>
          <w:szCs w:val="24"/>
        </w:rPr>
        <w:t xml:space="preserve">I understand that any violation of academic integrity rules will result in disciplinary action.</w:t>
      </w:r>
    </w:p>
    <w:p>
      <w:pPr>
        <w:spacing w:after="80" w:line="276"/>
        <w:jc w:val="left"/>
      </w:pPr>
      <w:r>
        <w:rPr>
          <w:rFonts w:ascii="Times New Roman" w:cs="Times New Roman" w:eastAsia="Times New Roman" w:hAnsi="Times New Roman"/>
          <w:b w:val="false"/>
          <w:bCs w:val="false"/>
          <w:i w:val="false"/>
          <w:iCs w:val="false"/>
          <w:sz w:val="24"/>
          <w:szCs w:val="24"/>
        </w:rPr>
        <w:t xml:space="preserve">Department: CSE-CS</w:t>
      </w:r>
    </w:p>
    <w:p>
      <w:pPr>
        <w:spacing w:after="40" w:line="276"/>
        <w:jc w:val="left"/>
      </w:pPr>
      <w:r>
        <w:rPr>
          <w:rFonts w:ascii="Times New Roman" w:cs="Times New Roman" w:eastAsia="Times New Roman" w:hAnsi="Times New Roman"/>
          <w:b w:val="false"/>
          <w:bCs w:val="false"/>
          <w:i w:val="false"/>
          <w:iCs w:val="false"/>
          <w:sz w:val="24"/>
          <w:szCs w:val="24"/>
        </w:rPr>
        <w:t xml:space="preserve">Signature of the student: ________________________</w:t>
      </w:r>
    </w:p>
    <w:p>
      <w:r>
        <w:br w:type="page"/>
      </w:r>
    </w:p>
    <w:p>
      <w:pPr>
        <w:spacing w:after="100" w:before="220"/>
      </w:pPr>
      <w:r>
        <w:rPr>
          <w:rFonts w:ascii="Times New Roman" w:cs="Times New Roman" w:eastAsia="Times New Roman" w:hAnsi="Times New Roman"/>
          <w:b/>
          <w:bCs/>
          <w:sz w:val="26"/>
          <w:szCs w:val="26"/>
        </w:rPr>
        <w:t xml:space="preserve">1. Secure Data Transmission using Block Cipher</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company is transmitting repeated financial data blocks over a network. Initially, they used ECB mode and noticed patterns in ciphertext.</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This issue occurs because ECB (Electronic Codebook) mode encrypts every block independently using the same key, with no dependency between blocks. As a result, identical plaintext blocks always produce identical ciphertext blocks. Since the company's financial data contains repeated blocks (e.g., repeated field structures, padding, or recurring values), these repetitions are directly visible as repeated ciphertext blocks, leaking structural information about the data even though the attacker cannot read the actual content.</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CBC (Cipher Block Chaining) mode is recommended. In CBC, each plaintext block is XORed with the previous ciphertext block before encryption, so the output of every block depends on all preceding blocks as well as the key. Identical plaintext blocks therefore produce different ciphertext, effectively eliminating the visible pattern leakage seen in ECB. For financial data where both confidentiality and tamper-detection matter, an authenticated mode such as GCM can be used instead, providing the same pattern-hiding property as CBC/CTR while additionally guaranteeing data integrity.</w:t>
      </w:r>
    </w:p>
    <w:p>
      <w:pPr>
        <w:spacing w:after="100" w:before="220"/>
      </w:pPr>
      <w:r>
        <w:rPr>
          <w:rFonts w:ascii="Times New Roman" w:cs="Times New Roman" w:eastAsia="Times New Roman" w:hAnsi="Times New Roman"/>
          <w:b/>
          <w:bCs/>
          <w:sz w:val="26"/>
          <w:szCs w:val="26"/>
        </w:rPr>
        <w:t xml:space="preserve">2. Choosing an Encryption Algorithm for Banking System</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banking application needs high security and moderate performance for encrypting customer transactions. The available options are DES, 3-DES, and Blowfish.</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3-DES is the most suitable algorithm for this scenario.</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3-DES applies the DES algorithm three times with (typically) two or three distinct keys, raising its effective security to roughly 112–168 bits, well beyond DES's insecure 56-bit key, satisfying the banking system's requirement for high security. Although 3-DES is slower than Blowfish, the requirement here is only "moderate" performance rather than maximum speed, which 3-DES's well-established, extensively validated design comfortably meets — it has historically been a mandated standard in the banking and payment card industry (e.g., legacy PCI/EMV systems) specifically because of this security/performance balance. Plain DES is ruled out due to its now-broken 56-bit key, and while Blowfish offers better raw performance, 3-DES's long track record of formal validation in financial systems makes it the safer institutional choice for this scenario. (In modern deployments, AES would typically be the preferred replacement for all three.)</w:t>
      </w:r>
    </w:p>
    <w:p>
      <w:pPr>
        <w:spacing w:after="100" w:before="220"/>
      </w:pPr>
      <w:r>
        <w:rPr>
          <w:rFonts w:ascii="Times New Roman" w:cs="Times New Roman" w:eastAsia="Times New Roman" w:hAnsi="Times New Roman"/>
          <w:b/>
          <w:bCs/>
          <w:sz w:val="26"/>
          <w:szCs w:val="26"/>
        </w:rPr>
        <w:t xml:space="preserve">3. Key Exchange in an Unsecured Network</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Two users want to establish a secure communication channel over a public network using Diffie-Hellman key exchange. However, the network is vulnerable to attacks.</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Both users first agree on public parameters, a large prime p and a generator g. Each user independently chooses a secret private value and computes a public value by raising g to the power of their private value modulo p. These public values are exchanged openly over the network. Each user then raises the other party's received public value to the power of their own private value, modulo p; due to the properties of modular exponentiation, both users arrive at the same shared secret key, which is then used to derive a symmetric encryption key for the actual secure communication. An eavesdropper who only sees p, g, and both public values cannot feasibly compute the shared secret because doing so requires solving the computationally hard discrete logarithm problem.</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The primary threat is a Man-in-the-Middle (MITM) attack: because the exchanged public values are not authenticated, an attacker can intercept the exchange, substitute their own public values toward each user, and establish two separate shared keys — one with each user — while both users believe they are communicating directly with each other. The attacker can then silently decrypt, read, and even modify all traffic. The solution is to authenticate the key exchange, for example by digitally signing each party's public DH value with a long-term private key verified against a certificate issued by a trusted Certificate Authority, or by running the exchange within an already-authenticated channel such as TLS.</w:t>
      </w:r>
    </w:p>
    <w:p>
      <w:pPr>
        <w:spacing w:after="100" w:before="220"/>
      </w:pPr>
      <w:r>
        <w:rPr>
          <w:rFonts w:ascii="Times New Roman" w:cs="Times New Roman" w:eastAsia="Times New Roman" w:hAnsi="Times New Roman"/>
          <w:b/>
          <w:bCs/>
          <w:sz w:val="26"/>
          <w:szCs w:val="26"/>
        </w:rPr>
        <w:t xml:space="preserve">4. Public Key Cryptography for Email Security</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An organization plans to implement RSA for secure email communication.</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To send a confidential email, the sender obtains the recipient's RSA public key (typically via a digital certificate) and uses it to encrypt the message content, or more commonly, to encrypt a randomly generated symmetric session key which is then used to encrypt the actual email body for efficiency. Only the recipient, who holds the corresponding private key, can decrypt the session key and thereby the message. For authenticity, the sender can additionally compute a hash of the email and sign it with their own RSA private key; the recipient verifies this signature using the sender's public key to confirm the email genuinely came from the claimed sender and was not altered in transit.</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Key distribution and management are central to this scheme's security. Public keys must be reliably and verifiably bound to their owners' identities, which is normally achieved through a Public Key Infrastructure (PKI) where trusted Certificate Authorities issue and vouch for digital certificates; without this, an attacker could distribute a fraudulent public key claiming to belong to a legitimate user and intercept supposedly "secure" emails. Proper management also requires secure generation and storage of private keys, timely revocation of compromised or expired keys via certificate revocation lists, and periodic key renewal, since any weakness in these processes directly undermines the confidentiality and authenticity the system is meant to provide.</w:t>
      </w:r>
    </w:p>
    <w:p>
      <w:pPr>
        <w:spacing w:after="100" w:before="220"/>
      </w:pPr>
      <w:r>
        <w:rPr>
          <w:rFonts w:ascii="Times New Roman" w:cs="Times New Roman" w:eastAsia="Times New Roman" w:hAnsi="Times New Roman"/>
          <w:b/>
          <w:bCs/>
          <w:sz w:val="26"/>
          <w:szCs w:val="26"/>
        </w:rPr>
        <w:t xml:space="preserve">5. Cryptography for IoT Devices</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smart home system uses low-power IoT devices that need secure communication. The designer must choose between RSA and Elliptic Curve Cryptography (ECC).</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IoT devices typically have significant constraints: limited CPU processing power, small amounts of RAM and storage, restricted energy supply (often battery-powered), and limited network bandwidth. These constraints mean the devices cannot comfortably perform computationally heavy cryptographic operations or store and transmit large keys/certificates without incurring high latency, excessive power drain, or memory exhaustion.</w:t>
      </w:r>
    </w:p>
    <w:p>
      <w:pPr>
        <w:spacing w:after="130" w:line="276"/>
        <w:ind w:left="300"/>
        <w:jc w:val="both"/>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ECC is the recommended cryptographic approach for this scenario. ECC provides a security level equivalent to RSA using a dramatically smaller key size (e.g., a 160-bit ECC key offers security comparable to a 1024-bit RSA key), which directly translates into faster computations, smaller memory and storage requirements, and lower power consumption per cryptographic operation. Given the smart home devices' limited processing capacity and battery constraints, ECC allows the system to maintain strong security without imposing the heavier computational and energy burden that RSA would require for an equivalent level of protection.</w:t>
      </w:r>
    </w:p>
    <w:p>
      <w:pPr>
        <w:spacing w:after="100" w:before="220"/>
      </w:pPr>
      <w:r>
        <w:rPr>
          <w:rFonts w:ascii="Times New Roman" w:cs="Times New Roman" w:eastAsia="Times New Roman" w:hAnsi="Times New Roman"/>
          <w:b/>
          <w:bCs/>
          <w:sz w:val="26"/>
          <w:szCs w:val="26"/>
        </w:rPr>
        <w:t xml:space="preserve">6. RSA Decryption Failure</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secure e-commerce application uses RSA to encrypt customer payment information. The encryption process works correctly, but after decryption, the original message is not recovered.</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Possible reasons include: use of an incorrect or mismatched private key during decryption; errors during key generation, such as an incorrectly computed φ(n) or a value of d that is not the true modular inverse of e (i.e., e·d not congruent to 1 mod φ(n)); implementation bugs in the modular exponentiation routine (e.g., the modulus not being applied at every multiplication step, causing integer overflow); ciphertext corruption or truncation during transmission; or a mismatch in padding scheme between encryption and decryption.</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An incorrect private key or wrong RSA parameters break the mathematical relationship that RSA depends on. Correct decryption relies precisely on e·d ≡ 1 (mod φ(n)) (by Euler's theorem, M^(ed) mod n = M); if d does not satisfy this congruence, or if n was computed from the wrong p and q, the algebraic identity underlying RSA no longer holds, and decryption produces an unrelated, essentially random value instead of the original message — not merely a "close but wrong" answer.</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Debugging steps: (i) verify that p and q are correct, distinct primes and recompute n = p·q and φ(n) = (p−1)(q−1); (ii) confirm gcd(e, φ(n)) = 1; (iii) recompute d using the Extended Euclidean Algorithm and explicitly check that (e × d) mod φ(n) = 1; (iv) inspect the modular exponentiation implementation to ensure the modulus is applied after every multiplication (preventing overflow); (v) test the full encrypt–decrypt cycle on a small, known example to confirm correctness; and (vi) check that the ciphertext was not altered, truncated, or mis-encoded during transmission or storage.</w:t>
      </w:r>
    </w:p>
    <w:p>
      <w:pPr>
        <w:spacing w:after="100" w:before="220"/>
      </w:pPr>
      <w:r>
        <w:rPr>
          <w:rFonts w:ascii="Times New Roman" w:cs="Times New Roman" w:eastAsia="Times New Roman" w:hAnsi="Times New Roman"/>
          <w:b/>
          <w:bCs/>
          <w:sz w:val="26"/>
          <w:szCs w:val="26"/>
        </w:rPr>
        <w:t xml:space="preserve">7. Diffie–Hellman Shared Key Mismatch</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Two branch offices of a company use the Diffie–Hellman Key Exchange algorithm to establish a shared secret key. However, both offices generate different session keys, preventing secure communication.</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Possible causes include: the two offices using different values of the public parameters p or g (a parameter mismatch means the underlying modular arithmetic no longer agrees); one or both sides applying the modulus incorrectly or too late during exponentiation, causing integer overflow and a corrupted public/shared value; transmission errors that alter a party's public value in transit; or one office mistakenly using the wrong value (e.g., its own public value instead of the other party's) in the final exponentiation step.</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If the public parameters (p, g) are not identical on both sides, the two offices are effectively performing the key exchange in two different mathematical groups, guaranteeing different results even with correct arithmetic. Separately, if modular reduction is not applied at every step of the exponentiation (rather than only at the end), intermediate values overflow standard integer types and become effectively random once outside the safe numeric range, corrupting either the public value sent to the other party or the final shared-key computation — in either case, the two offices end up with different keys even though the algorithm's mathematics guarantees they should match when computed correctly.</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Recommended fixes: implement fast modular exponentiation using the square-and-multiply method with the modulus applied after every multiplication, to avoid overflow entirely; ensure both offices retrieve p and g from a single authoritative, shared configuration rather than independently hard-coded values; use arbitrary-precision (big integer) arithmetic libraries so key sizes used in real deployments do not overflow native integer types; and add a key-confirmation step (e.g., each side sends a hash of its derived key, or a test message encrypted with it) before relying on the shared key for actual communication, so any mismatch is detected immediately rather than causing silent communication failure.</w:t>
      </w:r>
    </w:p>
    <w:p>
      <w:pPr>
        <w:spacing w:after="100" w:before="220"/>
      </w:pPr>
      <w:r>
        <w:rPr>
          <w:rFonts w:ascii="Times New Roman" w:cs="Times New Roman" w:eastAsia="Times New Roman" w:hAnsi="Times New Roman"/>
          <w:b/>
          <w:bCs/>
          <w:sz w:val="26"/>
          <w:szCs w:val="26"/>
        </w:rPr>
        <w:t xml:space="preserve">8. Invalid RSA Key Generation</w:t>
      </w:r>
    </w:p>
    <w:p>
      <w:pPr>
        <w:spacing w:after="140" w:line="276"/>
        <w:jc w:val="both"/>
      </w:pPr>
      <w:r>
        <w:rPr>
          <w:rFonts w:ascii="Times New Roman" w:cs="Times New Roman" w:eastAsia="Times New Roman" w:hAnsi="Times New Roman"/>
          <w:b/>
          <w:bCs/>
          <w:i/>
          <w:iCs/>
          <w:sz w:val="24"/>
          <w:szCs w:val="24"/>
        </w:rPr>
        <w:t xml:space="preserve">Scenario: </w:t>
      </w:r>
      <w:r>
        <w:rPr>
          <w:rFonts w:ascii="Times New Roman" w:cs="Times New Roman" w:eastAsia="Times New Roman" w:hAnsi="Times New Roman"/>
          <w:i/>
          <w:iCs/>
          <w:sz w:val="24"/>
          <w:szCs w:val="24"/>
        </w:rPr>
        <w:t xml:space="preserve">A software company has developed an RSA-based file encryption application. During testing, the development team discovers that some generated key pairs fail to encrypt and decrypt data correctly.</w:t>
      </w:r>
    </w:p>
    <w:p>
      <w:pPr>
        <w:spacing w:after="80" w:before="120"/>
      </w:pPr>
      <w:r>
        <w:rPr>
          <w:rFonts w:ascii="Times New Roman" w:cs="Times New Roman" w:eastAsia="Times New Roman" w:hAnsi="Times New Roman"/>
          <w:b/>
          <w:bCs/>
          <w:sz w:val="24"/>
          <w:szCs w:val="24"/>
          <w:u w:val="single"/>
        </w:rPr>
        <w:t xml:space="preserve">Answers</w:t>
      </w:r>
    </w:p>
    <w:p>
      <w:pPr>
        <w:spacing w:after="130" w:line="276"/>
        <w:ind w:left="3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Possible errors in the key-generation process include: p or q not actually being prime (a faulty or weak primality test accepting composite numbers); p and q being chosen equal to each other; an incorrectly computed φ(n); and a chosen public exponent e that is not coprime to φ(n), meaning gcd(e, φ(n)) ≠ 1.</w:t>
      </w:r>
    </w:p>
    <w:p>
      <w:pPr>
        <w:spacing w:after="130" w:line="276"/>
        <w:ind w:left="3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Choosing invalid (non-prime, or equal) values for p and q undermines the security foundation of RSA: if p = q, then n = p² and its square root directly reveals p, making n trivial to factor and the entire key pair insecure; if p or q is composite, φ(n) is computed incorrectly, breaking the mathematics that connects e and d. Similarly, choosing e such that gcd(e, φ(n)) ≠ 1 means e has no valid modular inverse modulo φ(n) — no value of d exists that satisfies e·d ≡ 1 (mod φ(n)) — so the key pair simply cannot correctly encrypt and then decrypt back to the original message.</w:t>
      </w:r>
    </w:p>
    <w:p>
      <w:pPr>
        <w:spacing w:after="130" w:line="276"/>
        <w:ind w:left="3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Recommended validation checks: use a robust probabilistic primality test (such as Miller–Rabin) to confirm both p and q are genuinely prime; explicitly enforce p ≠ q, and that both are sufficiently large, randomly generated primes of comparable bit-length; verify gcd(e, φ(n)) = 1 before accepting a candidate e (commonly using standard values like 65537 that are almost always valid); compute d via the Extended Euclidean Algorithm and verify (e × d) mod φ(n) = 1 as an automated sanity check before the key pair is finalized; and incorporate these checks as automated unit tests within the key-generation pipeline so invalid key pairs are rejected before ever being issued.</w:t>
      </w:r>
    </w:p>
    <w:p>
      <w:r>
        <w:br w:type="page"/>
      </w:r>
    </w:p>
    <w:p>
      <w:pPr>
        <w:spacing w:after="200" w:line="276"/>
        <w:jc w:val="center"/>
      </w:pPr>
      <w:r>
        <w:rPr>
          <w:rFonts w:ascii="Times New Roman" w:cs="Times New Roman" w:eastAsia="Times New Roman" w:hAnsi="Times New Roman"/>
          <w:b/>
          <w:bCs/>
          <w:i w:val="false"/>
          <w:iCs w:val="false"/>
          <w:sz w:val="26"/>
          <w:szCs w:val="26"/>
        </w:rPr>
        <w:t xml:space="preserve">RUBRICS FOR CALCULATION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700"/>
        <w:gridCol w:w="1700"/>
        <w:gridCol w:w="1700"/>
      </w:tblGrid>
      <w:tr>
        <w:trPr>
          <w:tblHeader/>
        </w:trPr>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Criteria</w:t>
            </w:r>
          </w:p>
        </w:tc>
        <w:tc>
          <w:tcPr>
            <w:tcW w:type="dxa" w:w="1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Weightage (%)</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4 (Exemplary)</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3 (Proficient)</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2 (Developing)</w:t>
            </w:r>
          </w:p>
        </w:tc>
        <w:tc>
          <w:tcPr>
            <w:tcW w:type="dxa" w:w="17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sz w:val="20"/>
                <w:szCs w:val="20"/>
              </w:rPr>
              <w:t xml:space="preserve">Level 1 (Beginning)</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Understanding of Scenario</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Demonstrates clear and complete understanding of the scenario and context</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Shows good understanding with minor gaps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Partial understanding; misses key aspects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Misinterprets or fails to understand the scenario</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Identification of Key Issues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Accurately identifies all relevant issues and factors involved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most key issues with minor omissions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Identifies limited issues; some irrelevant points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identify key issues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Application of Concepts</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appropriate concepts effectively to address the scenario</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Applies concepts with minor errors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Limited or partially correct application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Unable to apply relevant concepts</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Decision Making</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20%</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well-reasoned, logical decisions with strong rationale</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reasonable decisions with some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Makes weak decisions with limited justification</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No clear decisions made or rationale provided</w:t>
            </w:r>
          </w:p>
        </w:tc>
      </w:tr>
      <w:tr>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Clarity of Response</w:t>
            </w:r>
          </w:p>
        </w:tc>
        <w:tc>
          <w:tcPr>
            <w:tcW w:type="dxa" w:w="1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0"/>
                <w:szCs w:val="20"/>
              </w:rPr>
              <w:t xml:space="preserve">15%</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Response is clear, structured, and logically presented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Generally clear with minor issues</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Somewhat unclear or poorly structured</w:t>
            </w:r>
          </w:p>
        </w:tc>
        <w:tc>
          <w:tcPr>
            <w:tcW w:type="dxa" w:w="17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0"/>
                <w:szCs w:val="20"/>
              </w:rPr>
              <w:t xml:space="preserve">Disorganized and difficult to understand</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2026-07-31T03:28:37.984Z</dcterms:created>
  <dcterms:modified xsi:type="dcterms:W3CDTF">2026-07-31T03:28:37.985Z</dcterms:modified>
</cp:coreProperties>
</file>

<file path=docProps/custom.xml><?xml version="1.0" encoding="utf-8"?>
<Properties xmlns="http://schemas.openxmlformats.org/officeDocument/2006/custom-properties" xmlns:vt="http://schemas.openxmlformats.org/officeDocument/2006/docPropsVTypes"/>
</file>