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SIMATS ENGINEERING</w:t>
      </w:r>
    </w:p>
    <w:p>
      <w:pPr>
        <w:spacing w:after="40"/>
        <w:jc w:val="center"/>
      </w:pPr>
      <w:r>
        <w:rPr>
          <w:rFonts w:ascii="Calibri" w:cs="Calibri" w:eastAsia="Calibri" w:hAnsi="Calibri"/>
          <w:b/>
          <w:bCs/>
          <w:color w:val="1F4E79"/>
          <w:sz w:val="26"/>
          <w:szCs w:val="26"/>
        </w:rPr>
        <w:t xml:space="preserve">ASSESSMENT TOOL 2 — ANSWER KEY</w:t>
      </w:r>
    </w:p>
    <w:p>
      <w:pPr>
        <w:spacing w:after="40"/>
        <w:jc w:val="center"/>
      </w:pPr>
      <w:r>
        <w:rPr>
          <w:rFonts w:ascii="Calibri" w:cs="Calibri" w:eastAsia="Calibri" w:hAnsi="Calibri"/>
          <w:i/>
          <w:iCs/>
          <w:sz w:val="20"/>
          <w:szCs w:val="20"/>
        </w:rPr>
        <w:t xml:space="preserve">Course Name: Computer Networks   |   Course Code: CSA07   |   CO2 — IP Addressing, Subnetting &amp; Basic Routing (BL3)</w:t>
      </w:r>
    </w:p>
    <w:p>
      <w:pPr>
        <w:spacing w:after="300"/>
        <w:jc w:val="center"/>
      </w:pPr>
      <w:r>
        <w:rPr>
          <w:rFonts w:ascii="Calibri" w:cs="Calibri" w:eastAsia="Calibri" w:hAnsi="Calibri"/>
          <w:b/>
          <w:bCs/>
          <w:sz w:val="20"/>
          <w:szCs w:val="20"/>
        </w:rPr>
        <w:t xml:space="preserve">Name: Sharun.SU   |   Register No: 192571012   |   Course Code: 0703</w:t>
      </w:r>
    </w:p>
    <w:p>
      <w:pPr>
        <w:pStyle w:val="Heading1"/>
        <w:spacing w:after="150" w:before="300"/>
      </w:pPr>
      <w:r>
        <w:rPr>
          <w:rFonts w:ascii="Calibri" w:cs="Calibri" w:eastAsia="Calibri" w:hAnsi="Calibri"/>
          <w:b/>
          <w:bCs/>
          <w:sz w:val="28"/>
          <w:szCs w:val="28"/>
        </w:rPr>
        <w:t xml:space="preserve">Question 1 — Smart Campus VLSM Subnetting</w:t>
      </w:r>
    </w:p>
    <w:p>
      <w:pPr>
        <w:spacing w:after="100"/>
      </w:pPr>
      <w:r>
        <w:rPr>
          <w:rFonts w:ascii="Calibri" w:cs="Calibri" w:eastAsia="Calibri" w:hAnsi="Calibri"/>
          <w:b w:val="false"/>
          <w:bCs w:val="false"/>
          <w:i w:val="false"/>
          <w:iCs w:val="false"/>
          <w:sz w:val="22"/>
          <w:szCs w:val="22"/>
        </w:rPr>
        <w:t xml:space="preserve">Given IP block: 192.168.100.0/24 (256 addresses total). Subnets required: School of Computing (/25), School of Electronics (/26), School of Mechanical Engineering (/27). Allocation is done using Variable Length Subnet Masking (VLSM), assigning the largest requirement first so that address blocks align correctly.</w:t>
      </w:r>
    </w:p>
    <w:p>
      <w:pPr>
        <w:pStyle w:val="Heading2"/>
        <w:spacing w:after="100" w:before="200"/>
      </w:pPr>
      <w:r>
        <w:rPr>
          <w:rFonts w:ascii="Calibri" w:cs="Calibri" w:eastAsia="Calibri" w:hAnsi="Calibri"/>
          <w:b/>
          <w:bCs/>
          <w:color w:val="1F4E79"/>
          <w:sz w:val="24"/>
          <w:szCs w:val="24"/>
        </w:rPr>
        <w:t xml:space="preserve">1 &amp; 2. Network Address, Broadcast Address and Valid Host Range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750"/>
        <w:gridCol w:w="1650"/>
        <w:gridCol w:w="1250"/>
      </w:tblGrid>
      <w:tr>
        <w:trPr>
          <w:tblHeader/>
        </w:trPr>
        <w:tc>
          <w:tcPr>
            <w:tcW w:type="dxa" w:w="26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Department</w:t>
            </w:r>
          </w:p>
        </w:tc>
        <w:tc>
          <w:tcPr>
            <w:tcW w:type="dxa" w:w="21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Subnet Mask</w:t>
            </w:r>
          </w:p>
        </w:tc>
        <w:tc>
          <w:tcPr>
            <w:tcW w:type="dxa" w:w="17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Network Address</w:t>
            </w:r>
          </w:p>
        </w:tc>
        <w:tc>
          <w:tcPr>
            <w:tcW w:type="dxa" w:w="16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Broadcast Address</w:t>
            </w:r>
          </w:p>
        </w:tc>
        <w:tc>
          <w:tcPr>
            <w:tcW w:type="dxa" w:w="12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Valid Host Range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School of Computing</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/25 (255.255.255.128)</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192.168.100.0</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192.168.100.127</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 – 192.168.100.126</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School of Electronics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/26 (255.255.255.192)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192.168.100.128</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192.168.100.191</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192.168.100.129 – 192.168.100.190</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School of Mechanical Engg.</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 (255.255.255.224)</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192.168.100.192</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192.168.100.223</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192.168.100.193 – 192.168.100.222</w:t>
            </w:r>
          </w:p>
        </w:tc>
      </w:tr>
    </w:tbl>
    <w:p>
      <w:pPr>
        <w:pStyle w:val="Heading2"/>
        <w:spacing w:after="100" w:before="200"/>
      </w:pPr>
      <w:r>
        <w:rPr>
          <w:rFonts w:ascii="Calibri" w:cs="Calibri" w:eastAsia="Calibri" w:hAnsi="Calibri"/>
          <w:b/>
          <w:bCs/>
          <w:color w:val="1F4E79"/>
          <w:sz w:val="24"/>
          <w:szCs w:val="24"/>
        </w:rPr>
        <w:t xml:space="preserve">3. Usable Host Addresses per Subnet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50"/>
      </w:tblGrid>
      <w:tr>
        <w:trPr>
          <w:tblHeader/>
        </w:trPr>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Department</w:t>
            </w:r>
          </w:p>
        </w:tc>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Formula</w:t>
            </w:r>
          </w:p>
        </w:tc>
        <w:tc>
          <w:tcPr>
            <w:tcW w:type="dxa" w:w="17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Usable Hosts</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School of Computing (/25)</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126</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School of Electronics (/26)</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2^6 − 2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62</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School of Mechanical Engg. (/27)</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2^5 − 2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w:t>
            </w:r>
          </w:p>
        </w:tc>
      </w:tr>
    </w:tbl>
    <w:p>
      <w:pPr>
        <w:pStyle w:val="Heading2"/>
        <w:spacing w:after="100" w:before="200"/>
      </w:pPr>
      <w:r>
        <w:rPr>
          <w:rFonts w:ascii="Calibri" w:cs="Calibri" w:eastAsia="Calibri" w:hAnsi="Calibri"/>
          <w:b/>
          <w:bCs/>
          <w:color w:val="1F4E79"/>
          <w:sz w:val="24"/>
          <w:szCs w:val="24"/>
        </w:rPr>
        <w:t xml:space="preserve">4. Remaining Unused IP Address Range</w:t>
      </w:r>
    </w:p>
    <w:p>
      <w:pPr>
        <w:spacing w:after="100"/>
      </w:pPr>
      <w:r>
        <w:rPr>
          <w:rFonts w:ascii="Calibri" w:cs="Calibri" w:eastAsia="Calibri" w:hAnsi="Calibri"/>
          <w:b w:val="false"/>
          <w:bCs w:val="false"/>
          <w:i w:val="false"/>
          <w:iCs w:val="false"/>
          <w:sz w:val="22"/>
          <w:szCs w:val="22"/>
        </w:rPr>
        <w:t xml:space="preserve">Total addresses allocated so far = 128 (/25) + 64 (/26) + 32 (/27) = 224 out of 256 addresses in 192.168.100.0/24.</w:t>
      </w:r>
    </w:p>
    <w:p>
      <w:pPr>
        <w:spacing w:after="100"/>
      </w:pPr>
      <w:r>
        <w:rPr>
          <w:rFonts w:ascii="Calibri" w:cs="Calibri" w:eastAsia="Calibri" w:hAnsi="Calibri"/>
          <w:b/>
          <w:bCs/>
          <w:i w:val="false"/>
          <w:iCs w:val="false"/>
          <w:sz w:val="22"/>
          <w:szCs w:val="22"/>
        </w:rPr>
        <w:t xml:space="preserve">Remaining unused block: 192.168.100.224 – 192.168.100.255 (a full /27 block of 32 addresses, network address 192.168.100.224, broadcast 192.168.100.255), reserved for future expansion.</w:t>
      </w:r>
    </w:p>
    <w:p>
      <w:pPr>
        <w:pStyle w:val="Heading1"/>
        <w:spacing w:after="150" w:before="300"/>
      </w:pPr>
      <w:r>
        <w:rPr>
          <w:rFonts w:ascii="Calibri" w:cs="Calibri" w:eastAsia="Calibri" w:hAnsi="Calibri"/>
          <w:b/>
          <w:bCs/>
          <w:sz w:val="28"/>
          <w:szCs w:val="28"/>
        </w:rPr>
        <w:t xml:space="preserve">Question 2 — Multinational Company VLSM Subnetting</w:t>
      </w:r>
    </w:p>
    <w:p>
      <w:pPr>
        <w:spacing w:after="100"/>
      </w:pPr>
      <w:r>
        <w:rPr>
          <w:rFonts w:ascii="Calibri" w:cs="Calibri" w:eastAsia="Calibri" w:hAnsi="Calibri"/>
          <w:b w:val="false"/>
          <w:bCs w:val="false"/>
          <w:i w:val="false"/>
          <w:iCs w:val="false"/>
          <w:sz w:val="22"/>
          <w:szCs w:val="22"/>
        </w:rPr>
        <w:t xml:space="preserve">Given IP block: 10.10.0.0/16 (65,536 addresses total). Subnets required: Software Development (/24), Quality Assurance (/25), Human Resources (/26), Executive Management (/27). Allocation again follows VLSM, largest block first.</w:t>
      </w:r>
    </w:p>
    <w:p>
      <w:pPr>
        <w:pStyle w:val="Heading2"/>
        <w:spacing w:after="100" w:before="200"/>
      </w:pPr>
      <w:r>
        <w:rPr>
          <w:rFonts w:ascii="Calibri" w:cs="Calibri" w:eastAsia="Calibri" w:hAnsi="Calibri"/>
          <w:b/>
          <w:bCs/>
          <w:color w:val="1F4E79"/>
          <w:sz w:val="24"/>
          <w:szCs w:val="24"/>
        </w:rPr>
        <w:t xml:space="preserve">1 &amp; 2. Network Address, Broadcast Address and Valid Host Range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750"/>
        <w:gridCol w:w="1650"/>
        <w:gridCol w:w="1350"/>
      </w:tblGrid>
      <w:tr>
        <w:trPr>
          <w:tblHeader/>
        </w:trPr>
        <w:tc>
          <w:tcPr>
            <w:tcW w:type="dxa" w:w="25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Department</w:t>
            </w:r>
          </w:p>
        </w:tc>
        <w:tc>
          <w:tcPr>
            <w:tcW w:type="dxa" w:w="21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Subnet Mask</w:t>
            </w:r>
          </w:p>
        </w:tc>
        <w:tc>
          <w:tcPr>
            <w:tcW w:type="dxa" w:w="17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Network Address</w:t>
            </w:r>
          </w:p>
        </w:tc>
        <w:tc>
          <w:tcPr>
            <w:tcW w:type="dxa" w:w="16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Broadcast Address</w:t>
            </w:r>
          </w:p>
        </w:tc>
        <w:tc>
          <w:tcPr>
            <w:tcW w:type="dxa" w:w="13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Valid Host Range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Software Development</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/24 (255.255.255.0)</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10.10.0.0</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10.10.0.255</w:t>
            </w:r>
          </w:p>
        </w:tc>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10.10.0.1 – 10.10.0.254</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Quality Assurance</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/25 (255.255.255.128)</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10.10.1.0</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10.10.1.127</w:t>
            </w:r>
          </w:p>
        </w:tc>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 – 10.10.1.126</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Human Resources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/26 (255.255.255.192)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10.10.1.128</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10.10.1.191</w:t>
            </w:r>
          </w:p>
        </w:tc>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10.10.1.129 – 10.10.1.190</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Executive Management</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 (255.255.255.224)</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10.10.1.192</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10.10.1.223</w:t>
            </w:r>
          </w:p>
        </w:tc>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10.10.1.193 – 10.10.1.222</w:t>
            </w:r>
          </w:p>
        </w:tc>
      </w:tr>
    </w:tbl>
    <w:p>
      <w:pPr>
        <w:pStyle w:val="Heading2"/>
        <w:spacing w:after="100" w:before="200"/>
      </w:pPr>
      <w:r>
        <w:rPr>
          <w:rFonts w:ascii="Calibri" w:cs="Calibri" w:eastAsia="Calibri" w:hAnsi="Calibri"/>
          <w:b/>
          <w:bCs/>
          <w:color w:val="1F4E79"/>
          <w:sz w:val="24"/>
          <w:szCs w:val="24"/>
        </w:rPr>
        <w:t xml:space="preserve">3. Usable Hosts per Subnet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50"/>
      </w:tblGrid>
      <w:tr>
        <w:trPr>
          <w:tblHeader/>
        </w:trPr>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Department</w:t>
            </w:r>
          </w:p>
        </w:tc>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Formula</w:t>
            </w:r>
          </w:p>
        </w:tc>
        <w:tc>
          <w:tcPr>
            <w:tcW w:type="dxa" w:w="17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Usable Hosts</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Software Development (/24)</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2^8 − 2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254</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Quality Assurance (/25)</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126</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Human Resources (/26)</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2^6 − 2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62</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Executive Management (/27)</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2^5 − 2</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w:t>
            </w:r>
          </w:p>
        </w:tc>
      </w:tr>
    </w:tbl>
    <w:p>
      <w:pPr>
        <w:pStyle w:val="Heading2"/>
        <w:spacing w:after="100" w:before="200"/>
      </w:pPr>
      <w:r>
        <w:rPr>
          <w:rFonts w:ascii="Calibri" w:cs="Calibri" w:eastAsia="Calibri" w:hAnsi="Calibri"/>
          <w:b/>
          <w:bCs/>
          <w:color w:val="1F4E79"/>
          <w:sz w:val="24"/>
          <w:szCs w:val="24"/>
        </w:rPr>
        <w:t xml:space="preserve">4. Remaining Unused IP Address Range</w:t>
      </w:r>
    </w:p>
    <w:p>
      <w:pPr>
        <w:spacing w:after="100"/>
      </w:pPr>
      <w:r>
        <w:rPr>
          <w:rFonts w:ascii="Calibri" w:cs="Calibri" w:eastAsia="Calibri" w:hAnsi="Calibri"/>
          <w:b w:val="false"/>
          <w:bCs w:val="false"/>
          <w:i w:val="false"/>
          <w:iCs w:val="false"/>
          <w:sz w:val="22"/>
          <w:szCs w:val="22"/>
        </w:rPr>
        <w:t xml:space="preserve">Addresses consumed: 256 (/24) + 128 (/25) + 64 (/26) + 32 (/27) = 480 addresses, all within 10.10.0.0 – 10.10.1.223.</w:t>
      </w:r>
    </w:p>
    <w:p>
      <w:pPr>
        <w:spacing w:after="100"/>
      </w:pPr>
      <w:r>
        <w:rPr>
          <w:rFonts w:ascii="Calibri" w:cs="Calibri" w:eastAsia="Calibri" w:hAnsi="Calibri"/>
          <w:b/>
          <w:bCs/>
          <w:i w:val="false"/>
          <w:iCs w:val="false"/>
          <w:sz w:val="22"/>
          <w:szCs w:val="22"/>
        </w:rPr>
        <w:t xml:space="preserve">Remaining unused block: 10.10.1.224 – 10.10.255.255, which spans the rest of the allocated 10.10.0.0/16 block and remains available for future departments or expansion.</w:t>
      </w:r>
    </w:p>
    <w:p>
      <w:pPr>
        <w:pStyle w:val="Heading1"/>
        <w:spacing w:after="150" w:before="300"/>
      </w:pPr>
      <w:r>
        <w:rPr>
          <w:rFonts w:ascii="Calibri" w:cs="Calibri" w:eastAsia="Calibri" w:hAnsi="Calibri"/>
          <w:b/>
          <w:bCs/>
          <w:sz w:val="28"/>
          <w:szCs w:val="28"/>
        </w:rPr>
        <w:t xml:space="preserve">Question 3 — Hospital IPv4-to-IPv6 Migration</w:t>
      </w:r>
    </w:p>
    <w:p>
      <w:pPr>
        <w:spacing w:after="100"/>
      </w:pPr>
      <w:r>
        <w:rPr>
          <w:rFonts w:ascii="Calibri" w:cs="Calibri" w:eastAsia="Calibri" w:hAnsi="Calibri"/>
          <w:b w:val="false"/>
          <w:bCs w:val="false"/>
          <w:i w:val="false"/>
          <w:iCs w:val="false"/>
          <w:sz w:val="22"/>
          <w:szCs w:val="22"/>
        </w:rPr>
        <w:t xml:space="preserve">Given IPv6 network: 2001:0db8:abcd:0000:0000:0000:0000:0000/64</w:t>
      </w:r>
    </w:p>
    <w:p>
      <w:pPr>
        <w:pStyle w:val="Heading2"/>
        <w:spacing w:after="100" w:before="200"/>
      </w:pPr>
      <w:r>
        <w:rPr>
          <w:rFonts w:ascii="Calibri" w:cs="Calibri" w:eastAsia="Calibri" w:hAnsi="Calibri"/>
          <w:b/>
          <w:bCs/>
          <w:color w:val="1F4E79"/>
          <w:sz w:val="24"/>
          <w:szCs w:val="24"/>
        </w:rPr>
        <w:t xml:space="preserve">1. Compressed Notation</w:t>
      </w:r>
    </w:p>
    <w:p>
      <w:pPr>
        <w:spacing w:after="100"/>
      </w:pPr>
      <w:r>
        <w:rPr>
          <w:rFonts w:ascii="Calibri" w:cs="Calibri" w:eastAsia="Calibri" w:hAnsi="Calibri"/>
          <w:b/>
          <w:bCs/>
          <w:i w:val="false"/>
          <w:iCs w:val="false"/>
          <w:sz w:val="22"/>
          <w:szCs w:val="22"/>
        </w:rPr>
        <w:t xml:space="preserve">2001:db8:abcd::/64</w:t>
      </w:r>
    </w:p>
    <w:p>
      <w:pPr>
        <w:spacing w:after="100"/>
      </w:pPr>
      <w:r>
        <w:rPr>
          <w:rFonts w:ascii="Calibri" w:cs="Calibri" w:eastAsia="Calibri" w:hAnsi="Calibri"/>
          <w:b w:val="false"/>
          <w:bCs w:val="false"/>
          <w:i w:val="false"/>
          <w:iCs w:val="false"/>
          <w:sz w:val="22"/>
          <w:szCs w:val="22"/>
        </w:rPr>
        <w:t xml:space="preserve">Leading zeros in each hextet are dropped (0db8 → db8), and the longest run of consecutive all-zero hextets is replaced once with '::' (0000:0000:0000:0000:0000 → ::).</w:t>
      </w:r>
    </w:p>
    <w:p>
      <w:pPr>
        <w:pStyle w:val="Heading2"/>
        <w:spacing w:after="100" w:before="200"/>
      </w:pPr>
      <w:r>
        <w:rPr>
          <w:rFonts w:ascii="Calibri" w:cs="Calibri" w:eastAsia="Calibri" w:hAnsi="Calibri"/>
          <w:b/>
          <w:bCs/>
          <w:color w:val="1F4E79"/>
          <w:sz w:val="24"/>
          <w:szCs w:val="24"/>
        </w:rPr>
        <w:t xml:space="preserve">2. Expanded (Full Hexadecimal) Notation</w:t>
      </w:r>
    </w:p>
    <w:p>
      <w:pPr>
        <w:spacing w:after="100"/>
      </w:pPr>
      <w:r>
        <w:rPr>
          <w:rFonts w:ascii="Calibri" w:cs="Calibri" w:eastAsia="Calibri" w:hAnsi="Calibri"/>
          <w:b/>
          <w:bCs/>
          <w:i w:val="false"/>
          <w:iCs w:val="false"/>
          <w:sz w:val="22"/>
          <w:szCs w:val="22"/>
        </w:rPr>
        <w:t xml:space="preserve">2001:0db8:abcd:0000:0000:0000:0000:0000</w:t>
      </w:r>
    </w:p>
    <w:p>
      <w:pPr>
        <w:spacing w:after="100"/>
      </w:pPr>
      <w:r>
        <w:rPr>
          <w:rFonts w:ascii="Calibri" w:cs="Calibri" w:eastAsia="Calibri" w:hAnsi="Calibri"/>
          <w:b w:val="false"/>
          <w:bCs w:val="false"/>
          <w:i w:val="false"/>
          <w:iCs w:val="false"/>
          <w:sz w:val="22"/>
          <w:szCs w:val="22"/>
        </w:rPr>
        <w:t xml:space="preserve">Every hextet is written back to its full 4-hexadecimal-digit form, and '::' is expanded into the correct number of zero hextets so that 8 groups of 16 bits are shown.</w:t>
      </w:r>
    </w:p>
    <w:p>
      <w:pPr>
        <w:pStyle w:val="Heading2"/>
        <w:spacing w:after="100" w:before="200"/>
      </w:pPr>
      <w:r>
        <w:rPr>
          <w:rFonts w:ascii="Calibri" w:cs="Calibri" w:eastAsia="Calibri" w:hAnsi="Calibri"/>
          <w:b/>
          <w:bCs/>
          <w:color w:val="1F4E79"/>
          <w:sz w:val="24"/>
          <w:szCs w:val="24"/>
        </w:rPr>
        <w:t xml:space="preserve">3. Network Prefix (using /64)</w:t>
      </w:r>
    </w:p>
    <w:p>
      <w:pPr>
        <w:spacing w:after="100"/>
      </w:pPr>
      <w:r>
        <w:rPr>
          <w:rFonts w:ascii="Calibri" w:cs="Calibri" w:eastAsia="Calibri" w:hAnsi="Calibri"/>
          <w:b/>
          <w:bCs/>
          <w:i w:val="false"/>
          <w:iCs w:val="false"/>
          <w:sz w:val="22"/>
          <w:szCs w:val="22"/>
        </w:rPr>
        <w:t xml:space="preserve">Network Prefix = 2001:0db8:abcd:0000  (i.e. 2001:db8:abcd::/64)</w:t>
      </w:r>
    </w:p>
    <w:p>
      <w:pPr>
        <w:spacing w:after="100"/>
      </w:pPr>
      <w:r>
        <w:rPr>
          <w:rFonts w:ascii="Calibri" w:cs="Calibri" w:eastAsia="Calibri" w:hAnsi="Calibri"/>
          <w:b w:val="false"/>
          <w:bCs w:val="false"/>
          <w:i w:val="false"/>
          <w:iCs w:val="false"/>
          <w:sz w:val="22"/>
          <w:szCs w:val="22"/>
        </w:rPr>
        <w:t xml:space="preserve">The /64 prefix means the first 64 bits (the first four hextets) identify the network, while the remaining 64 bits form the Interface ID used for hosts/devices.</w:t>
      </w:r>
    </w:p>
    <w:p>
      <w:pPr>
        <w:pStyle w:val="Heading2"/>
        <w:spacing w:after="100" w:before="200"/>
      </w:pPr>
      <w:r>
        <w:rPr>
          <w:rFonts w:ascii="Calibri" w:cs="Calibri" w:eastAsia="Calibri" w:hAnsi="Calibri"/>
          <w:b/>
          <w:bCs/>
          <w:color w:val="1F4E79"/>
          <w:sz w:val="24"/>
          <w:szCs w:val="24"/>
        </w:rPr>
        <w:t xml:space="preserve">4 &amp; 5. Total Number of Host Addresses Supported</w:t>
      </w:r>
    </w:p>
    <w:p>
      <w:pPr>
        <w:spacing w:after="100"/>
      </w:pPr>
      <w:r>
        <w:rPr>
          <w:rFonts w:ascii="Calibri" w:cs="Calibri" w:eastAsia="Calibri" w:hAnsi="Calibri"/>
          <w:b w:val="false"/>
          <w:bCs w:val="false"/>
          <w:i w:val="false"/>
          <w:iCs w:val="false"/>
          <w:sz w:val="22"/>
          <w:szCs w:val="22"/>
        </w:rPr>
        <w:t xml:space="preserve">Host portion = 128 − 64 = 64 bits.</w:t>
      </w:r>
    </w:p>
    <w:p>
      <w:pPr>
        <w:spacing w:after="100"/>
      </w:pPr>
      <w:r>
        <w:rPr>
          <w:rFonts w:ascii="Calibri" w:cs="Calibri" w:eastAsia="Calibri" w:hAnsi="Calibri"/>
          <w:b/>
          <w:bCs/>
          <w:i w:val="false"/>
          <w:iCs w:val="false"/>
          <w:sz w:val="22"/>
          <w:szCs w:val="22"/>
        </w:rPr>
        <w:t xml:space="preserve">Total possible addresses in the subnet = 2^64 = 18,446,744,073,709,551,616 addresses.</w:t>
      </w:r>
    </w:p>
    <w:p>
      <w:pPr>
        <w:spacing w:after="100"/>
      </w:pPr>
      <w:r>
        <w:rPr>
          <w:rFonts w:ascii="Calibri" w:cs="Calibri" w:eastAsia="Calibri" w:hAnsi="Calibri"/>
          <w:b w:val="false"/>
          <w:bCs w:val="false"/>
          <w:i w:val="false"/>
          <w:iCs w:val="false"/>
          <w:sz w:val="22"/>
          <w:szCs w:val="22"/>
        </w:rPr>
        <w:t xml:space="preserve">This enormous address space (over 18 quintillion addresses) is more than sufficient to uniquely address every medical device, IoT sensor, and connected equipment in the hospital network, even accounting for large future growth — this is the standard reason /64 is used for LAN subnets in IPv6.</w:t>
      </w:r>
    </w:p>
    <w:p>
      <w:pPr>
        <w:pStyle w:val="Heading1"/>
        <w:spacing w:after="150" w:before="300"/>
      </w:pPr>
      <w:r>
        <w:rPr>
          <w:rFonts w:ascii="Calibri" w:cs="Calibri" w:eastAsia="Calibri" w:hAnsi="Calibri"/>
          <w:b/>
          <w:bCs/>
          <w:sz w:val="28"/>
          <w:szCs w:val="28"/>
        </w:rPr>
        <w:t xml:space="preserve">Question 4 — Longest Prefix Match Routing</w:t>
      </w:r>
    </w:p>
    <w:p>
      <w:pPr>
        <w:spacing w:after="100"/>
      </w:pPr>
      <w:r>
        <w:rPr>
          <w:rFonts w:ascii="Calibri" w:cs="Calibri" w:eastAsia="Calibri" w:hAnsi="Calibri"/>
          <w:b w:val="false"/>
          <w:bCs w:val="false"/>
          <w:i w:val="false"/>
          <w:iCs w:val="false"/>
          <w:sz w:val="22"/>
          <w:szCs w:val="22"/>
        </w:rPr>
        <w:t xml:space="preserve">Routing table entries: 192.168.1.0/24, 192.168.2.0/24, 192.168.3.0/24. Incoming packet destination: 192.168.2.45</w:t>
      </w:r>
    </w:p>
    <w:p>
      <w:pPr>
        <w:pStyle w:val="Heading2"/>
        <w:spacing w:after="100" w:before="200"/>
      </w:pPr>
      <w:r>
        <w:rPr>
          <w:rFonts w:ascii="Calibri" w:cs="Calibri" w:eastAsia="Calibri" w:hAnsi="Calibri"/>
          <w:b/>
          <w:bCs/>
          <w:color w:val="1F4E79"/>
          <w:sz w:val="24"/>
          <w:szCs w:val="24"/>
        </w:rPr>
        <w:t xml:space="preserve">1. Destination Subnet</w:t>
      </w:r>
    </w:p>
    <w:p>
      <w:pPr>
        <w:spacing w:after="100"/>
      </w:pPr>
      <w:r>
        <w:rPr>
          <w:rFonts w:ascii="Calibri" w:cs="Calibri" w:eastAsia="Calibri" w:hAnsi="Calibri"/>
          <w:b/>
          <w:bCs/>
          <w:i w:val="false"/>
          <w:iCs w:val="false"/>
          <w:sz w:val="22"/>
          <w:szCs w:val="22"/>
        </w:rPr>
        <w:t xml:space="preserve">192.168.2.0/24 — because 192.168.2.45 lies within the range 192.168.2.1 – 192.168.2.254.</w:t>
      </w:r>
    </w:p>
    <w:p>
      <w:pPr>
        <w:pStyle w:val="Heading2"/>
        <w:spacing w:after="100" w:before="200"/>
      </w:pPr>
      <w:r>
        <w:rPr>
          <w:rFonts w:ascii="Calibri" w:cs="Calibri" w:eastAsia="Calibri" w:hAnsi="Calibri"/>
          <w:b/>
          <w:bCs/>
          <w:color w:val="1F4E79"/>
          <w:sz w:val="24"/>
          <w:szCs w:val="24"/>
        </w:rPr>
        <w:t xml:space="preserve">2. Matching Routing Table Entry</w:t>
      </w:r>
    </w:p>
    <w:p>
      <w:pPr>
        <w:spacing w:after="100"/>
      </w:pPr>
      <w:r>
        <w:rPr>
          <w:rFonts w:ascii="Calibri" w:cs="Calibri" w:eastAsia="Calibri" w:hAnsi="Calibri"/>
          <w:b/>
          <w:bCs/>
          <w:i w:val="false"/>
          <w:iCs w:val="false"/>
          <w:sz w:val="22"/>
          <w:szCs w:val="22"/>
        </w:rPr>
        <w:t xml:space="preserve">192.168.2.0/24 is the matching entry (exact and only match — this is the Longest Prefix Match, since all three entries are /24 but only this one contains the destination address).</w:t>
      </w:r>
    </w:p>
    <w:p>
      <w:pPr>
        <w:pStyle w:val="Heading2"/>
        <w:spacing w:after="100" w:before="200"/>
      </w:pPr>
      <w:r>
        <w:rPr>
          <w:rFonts w:ascii="Calibri" w:cs="Calibri" w:eastAsia="Calibri" w:hAnsi="Calibri"/>
          <w:b/>
          <w:bCs/>
          <w:color w:val="1F4E79"/>
          <w:sz w:val="24"/>
          <w:szCs w:val="24"/>
        </w:rPr>
        <w:t xml:space="preserve">3. Next-Hop Network / Interface</w:t>
      </w:r>
    </w:p>
    <w:p>
      <w:pPr>
        <w:spacing w:after="100"/>
      </w:pPr>
      <w:r>
        <w:rPr>
          <w:rFonts w:ascii="Calibri" w:cs="Calibri" w:eastAsia="Calibri" w:hAnsi="Calibri"/>
          <w:b/>
          <w:bCs/>
          <w:i w:val="false"/>
          <w:iCs w:val="false"/>
          <w:sz w:val="22"/>
          <w:szCs w:val="22"/>
        </w:rPr>
        <w:t xml:space="preserve">The router forwards the packet out of the interface configured for the 192.168.2.0/24 network (i.e., the interface directly connected to, or the next-hop pointing toward, the 192.168.2.0/24 LAN).</w:t>
      </w:r>
    </w:p>
    <w:p>
      <w:pPr>
        <w:pStyle w:val="Heading2"/>
        <w:spacing w:after="100" w:before="200"/>
      </w:pPr>
      <w:r>
        <w:rPr>
          <w:rFonts w:ascii="Calibri" w:cs="Calibri" w:eastAsia="Calibri" w:hAnsi="Calibri"/>
          <w:b/>
          <w:bCs/>
          <w:color w:val="1F4E79"/>
          <w:sz w:val="24"/>
          <w:szCs w:val="24"/>
        </w:rPr>
        <w:t xml:space="preserve">4. Default Route (No Match Case)</w:t>
      </w:r>
    </w:p>
    <w:p>
      <w:pPr>
        <w:spacing w:after="100"/>
      </w:pPr>
      <w:r>
        <w:rPr>
          <w:rFonts w:ascii="Calibri" w:cs="Calibri" w:eastAsia="Calibri" w:hAnsi="Calibri"/>
          <w:b/>
          <w:bCs/>
          <w:i w:val="false"/>
          <w:iCs w:val="false"/>
          <w:sz w:val="22"/>
          <w:szCs w:val="22"/>
        </w:rPr>
        <w:t xml:space="preserve">If the destination address does not match any entry in the routing table, the router forwards the packet using the default route, denoted 0.0.0.0/0, which points to the gateway of last resort (typically the ISP's upstream router).</w:t>
      </w:r>
    </w:p>
    <w:p>
      <w:pPr>
        <w:pStyle w:val="Heading1"/>
        <w:spacing w:after="150" w:before="300"/>
      </w:pPr>
      <w:r>
        <w:rPr>
          <w:rFonts w:ascii="Calibri" w:cs="Calibri" w:eastAsia="Calibri" w:hAnsi="Calibri"/>
          <w:b/>
          <w:bCs/>
          <w:sz w:val="28"/>
          <w:szCs w:val="28"/>
        </w:rPr>
        <w:t xml:space="preserve">Question 5 — Two-LAN Layer-3 Router Design</w:t>
      </w:r>
    </w:p>
    <w:p>
      <w:pPr>
        <w:spacing w:after="100"/>
      </w:pPr>
      <w:r>
        <w:rPr>
          <w:rFonts w:ascii="Calibri" w:cs="Calibri" w:eastAsia="Calibri" w:hAnsi="Calibri"/>
          <w:b w:val="false"/>
          <w:bCs w:val="false"/>
          <w:i w:val="false"/>
          <w:iCs w:val="false"/>
          <w:sz w:val="22"/>
          <w:szCs w:val="22"/>
        </w:rPr>
        <w:t xml:space="preserve">Administration LAN: 192.168.10.0/26   |   Finance LAN: 192.168.10.64/26</w:t>
      </w:r>
    </w:p>
    <w:p>
      <w:pPr>
        <w:pStyle w:val="Heading2"/>
        <w:spacing w:after="100" w:before="200"/>
      </w:pPr>
      <w:r>
        <w:rPr>
          <w:rFonts w:ascii="Calibri" w:cs="Calibri" w:eastAsia="Calibri" w:hAnsi="Calibri"/>
          <w:b/>
          <w:bCs/>
          <w:color w:val="1F4E79"/>
          <w:sz w:val="24"/>
          <w:szCs w:val="24"/>
        </w:rPr>
        <w:t xml:space="preserve">1. Network Address and Broadcast Address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775"/>
        <w:gridCol w:w="2775"/>
      </w:tblGrid>
      <w:tr>
        <w:trPr>
          <w:tblHeader/>
        </w:trPr>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LAN</w:t>
            </w:r>
          </w:p>
        </w:tc>
        <w:tc>
          <w:tcPr>
            <w:tcW w:type="dxa" w:w="2775"/>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Network Address</w:t>
            </w:r>
          </w:p>
        </w:tc>
        <w:tc>
          <w:tcPr>
            <w:tcW w:type="dxa" w:w="2775"/>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Broadcast Address</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Administration LAN</w:t>
            </w:r>
          </w:p>
        </w:tc>
        <w:tc>
          <w:tcPr>
            <w:tcW w:type="dxa" w:w="2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w:t>
            </w:r>
          </w:p>
        </w:tc>
        <w:tc>
          <w:tcPr>
            <w:tcW w:type="dxa" w:w="2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192.168.10.63</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Finance LAN</w:t>
            </w:r>
          </w:p>
        </w:tc>
        <w:tc>
          <w:tcPr>
            <w:tcW w:type="dxa" w:w="2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192.168.10.64</w:t>
            </w:r>
          </w:p>
        </w:tc>
        <w:tc>
          <w:tcPr>
            <w:tcW w:type="dxa" w:w="2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192.168.10.127</w:t>
            </w:r>
          </w:p>
        </w:tc>
      </w:tr>
    </w:tbl>
    <w:p>
      <w:pPr>
        <w:pStyle w:val="Heading2"/>
        <w:spacing w:after="100" w:before="200"/>
      </w:pPr>
      <w:r>
        <w:rPr>
          <w:rFonts w:ascii="Calibri" w:cs="Calibri" w:eastAsia="Calibri" w:hAnsi="Calibri"/>
          <w:b/>
          <w:bCs/>
          <w:color w:val="1F4E79"/>
          <w:sz w:val="24"/>
          <w:szCs w:val="24"/>
        </w:rPr>
        <w:t xml:space="preserve">2. Valid Host IP Address Range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775"/>
        <w:gridCol w:w="1775"/>
      </w:tblGrid>
      <w:tr>
        <w:trPr>
          <w:tblHeader/>
        </w:trPr>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LAN</w:t>
            </w:r>
          </w:p>
        </w:tc>
        <w:tc>
          <w:tcPr>
            <w:tcW w:type="dxa" w:w="3775"/>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Valid Host Range</w:t>
            </w:r>
          </w:p>
        </w:tc>
        <w:tc>
          <w:tcPr>
            <w:tcW w:type="dxa" w:w="1775"/>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Usable Hosts</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Administration LAN</w:t>
            </w:r>
          </w:p>
        </w:tc>
        <w:tc>
          <w:tcPr>
            <w:tcW w:type="dxa" w:w="3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192.168.10.1 – 192.168.10.62</w:t>
            </w:r>
          </w:p>
        </w:tc>
        <w:tc>
          <w:tcPr>
            <w:tcW w:type="dxa" w:w="1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62 (2^6 − 2)</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Finance LAN</w:t>
            </w:r>
          </w:p>
        </w:tc>
        <w:tc>
          <w:tcPr>
            <w:tcW w:type="dxa" w:w="3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192.168.10.65 – 192.168.10.126</w:t>
            </w:r>
          </w:p>
        </w:tc>
        <w:tc>
          <w:tcPr>
            <w:tcW w:type="dxa" w:w="17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62 (2^6 − 2)</w:t>
            </w:r>
          </w:p>
        </w:tc>
      </w:tr>
    </w:tbl>
    <w:p>
      <w:pPr>
        <w:pStyle w:val="Heading2"/>
        <w:spacing w:after="100" w:before="200"/>
      </w:pPr>
      <w:r>
        <w:rPr>
          <w:rFonts w:ascii="Calibri" w:cs="Calibri" w:eastAsia="Calibri" w:hAnsi="Calibri"/>
          <w:b/>
          <w:bCs/>
          <w:color w:val="1F4E79"/>
          <w:sz w:val="24"/>
          <w:szCs w:val="24"/>
        </w:rPr>
        <w:t xml:space="preserve">3. Suggested IP Addresses for Three Computers per 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1750"/>
      </w:tblGrid>
      <w:tr>
        <w:trPr>
          <w:tblHeader/>
        </w:trPr>
        <w:tc>
          <w:tcPr>
            <w:tcW w:type="dxa" w:w="38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LAN</w:t>
            </w:r>
          </w:p>
        </w:tc>
        <w:tc>
          <w:tcPr>
            <w:tcW w:type="dxa" w:w="19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PC-1</w:t>
            </w:r>
          </w:p>
        </w:tc>
        <w:tc>
          <w:tcPr>
            <w:tcW w:type="dxa" w:w="190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PC-2</w:t>
            </w:r>
          </w:p>
        </w:tc>
        <w:tc>
          <w:tcPr>
            <w:tcW w:type="dxa" w:w="1750"/>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PC-3</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Administration LAN</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192.168.10.10</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192.168.10.20</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192.168.10.30</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Finance LAN</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192.168.10.70</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192.168.10.80</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192.168.10.90</w:t>
            </w:r>
          </w:p>
        </w:tc>
      </w:tr>
    </w:tbl>
    <w:p>
      <w:pPr>
        <w:spacing w:after="100"/>
      </w:pPr>
      <w:r>
        <w:rPr>
          <w:rFonts w:ascii="Calibri" w:cs="Calibri" w:eastAsia="Calibri" w:hAnsi="Calibri"/>
          <w:b w:val="false"/>
          <w:bCs w:val="false"/>
          <w:i/>
          <w:iCs/>
          <w:sz w:val="22"/>
          <w:szCs w:val="22"/>
        </w:rPr>
        <w:t xml:space="preserve">(Any addresses within each LAN's valid host range, excluding the gateway address, are acceptable — the values above are illustrative.)</w:t>
      </w:r>
    </w:p>
    <w:p>
      <w:pPr>
        <w:pStyle w:val="Heading2"/>
        <w:spacing w:after="100" w:before="200"/>
      </w:pPr>
      <w:r>
        <w:rPr>
          <w:rFonts w:ascii="Calibri" w:cs="Calibri" w:eastAsia="Calibri" w:hAnsi="Calibri"/>
          <w:b/>
          <w:bCs/>
          <w:color w:val="1F4E79"/>
          <w:sz w:val="24"/>
          <w:szCs w:val="24"/>
        </w:rPr>
        <w:t xml:space="preserve">4. Default Gateway for Each 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LAN</w:t>
            </w:r>
          </w:p>
        </w:tc>
        <w:tc>
          <w:tcPr>
            <w:tcW w:type="dxa" w:w="4675"/>
            <w:shd w:fill="1F4E79"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Default Gateway</w:t>
            </w:r>
          </w:p>
        </w:tc>
      </w:tr>
      <w:tr>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Administration LAN</w:t>
            </w:r>
          </w:p>
        </w:tc>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192.168.10.1</w:t>
            </w:r>
          </w:p>
        </w:tc>
      </w:tr>
      <w:tr>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Finance LAN</w:t>
            </w:r>
          </w:p>
        </w:tc>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192.168.10.65</w:t>
            </w:r>
          </w:p>
        </w:tc>
      </w:tr>
    </w:tbl>
    <w:p>
      <w:pPr>
        <w:spacing w:after="100"/>
      </w:pPr>
      <w:r>
        <w:rPr>
          <w:rFonts w:ascii="Calibri" w:cs="Calibri" w:eastAsia="Calibri" w:hAnsi="Calibri"/>
          <w:b w:val="false"/>
          <w:bCs w:val="false"/>
          <w:i w:val="false"/>
          <w:iCs w:val="false"/>
          <w:sz w:val="22"/>
          <w:szCs w:val="22"/>
        </w:rPr>
        <w:t xml:space="preserve">Hosts in the Administration LAN use 192.168.10.1 as their default gateway, and hosts in the Finance LAN use 192.168.10.65, as configured on the router's Layer-3 interfaces. This allows the router to route traffic between the two LANs and out to any external network.</w:t>
      </w:r>
    </w:p>
    <w:p>
      <w:pPr>
        <w:spacing w:before="300"/>
        <w:jc w:val="center"/>
      </w:pPr>
      <w:r>
        <w:rPr>
          <w:rFonts w:ascii="Calibri" w:cs="Calibri" w:eastAsia="Calibri" w:hAnsi="Calibri"/>
          <w:i/>
          <w:iCs/>
          <w:sz w:val="20"/>
          <w:szCs w:val="20"/>
        </w:rPr>
        <w:t xml:space="preserve">— End of Answer Key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2026-07-27T02:58:35.863Z</dcterms:created>
  <dcterms:modified xsi:type="dcterms:W3CDTF">2026-07-27T02:58:35.863Z</dcterms:modified>
</cp:coreProperties>
</file>

<file path=docProps/custom.xml><?xml version="1.0" encoding="utf-8"?>
<Properties xmlns="http://schemas.openxmlformats.org/officeDocument/2006/custom-properties" xmlns:vt="http://schemas.openxmlformats.org/officeDocument/2006/docPropsVTypes"/>
</file>