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4E79"/>
          <w:sz w:val="32"/>
          <w:szCs w:val="32"/>
        </w:rPr>
        <w:t xml:space="preserve">SIMATS ENGINEERING</w:t>
      </w:r>
    </w:p>
    <w:p>
      <w:pPr>
        <w:spacing w:after="200"/>
        <w:jc w:val="center"/>
      </w:pPr>
      <w:r>
        <w:rPr>
          <w:rFonts w:ascii="Calibri" w:cs="Calibri" w:eastAsia="Calibri" w:hAnsi="Calibri"/>
          <w:b/>
          <w:bCs/>
          <w:sz w:val="24"/>
          <w:szCs w:val="24"/>
        </w:rPr>
        <w:t xml:space="preserve">ASSESSMENT TOOL 3</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200"/>
        <w:gridCol w:w="6260"/>
      </w:tblGrid>
      <w:tr>
        <w:trPr>
          <w:tblHeader/>
        </w:trPr>
        <w:tc>
          <w:tcPr>
            <w:tcW w:type="dxa" w:w="3200"/>
            <w:shd w:fill="2E74B5"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Field</w:t>
            </w:r>
          </w:p>
        </w:tc>
        <w:tc>
          <w:tcPr>
            <w:tcW w:type="dxa" w:w="6260"/>
            <w:shd w:fill="2E74B5"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Details</w:t>
            </w:r>
          </w:p>
        </w:tc>
      </w:tr>
      <w:tr>
        <w:tc>
          <w:tcPr>
            <w:tcW w:type="dxa" w:w="32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Student Name</w:t>
            </w:r>
          </w:p>
        </w:tc>
        <w:tc>
          <w:tcPr>
            <w:tcW w:type="dxa" w:w="626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Sharun</w:t>
            </w:r>
          </w:p>
        </w:tc>
      </w:tr>
      <w:tr>
        <w:tc>
          <w:tcPr>
            <w:tcW w:type="dxa" w:w="32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Register Number</w:t>
            </w:r>
          </w:p>
        </w:tc>
        <w:tc>
          <w:tcPr>
            <w:tcW w:type="dxa" w:w="626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192571012</w:t>
            </w:r>
          </w:p>
        </w:tc>
      </w:tr>
      <w:tr>
        <w:tc>
          <w:tcPr>
            <w:tcW w:type="dxa" w:w="32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Course Code</w:t>
            </w:r>
          </w:p>
        </w:tc>
        <w:tc>
          <w:tcPr>
            <w:tcW w:type="dxa" w:w="626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0703</w:t>
            </w:r>
          </w:p>
        </w:tc>
      </w:tr>
      <w:tr>
        <w:tc>
          <w:tcPr>
            <w:tcW w:type="dxa" w:w="32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Course Name</w:t>
            </w:r>
          </w:p>
        </w:tc>
        <w:tc>
          <w:tcPr>
            <w:tcW w:type="dxa" w:w="626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Computer Networks (CSA07)</w:t>
            </w:r>
          </w:p>
        </w:tc>
      </w:tr>
      <w:tr>
        <w:tc>
          <w:tcPr>
            <w:tcW w:type="dxa" w:w="32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Course Outcome</w:t>
            </w:r>
          </w:p>
        </w:tc>
        <w:tc>
          <w:tcPr>
            <w:tcW w:type="dxa" w:w="626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CO2 – Configure IP addressing schemes, subnetting, and basic routing techniques using simulation tool, for efficient network design and topology (BL3)</w:t>
            </w:r>
          </w:p>
        </w:tc>
      </w:tr>
      <w:tr>
        <w:tc>
          <w:tcPr>
            <w:tcW w:type="dxa" w:w="32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Assessment</w:t>
            </w:r>
          </w:p>
        </w:tc>
        <w:tc>
          <w:tcPr>
            <w:tcW w:type="dxa" w:w="626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Annexure A – Debugging &amp; Optimisation Task</w:t>
            </w:r>
          </w:p>
        </w:tc>
      </w:tr>
      <w:tr>
        <w:tc>
          <w:tcPr>
            <w:tcW w:type="dxa" w:w="32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Software</w:t>
            </w:r>
          </w:p>
        </w:tc>
        <w:tc>
          <w:tcPr>
            <w:tcW w:type="dxa" w:w="626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Cisco Packet Tracer, Wireshark</w:t>
            </w:r>
          </w:p>
        </w:tc>
      </w:tr>
      <w:tr>
        <w:tc>
          <w:tcPr>
            <w:tcW w:type="dxa" w:w="32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Weightage</w:t>
            </w:r>
          </w:p>
        </w:tc>
        <w:tc>
          <w:tcPr>
            <w:tcW w:type="dxa" w:w="626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30%</w:t>
            </w:r>
          </w:p>
        </w:tc>
      </w:tr>
    </w:tbl>
    <w:p>
      <w:pPr>
        <w:spacing w:after="300"/>
      </w:pPr>
      <w:r>
        <w:rPr>
          <w:rFonts w:ascii="Calibri" w:cs="Calibri" w:eastAsia="Calibri" w:hAnsi="Calibri"/>
        </w:rPr>
        <w:t xml:space="preserve"/>
      </w:r>
    </w:p>
    <w:p>
      <w:pPr>
        <w:pStyle w:val="Heading1"/>
        <w:spacing w:after="160" w:before="320"/>
      </w:pPr>
      <w:r>
        <w:rPr>
          <w:rFonts w:ascii="Calibri" w:cs="Calibri" w:eastAsia="Calibri" w:hAnsi="Calibri"/>
          <w:b/>
          <w:bCs/>
        </w:rPr>
        <w:t xml:space="preserve">Question 1 – IPv4 Subnet Configuration Debugging</w:t>
      </w:r>
    </w:p>
    <w:p>
      <w:pPr>
        <w:pStyle w:val="Heading2"/>
        <w:spacing w:after="120" w:before="220"/>
      </w:pPr>
      <w:r>
        <w:rPr>
          <w:rFonts w:ascii="Calibri" w:cs="Calibri" w:eastAsia="Calibri" w:hAnsi="Calibri"/>
          <w:b/>
          <w:bCs/>
          <w:color w:val="1F4E79"/>
        </w:rPr>
        <w:t xml:space="preserve">Given</w:t>
      </w:r>
    </w:p>
    <w:p>
      <w:pPr>
        <w:pStyle w:val="ListParagraph"/>
        <w:numPr>
          <w:ilvl w:val="0"/>
          <w:numId w:val="1"/>
        </w:numPr>
        <w:spacing w:after="80"/>
      </w:pPr>
      <w:r>
        <w:rPr>
          <w:rFonts w:ascii="Calibri" w:cs="Calibri" w:eastAsia="Calibri" w:hAnsi="Calibri"/>
        </w:rPr>
        <w:t xml:space="preserve">IP Address: 192.168.10.65</w:t>
      </w:r>
    </w:p>
    <w:p>
      <w:pPr>
        <w:pStyle w:val="ListParagraph"/>
        <w:numPr>
          <w:ilvl w:val="0"/>
          <w:numId w:val="1"/>
        </w:numPr>
        <w:spacing w:after="80"/>
      </w:pPr>
      <w:r>
        <w:rPr>
          <w:rFonts w:ascii="Calibri" w:cs="Calibri" w:eastAsia="Calibri" w:hAnsi="Calibri"/>
        </w:rPr>
        <w:t xml:space="preserve">Subnet Mask: 255.255.255.192 (/26)</w:t>
      </w:r>
    </w:p>
    <w:p>
      <w:pPr>
        <w:pStyle w:val="ListParagraph"/>
        <w:numPr>
          <w:ilvl w:val="0"/>
          <w:numId w:val="1"/>
        </w:numPr>
        <w:spacing w:after="80"/>
      </w:pPr>
      <w:r>
        <w:rPr>
          <w:rFonts w:ascii="Calibri" w:cs="Calibri" w:eastAsia="Calibri" w:hAnsi="Calibri"/>
        </w:rPr>
        <w:t xml:space="preserve">Default Gateway: 192.168.10.1</w:t>
      </w:r>
    </w:p>
    <w:p>
      <w:pPr>
        <w:pStyle w:val="ListParagraph"/>
        <w:numPr>
          <w:ilvl w:val="0"/>
          <w:numId w:val="1"/>
        </w:numPr>
        <w:spacing w:after="80"/>
      </w:pPr>
      <w:r>
        <w:rPr>
          <w:rFonts w:ascii="Calibri" w:cs="Calibri" w:eastAsia="Calibri" w:hAnsi="Calibri"/>
        </w:rPr>
        <w:t xml:space="preserve">Expected subnet: 192.168.10.0/26</w:t>
      </w:r>
    </w:p>
    <w:p>
      <w:pPr>
        <w:pStyle w:val="Heading2"/>
        <w:spacing w:after="120" w:before="220"/>
      </w:pPr>
      <w:r>
        <w:rPr>
          <w:rFonts w:ascii="Calibri" w:cs="Calibri" w:eastAsia="Calibri" w:hAnsi="Calibri"/>
          <w:b/>
          <w:bCs/>
          <w:color w:val="1F4E79"/>
        </w:rPr>
        <w:t xml:space="preserve">Step 1 – Identify the Subnet</w:t>
      </w:r>
    </w:p>
    <w:p>
      <w:pPr>
        <w:spacing w:after="120"/>
      </w:pPr>
      <w:r>
        <w:rPr>
          <w:rFonts w:ascii="Calibri" w:cs="Calibri" w:eastAsia="Calibri" w:hAnsi="Calibri"/>
        </w:rPr>
        <w:t xml:space="preserve">A /26 mask (255.255.255.192) gives a block size of 256 − 192 = 64. The subnet boundaries in the 192.168.10.0/24 range are: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600"/>
        <w:gridCol w:w="2760"/>
      </w:tblGrid>
      <w:tr>
        <w:trPr>
          <w:tblHeader/>
        </w:trPr>
        <w:tc>
          <w:tcPr>
            <w:tcW w:type="dxa" w:w="1500"/>
            <w:shd w:fill="2E74B5"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Subnet</w:t>
            </w:r>
          </w:p>
        </w:tc>
        <w:tc>
          <w:tcPr>
            <w:tcW w:type="dxa" w:w="2600"/>
            <w:shd w:fill="2E74B5"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Network Address</w:t>
            </w:r>
          </w:p>
        </w:tc>
        <w:tc>
          <w:tcPr>
            <w:tcW w:type="dxa" w:w="2600"/>
            <w:shd w:fill="2E74B5"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Broadcast Address</w:t>
            </w:r>
          </w:p>
        </w:tc>
        <w:tc>
          <w:tcPr>
            <w:tcW w:type="dxa" w:w="2760"/>
            <w:shd w:fill="2E74B5"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Valid Host Range</w:t>
            </w:r>
          </w:p>
        </w:tc>
      </w:tr>
      <w:tr>
        <w:tc>
          <w:tcPr>
            <w:tcW w:type="dxa" w:w="15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w:t>
            </w:r>
          </w:p>
        </w:tc>
        <w:tc>
          <w:tcPr>
            <w:tcW w:type="dxa" w:w="26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192.168.10.0</w:t>
            </w:r>
          </w:p>
        </w:tc>
        <w:tc>
          <w:tcPr>
            <w:tcW w:type="dxa" w:w="26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192.168.10.63</w:t>
            </w:r>
          </w:p>
        </w:tc>
        <w:tc>
          <w:tcPr>
            <w:tcW w:type="dxa" w:w="276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192.168.10.1 – 192.168.10.62</w:t>
            </w:r>
          </w:p>
        </w:tc>
      </w:tr>
      <w:tr>
        <w:tc>
          <w:tcPr>
            <w:tcW w:type="dxa" w:w="15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w:t>
            </w:r>
          </w:p>
        </w:tc>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192.168.10.64</w:t>
            </w:r>
          </w:p>
        </w:tc>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192.168.10.127</w:t>
            </w:r>
          </w:p>
        </w:tc>
        <w:tc>
          <w:tcPr>
            <w:tcW w:type="dxa" w:w="276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192.168.10.65 – 192.168.10.126</w:t>
            </w:r>
          </w:p>
        </w:tc>
      </w:tr>
      <w:tr>
        <w:tc>
          <w:tcPr>
            <w:tcW w:type="dxa" w:w="15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3</w:t>
            </w:r>
          </w:p>
        </w:tc>
        <w:tc>
          <w:tcPr>
            <w:tcW w:type="dxa" w:w="26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192.168.10.128</w:t>
            </w:r>
          </w:p>
        </w:tc>
        <w:tc>
          <w:tcPr>
            <w:tcW w:type="dxa" w:w="26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192.168.10.191</w:t>
            </w:r>
          </w:p>
        </w:tc>
        <w:tc>
          <w:tcPr>
            <w:tcW w:type="dxa" w:w="276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192.168.10.129 – 192.168.10.190</w:t>
            </w:r>
          </w:p>
        </w:tc>
      </w:tr>
      <w:tr>
        <w:tc>
          <w:tcPr>
            <w:tcW w:type="dxa" w:w="15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4</w:t>
            </w:r>
          </w:p>
        </w:tc>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192.168.10.192</w:t>
            </w:r>
          </w:p>
        </w:tc>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192.168.10.255</w:t>
            </w:r>
          </w:p>
        </w:tc>
        <w:tc>
          <w:tcPr>
            <w:tcW w:type="dxa" w:w="276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192.168.10.193 – 192.168.10.254</w:t>
            </w:r>
          </w:p>
        </w:tc>
      </w:tr>
    </w:tbl>
    <w:p>
      <w:pPr>
        <w:spacing w:after="120"/>
      </w:pPr>
      <w:r>
        <w:rPr>
          <w:rFonts w:ascii="Calibri" w:cs="Calibri" w:eastAsia="Calibri" w:hAnsi="Calibri"/>
        </w:rPr>
        <w:t xml:space="preserve"/>
      </w:r>
    </w:p>
    <w:p>
      <w:pPr>
        <w:spacing w:after="120"/>
      </w:pPr>
      <w:r>
        <w:rPr>
          <w:rFonts w:ascii="Calibri" w:cs="Calibri" w:eastAsia="Calibri" w:hAnsi="Calibri"/>
        </w:rPr>
        <w:t xml:space="preserve">The address 192.168.10.65 falls in the range 64–127, so the workstation actually belongs to subnet 192.168.10.64/26, not 192.168.10.0/26.</w:t>
      </w:r>
    </w:p>
    <w:p>
      <w:pPr>
        <w:pStyle w:val="Heading2"/>
        <w:spacing w:after="120" w:before="220"/>
      </w:pPr>
      <w:r>
        <w:rPr>
          <w:rFonts w:ascii="Calibri" w:cs="Calibri" w:eastAsia="Calibri" w:hAnsi="Calibri"/>
          <w:b/>
          <w:bCs/>
          <w:color w:val="1F4E79"/>
        </w:rPr>
        <w:t xml:space="preserve">Step 2 – Network Address, Broadcast Address, Valid Host Range</w:t>
      </w:r>
    </w:p>
    <w:p>
      <w:pPr>
        <w:pStyle w:val="ListParagraph"/>
        <w:numPr>
          <w:ilvl w:val="0"/>
          <w:numId w:val="1"/>
        </w:numPr>
        <w:spacing w:after="80"/>
      </w:pPr>
      <w:r>
        <w:rPr>
          <w:rFonts w:ascii="Calibri" w:cs="Calibri" w:eastAsia="Calibri" w:hAnsi="Calibri"/>
        </w:rPr>
        <w:t xml:space="preserve">Network Address: 192.168.10.64</w:t>
      </w:r>
    </w:p>
    <w:p>
      <w:pPr>
        <w:pStyle w:val="ListParagraph"/>
        <w:numPr>
          <w:ilvl w:val="0"/>
          <w:numId w:val="1"/>
        </w:numPr>
        <w:spacing w:after="80"/>
      </w:pPr>
      <w:r>
        <w:rPr>
          <w:rFonts w:ascii="Calibri" w:cs="Calibri" w:eastAsia="Calibri" w:hAnsi="Calibri"/>
        </w:rPr>
        <w:t xml:space="preserve">Broadcast Address: 192.168.10.127</w:t>
      </w:r>
    </w:p>
    <w:p>
      <w:pPr>
        <w:pStyle w:val="ListParagraph"/>
        <w:numPr>
          <w:ilvl w:val="0"/>
          <w:numId w:val="1"/>
        </w:numPr>
        <w:spacing w:after="80"/>
      </w:pPr>
      <w:r>
        <w:rPr>
          <w:rFonts w:ascii="Calibri" w:cs="Calibri" w:eastAsia="Calibri" w:hAnsi="Calibri"/>
        </w:rPr>
        <w:t xml:space="preserve">Valid Host Range: 192.168.10.65 – 192.168.10.126</w:t>
      </w:r>
    </w:p>
    <w:p>
      <w:pPr>
        <w:pStyle w:val="Heading2"/>
        <w:spacing w:after="120" w:before="220"/>
      </w:pPr>
      <w:r>
        <w:rPr>
          <w:rFonts w:ascii="Calibri" w:cs="Calibri" w:eastAsia="Calibri" w:hAnsi="Calibri"/>
          <w:b/>
          <w:bCs/>
          <w:color w:val="1F4E79"/>
        </w:rPr>
        <w:t xml:space="preserve">Step 3 – Verify the IP and Gateway</w:t>
      </w:r>
    </w:p>
    <w:p>
      <w:pPr>
        <w:pStyle w:val="ListParagraph"/>
        <w:numPr>
          <w:ilvl w:val="0"/>
          <w:numId w:val="1"/>
        </w:numPr>
        <w:spacing w:after="80"/>
      </w:pPr>
      <w:r>
        <w:rPr>
          <w:rFonts w:ascii="Calibri" w:cs="Calibri" w:eastAsia="Calibri" w:hAnsi="Calibri"/>
        </w:rPr>
        <w:t xml:space="preserve">Configured IP (192.168.10.65) is a valid host address, but only inside subnet 192.168.10.64/26 — not inside the intended subnet 192.168.10.0/26.</w:t>
      </w:r>
    </w:p>
    <w:p>
      <w:pPr>
        <w:pStyle w:val="ListParagraph"/>
        <w:numPr>
          <w:ilvl w:val="0"/>
          <w:numId w:val="1"/>
        </w:numPr>
        <w:spacing w:after="80"/>
      </w:pPr>
      <w:r>
        <w:rPr>
          <w:rFonts w:ascii="Calibri" w:cs="Calibri" w:eastAsia="Calibri" w:hAnsi="Calibri"/>
        </w:rPr>
        <w:t xml:space="preserve">Default Gateway 192.168.10.1 belongs to subnet 192.168.10.0/26 (valid range .1–.62), which is a different subnet from the one the workstation is actually on.</w:t>
      </w:r>
    </w:p>
    <w:p>
      <w:pPr>
        <w:pStyle w:val="ListParagraph"/>
        <w:numPr>
          <w:ilvl w:val="0"/>
          <w:numId w:val="1"/>
        </w:numPr>
        <w:spacing w:after="80"/>
      </w:pPr>
      <w:r>
        <w:rPr>
          <w:rFonts w:ascii="Calibri" w:cs="Calibri" w:eastAsia="Calibri" w:hAnsi="Calibri"/>
        </w:rPr>
        <w:t xml:space="preserve">Because the host and its gateway sit in two different /26 subnets, the workstation cannot reach the gateway directly, and Layer 3 communication fails.</w:t>
      </w:r>
    </w:p>
    <w:p>
      <w:pPr>
        <w:pStyle w:val="Heading2"/>
        <w:spacing w:after="120" w:before="220"/>
      </w:pPr>
      <w:r>
        <w:rPr>
          <w:rFonts w:ascii="Calibri" w:cs="Calibri" w:eastAsia="Calibri" w:hAnsi="Calibri"/>
          <w:b/>
          <w:bCs/>
          <w:color w:val="1F4E79"/>
        </w:rPr>
        <w:t xml:space="preserve">Step 4 – Configuration Errors Identified</w:t>
      </w:r>
    </w:p>
    <w:p>
      <w:pPr>
        <w:pStyle w:val="ListParagraph"/>
        <w:numPr>
          <w:ilvl w:val="0"/>
          <w:numId w:val="1"/>
        </w:numPr>
        <w:spacing w:after="80"/>
      </w:pPr>
      <w:r>
        <w:rPr>
          <w:rFonts w:ascii="Calibri" w:cs="Calibri" w:eastAsia="Calibri" w:hAnsi="Calibri"/>
        </w:rPr>
        <w:t xml:space="preserve">Subnet mismatch: the workstation's IP places it in 192.168.10.64/26 while the rest of the LAN is on 192.168.10.0/26.</w:t>
      </w:r>
    </w:p>
    <w:p>
      <w:pPr>
        <w:pStyle w:val="ListParagraph"/>
        <w:numPr>
          <w:ilvl w:val="0"/>
          <w:numId w:val="1"/>
        </w:numPr>
        <w:spacing w:after="80"/>
      </w:pPr>
      <w:r>
        <w:rPr>
          <w:rFonts w:ascii="Calibri" w:cs="Calibri" w:eastAsia="Calibri" w:hAnsi="Calibri"/>
        </w:rPr>
        <w:t xml:space="preserve">Unreachable gateway: 192.168.10.1 is outside the workstation's own subnet range, so ARP/Layer-2 resolution to the gateway fails.</w:t>
      </w:r>
    </w:p>
    <w:p>
      <w:pPr>
        <w:pStyle w:val="Heading2"/>
        <w:spacing w:after="120" w:before="220"/>
      </w:pPr>
      <w:r>
        <w:rPr>
          <w:rFonts w:ascii="Calibri" w:cs="Calibri" w:eastAsia="Calibri" w:hAnsi="Calibri"/>
          <w:b/>
          <w:bCs/>
          <w:color w:val="1F4E79"/>
        </w:rPr>
        <w:t xml:space="preserve">Step 5 – Optimized Configuration</w:t>
      </w:r>
    </w:p>
    <w:p>
      <w:pPr>
        <w:pStyle w:val="ListParagraph"/>
        <w:numPr>
          <w:ilvl w:val="0"/>
          <w:numId w:val="1"/>
        </w:numPr>
        <w:spacing w:after="80"/>
      </w:pPr>
      <w:r>
        <w:rPr>
          <w:rFonts w:ascii="Calibri" w:cs="Calibri" w:eastAsia="Calibri" w:hAnsi="Calibri"/>
        </w:rPr>
        <w:t xml:space="preserve">New IP Address: 192.168.10.10  (any address between .1 and .62)</w:t>
      </w:r>
    </w:p>
    <w:p>
      <w:pPr>
        <w:pStyle w:val="ListParagraph"/>
        <w:numPr>
          <w:ilvl w:val="0"/>
          <w:numId w:val="1"/>
        </w:numPr>
        <w:spacing w:after="80"/>
      </w:pPr>
      <w:r>
        <w:rPr>
          <w:rFonts w:ascii="Calibri" w:cs="Calibri" w:eastAsia="Calibri" w:hAnsi="Calibri"/>
        </w:rPr>
        <w:t xml:space="preserve">Subnet Mask: 255.255.255.192 (/26) — unchanged</w:t>
      </w:r>
    </w:p>
    <w:p>
      <w:pPr>
        <w:pStyle w:val="ListParagraph"/>
        <w:numPr>
          <w:ilvl w:val="0"/>
          <w:numId w:val="1"/>
        </w:numPr>
        <w:spacing w:after="80"/>
      </w:pPr>
      <w:r>
        <w:rPr>
          <w:rFonts w:ascii="Calibri" w:cs="Calibri" w:eastAsia="Calibri" w:hAnsi="Calibri"/>
        </w:rPr>
        <w:t xml:space="preserve">Default Gateway: 192.168.10.1 — now valid, since it lies within the same subnet (192.168.10.0/26)</w:t>
      </w:r>
    </w:p>
    <w:p>
      <w:pPr>
        <w:pStyle w:val="Heading2"/>
        <w:spacing w:after="120" w:before="220"/>
      </w:pPr>
      <w:r>
        <w:rPr>
          <w:rFonts w:ascii="Calibri" w:cs="Calibri" w:eastAsia="Calibri" w:hAnsi="Calibri"/>
          <w:b/>
          <w:bCs/>
          <w:color w:val="1F4E79"/>
        </w:rPr>
        <w:t xml:space="preserve">Step 6 – Usable Hosts After Correction</w:t>
      </w:r>
    </w:p>
    <w:p>
      <w:pPr>
        <w:spacing w:after="120"/>
      </w:pPr>
      <w:r>
        <w:rPr>
          <w:rFonts w:ascii="Calibri" w:cs="Calibri" w:eastAsia="Calibri" w:hAnsi="Calibri"/>
        </w:rPr>
        <w:t xml:space="preserve">Usable hosts = 2^(host bits) − 2 = 2^6 − 2 = 62 usable host addresses in 192.168.10.0/26.</w:t>
      </w:r>
    </w:p>
    <w:p>
      <w:pPr>
        <w:pBdr>
          <w:bottom w:val="single" w:color="AAAAAA" w:sz="6" w:space="1"/>
        </w:pBdr>
        <w:spacing w:after="200" w:before="100"/>
      </w:pPr>
      <w:r>
        <w:rPr>
          <w:rFonts w:ascii="Calibri" w:cs="Calibri" w:eastAsia="Calibri" w:hAnsi="Calibri"/>
        </w:rPr>
        <w:t xml:space="preserve"/>
      </w:r>
    </w:p>
    <w:p>
      <w:pPr>
        <w:pStyle w:val="Heading1"/>
        <w:spacing w:after="160" w:before="320"/>
      </w:pPr>
      <w:r>
        <w:rPr>
          <w:rFonts w:ascii="Calibri" w:cs="Calibri" w:eastAsia="Calibri" w:hAnsi="Calibri"/>
          <w:b/>
          <w:bCs/>
        </w:rPr>
        <w:t xml:space="preserve">Question 2 – IPv6 Addressing Debugging</w:t>
      </w:r>
    </w:p>
    <w:p>
      <w:pPr>
        <w:pStyle w:val="Heading2"/>
        <w:spacing w:after="120" w:before="220"/>
      </w:pPr>
      <w:r>
        <w:rPr>
          <w:rFonts w:ascii="Calibri" w:cs="Calibri" w:eastAsia="Calibri" w:hAnsi="Calibri"/>
          <w:b/>
          <w:bCs/>
          <w:color w:val="1F4E79"/>
        </w:rPr>
        <w:t xml:space="preserve">Given</w:t>
      </w:r>
    </w:p>
    <w:p>
      <w:pPr>
        <w:pStyle w:val="ListParagraph"/>
        <w:numPr>
          <w:ilvl w:val="0"/>
          <w:numId w:val="1"/>
        </w:numPr>
        <w:spacing w:after="80"/>
      </w:pPr>
      <w:r>
        <w:rPr>
          <w:rFonts w:ascii="Calibri" w:cs="Calibri" w:eastAsia="Calibri" w:hAnsi="Calibri"/>
        </w:rPr>
        <w:t xml:space="preserve">Device A: 2001:db8::ff00:42:8329/64</w:t>
      </w:r>
    </w:p>
    <w:p>
      <w:pPr>
        <w:pStyle w:val="ListParagraph"/>
        <w:numPr>
          <w:ilvl w:val="0"/>
          <w:numId w:val="1"/>
        </w:numPr>
        <w:spacing w:after="80"/>
      </w:pPr>
      <w:r>
        <w:rPr>
          <w:rFonts w:ascii="Calibri" w:cs="Calibri" w:eastAsia="Calibri" w:hAnsi="Calibri"/>
        </w:rPr>
        <w:t xml:space="preserve">Device B: 2001:db8:0:0:1::1/64</w:t>
      </w:r>
    </w:p>
    <w:p>
      <w:pPr>
        <w:pStyle w:val="Heading2"/>
        <w:spacing w:after="120" w:before="220"/>
      </w:pPr>
      <w:r>
        <w:rPr>
          <w:rFonts w:ascii="Calibri" w:cs="Calibri" w:eastAsia="Calibri" w:hAnsi="Calibri"/>
          <w:b/>
          <w:bCs/>
          <w:color w:val="1F4E79"/>
        </w:rPr>
        <w:t xml:space="preserve">Step 1 – Expand Both Addresses to Full Notation</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800"/>
        <w:gridCol w:w="7660"/>
      </w:tblGrid>
      <w:tr>
        <w:trPr>
          <w:tblHeader/>
        </w:trPr>
        <w:tc>
          <w:tcPr>
            <w:tcW w:type="dxa" w:w="1800"/>
            <w:shd w:fill="2E74B5"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Device</w:t>
            </w:r>
          </w:p>
        </w:tc>
        <w:tc>
          <w:tcPr>
            <w:tcW w:type="dxa" w:w="7660"/>
            <w:shd w:fill="2E74B5"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Full (Expanded) IPv6 Address</w:t>
            </w:r>
          </w:p>
        </w:tc>
      </w:tr>
      <w:tr>
        <w:tc>
          <w:tcPr>
            <w:tcW w:type="dxa" w:w="18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Device A</w:t>
            </w:r>
          </w:p>
        </w:tc>
        <w:tc>
          <w:tcPr>
            <w:tcW w:type="dxa" w:w="766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2001:0db8:0000:0000:0000:ff00:0042:8329</w:t>
            </w:r>
          </w:p>
        </w:tc>
      </w:tr>
      <w:tr>
        <w:tc>
          <w:tcPr>
            <w:tcW w:type="dxa" w:w="18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Device B</w:t>
            </w:r>
          </w:p>
        </w:tc>
        <w:tc>
          <w:tcPr>
            <w:tcW w:type="dxa" w:w="766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2001:0db8:0000:0000:0001:0000:0000:0001</w:t>
            </w:r>
          </w:p>
        </w:tc>
      </w:tr>
    </w:tbl>
    <w:p>
      <w:pPr>
        <w:pStyle w:val="Heading2"/>
        <w:spacing w:after="120" w:before="220"/>
      </w:pPr>
      <w:r>
        <w:rPr>
          <w:rFonts w:ascii="Calibri" w:cs="Calibri" w:eastAsia="Calibri" w:hAnsi="Calibri"/>
          <w:b/>
          <w:bCs/>
          <w:color w:val="1F4E79"/>
        </w:rPr>
        <w:t xml:space="preserve">Step 2 – Determine the Network Prefix of Each Device (/64)</w:t>
      </w:r>
    </w:p>
    <w:p>
      <w:pPr>
        <w:spacing w:after="120"/>
      </w:pPr>
      <w:r>
        <w:rPr>
          <w:rFonts w:ascii="Calibri" w:cs="Calibri" w:eastAsia="Calibri" w:hAnsi="Calibri"/>
        </w:rPr>
        <w:t xml:space="preserve">The /64 prefix is formed from the first four hextets (first 64 bits):</w:t>
      </w:r>
    </w:p>
    <w:p>
      <w:pPr>
        <w:pStyle w:val="ListParagraph"/>
        <w:numPr>
          <w:ilvl w:val="0"/>
          <w:numId w:val="1"/>
        </w:numPr>
        <w:spacing w:after="80"/>
      </w:pPr>
      <w:r>
        <w:rPr>
          <w:rFonts w:ascii="Calibri" w:cs="Calibri" w:eastAsia="Calibri" w:hAnsi="Calibri"/>
        </w:rPr>
        <w:t xml:space="preserve">Device A prefix: 2001:0db8:0000:0000  →  2001:db8::/64</w:t>
      </w:r>
    </w:p>
    <w:p>
      <w:pPr>
        <w:pStyle w:val="ListParagraph"/>
        <w:numPr>
          <w:ilvl w:val="0"/>
          <w:numId w:val="1"/>
        </w:numPr>
        <w:spacing w:after="80"/>
      </w:pPr>
      <w:r>
        <w:rPr>
          <w:rFonts w:ascii="Calibri" w:cs="Calibri" w:eastAsia="Calibri" w:hAnsi="Calibri"/>
        </w:rPr>
        <w:t xml:space="preserve">Device B prefix: 2001:0db8:0000:0000  →  2001:db8::/64</w:t>
      </w:r>
    </w:p>
    <w:p>
      <w:pPr>
        <w:pStyle w:val="Heading2"/>
        <w:spacing w:after="120" w:before="220"/>
      </w:pPr>
      <w:r>
        <w:rPr>
          <w:rFonts w:ascii="Calibri" w:cs="Calibri" w:eastAsia="Calibri" w:hAnsi="Calibri"/>
          <w:b/>
          <w:bCs/>
          <w:color w:val="1F4E79"/>
        </w:rPr>
        <w:t xml:space="preserve">Step 3 – Verify Whether Both Devices Belong to the Same Subnet</w:t>
      </w:r>
    </w:p>
    <w:p>
      <w:pPr>
        <w:spacing w:after="120"/>
      </w:pPr>
      <w:r>
        <w:rPr>
          <w:rFonts w:ascii="Calibri" w:cs="Calibri" w:eastAsia="Calibri" w:hAnsi="Calibri"/>
        </w:rPr>
        <w:t xml:space="preserve">Both devices resolve to the identical /64 network prefix 2001:db8::/64. Despite looking different in compressed ("::") notation, once fully expanded both addresses share the same network portion. So the two devices DO belong to the same subnet — there is no prefix mismatch.</w:t>
      </w:r>
    </w:p>
    <w:p>
      <w:pPr>
        <w:pStyle w:val="Heading2"/>
        <w:spacing w:after="120" w:before="220"/>
      </w:pPr>
      <w:r>
        <w:rPr>
          <w:rFonts w:ascii="Calibri" w:cs="Calibri" w:eastAsia="Calibri" w:hAnsi="Calibri"/>
          <w:b/>
          <w:bCs/>
          <w:color w:val="1F4E79"/>
        </w:rPr>
        <w:t xml:space="preserve">Step 4 – Identifying the Real Cause of the Failure</w:t>
      </w:r>
    </w:p>
    <w:p>
      <w:pPr>
        <w:spacing w:after="120"/>
      </w:pPr>
      <w:r>
        <w:rPr>
          <w:rFonts w:ascii="Calibri" w:cs="Calibri" w:eastAsia="Calibri" w:hAnsi="Calibri"/>
        </w:rPr>
        <w:t xml:space="preserve">Since the addressing/prefix itself is correct, the communication failure must come from a non-addressing cause. Likely candidates include:</w:t>
      </w:r>
    </w:p>
    <w:p>
      <w:pPr>
        <w:pStyle w:val="ListParagraph"/>
        <w:numPr>
          <w:ilvl w:val="0"/>
          <w:numId w:val="1"/>
        </w:numPr>
        <w:spacing w:after="80"/>
      </w:pPr>
      <w:r>
        <w:rPr>
          <w:rFonts w:ascii="Calibri" w:cs="Calibri" w:eastAsia="Calibri" w:hAnsi="Calibri"/>
        </w:rPr>
        <w:t xml:space="preserve">A Duplicate Address Detection (DAD) conflict on the link.</w:t>
      </w:r>
    </w:p>
    <w:p>
      <w:pPr>
        <w:pStyle w:val="ListParagraph"/>
        <w:numPr>
          <w:ilvl w:val="0"/>
          <w:numId w:val="1"/>
        </w:numPr>
        <w:spacing w:after="80"/>
      </w:pPr>
      <w:r>
        <w:rPr>
          <w:rFonts w:ascii="Calibri" w:cs="Calibri" w:eastAsia="Calibri" w:hAnsi="Calibri"/>
        </w:rPr>
        <w:t xml:space="preserve">Failed Neighbor Discovery Protocol (NDP) resolution between the two interface IDs.</w:t>
      </w:r>
    </w:p>
    <w:p>
      <w:pPr>
        <w:pStyle w:val="ListParagraph"/>
        <w:numPr>
          <w:ilvl w:val="0"/>
          <w:numId w:val="1"/>
        </w:numPr>
        <w:spacing w:after="80"/>
      </w:pPr>
      <w:r>
        <w:rPr>
          <w:rFonts w:ascii="Calibri" w:cs="Calibri" w:eastAsia="Calibri" w:hAnsi="Calibri"/>
        </w:rPr>
        <w:t xml:space="preserve">A Layer-2 (switch/VLAN) connectivity problem preventing the devices from reaching each other despite being on the same logical subnet.</w:t>
      </w:r>
    </w:p>
    <w:p>
      <w:pPr>
        <w:pStyle w:val="ListParagraph"/>
        <w:numPr>
          <w:ilvl w:val="0"/>
          <w:numId w:val="1"/>
        </w:numPr>
        <w:spacing w:after="80"/>
      </w:pPr>
      <w:r>
        <w:rPr>
          <w:rFonts w:ascii="Calibri" w:cs="Calibri" w:eastAsia="Calibri" w:hAnsi="Calibri"/>
        </w:rPr>
        <w:t xml:space="preserve">A firewall or ACL blocking ICMPv6 (which NDP depends on).</w:t>
      </w:r>
    </w:p>
    <w:p>
      <w:pPr>
        <w:pStyle w:val="Heading2"/>
        <w:spacing w:after="120" w:before="220"/>
      </w:pPr>
      <w:r>
        <w:rPr>
          <w:rFonts w:ascii="Calibri" w:cs="Calibri" w:eastAsia="Calibri" w:hAnsi="Calibri"/>
          <w:b/>
          <w:bCs/>
          <w:color w:val="1F4E79"/>
        </w:rPr>
        <w:t xml:space="preserve">Step 5 – Optimized / Confirmed IPv6 Configuration</w:t>
      </w:r>
    </w:p>
    <w:p>
      <w:pPr>
        <w:spacing w:after="120"/>
      </w:pPr>
      <w:r>
        <w:rPr>
          <w:rFonts w:ascii="Calibri" w:cs="Calibri" w:eastAsia="Calibri" w:hAnsi="Calibri"/>
        </w:rPr>
        <w:t xml:space="preserve">Both devices are kept on the same prefix, with clean, unambiguous interface IDs to remove any risk of confusion during troubleshooting:</w:t>
      </w:r>
    </w:p>
    <w:p>
      <w:pPr>
        <w:pStyle w:val="ListParagraph"/>
        <w:numPr>
          <w:ilvl w:val="0"/>
          <w:numId w:val="1"/>
        </w:numPr>
        <w:spacing w:after="80"/>
      </w:pPr>
      <w:r>
        <w:rPr>
          <w:rFonts w:ascii="Calibri" w:cs="Calibri" w:eastAsia="Calibri" w:hAnsi="Calibri"/>
        </w:rPr>
        <w:t xml:space="preserve">Device A: 2001:db8::1/64</w:t>
      </w:r>
    </w:p>
    <w:p>
      <w:pPr>
        <w:pStyle w:val="ListParagraph"/>
        <w:numPr>
          <w:ilvl w:val="0"/>
          <w:numId w:val="1"/>
        </w:numPr>
        <w:spacing w:after="80"/>
      </w:pPr>
      <w:r>
        <w:rPr>
          <w:rFonts w:ascii="Calibri" w:cs="Calibri" w:eastAsia="Calibri" w:hAnsi="Calibri"/>
        </w:rPr>
        <w:t xml:space="preserve">Device B: 2001:db8::2/64</w:t>
      </w:r>
    </w:p>
    <w:p>
      <w:pPr>
        <w:spacing w:after="120"/>
      </w:pPr>
      <w:r>
        <w:rPr>
          <w:rFonts w:ascii="Calibri" w:cs="Calibri" w:eastAsia="Calibri" w:hAnsi="Calibri"/>
        </w:rPr>
        <w:t xml:space="preserve">Recommended debugging steps: verify Layer-2 link status, clear and rebuild the neighbor cache, and confirm no ACL/firewall is dropping ICMPv6 Neighbor Solicitation/Advertisement messages.</w:t>
      </w:r>
    </w:p>
    <w:p>
      <w:pPr>
        <w:pStyle w:val="Heading2"/>
        <w:spacing w:after="120" w:before="220"/>
      </w:pPr>
      <w:r>
        <w:rPr>
          <w:rFonts w:ascii="Calibri" w:cs="Calibri" w:eastAsia="Calibri" w:hAnsi="Calibri"/>
          <w:b/>
          <w:bCs/>
          <w:color w:val="1F4E79"/>
        </w:rPr>
        <w:t xml:space="preserve">Step 6 – Available Host Addresses in the Subnet</w:t>
      </w:r>
    </w:p>
    <w:p>
      <w:pPr>
        <w:spacing w:after="120"/>
      </w:pPr>
      <w:r>
        <w:rPr>
          <w:rFonts w:ascii="Calibri" w:cs="Calibri" w:eastAsia="Calibri" w:hAnsi="Calibri"/>
        </w:rPr>
        <w:t xml:space="preserve">A /64 IPv6 subnet has 64 host (interface ID) bits, giving 2^64 (≈ 1.8 × 10^19) possible addresses. Unlike IPv4, IPv6 has no network/broadcast address to subtract, so effectively all interface IDs in the /64 are usable for hosts.</w:t>
      </w:r>
    </w:p>
    <w:p>
      <w:pPr>
        <w:pBdr>
          <w:bottom w:val="single" w:color="AAAAAA" w:sz="6" w:space="1"/>
        </w:pBdr>
        <w:spacing w:after="200" w:before="100"/>
      </w:pPr>
      <w:r>
        <w:rPr>
          <w:rFonts w:ascii="Calibri" w:cs="Calibri" w:eastAsia="Calibri" w:hAnsi="Calibri"/>
        </w:rPr>
        <w:t xml:space="preserve"/>
      </w:r>
    </w:p>
    <w:p>
      <w:pPr>
        <w:pStyle w:val="Heading1"/>
        <w:spacing w:after="160" w:before="320"/>
      </w:pPr>
      <w:r>
        <w:rPr>
          <w:rFonts w:ascii="Calibri" w:cs="Calibri" w:eastAsia="Calibri" w:hAnsi="Calibri"/>
          <w:b/>
          <w:bCs/>
        </w:rPr>
        <w:t xml:space="preserve">Question 3 – VLSM Optimization of 192.168.1.0/24</w:t>
      </w:r>
    </w:p>
    <w:p>
      <w:pPr>
        <w:pStyle w:val="Heading2"/>
        <w:spacing w:after="120" w:before="220"/>
      </w:pPr>
      <w:r>
        <w:rPr>
          <w:rFonts w:ascii="Calibri" w:cs="Calibri" w:eastAsia="Calibri" w:hAnsi="Calibri"/>
          <w:b/>
          <w:bCs/>
          <w:color w:val="1F4E79"/>
        </w:rPr>
        <w:t xml:space="preserve">Step 1 – Subnet Details for Each Mask Used by the Organization</w:t>
      </w:r>
    </w:p>
    <w:p>
      <w:pPr>
        <w:spacing w:after="120"/>
      </w:pPr>
      <w:r>
        <w:rPr>
          <w:rFonts w:ascii="Calibri" w:cs="Calibri" w:eastAsia="Calibri" w:hAnsi="Calibri"/>
        </w:rPr>
        <w:t xml:space="preserve">/26 subnets (block size 64, 4 subnets, 62 usable hosts each):</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900"/>
        <w:gridCol w:w="1600"/>
        <w:gridCol w:w="1360"/>
      </w:tblGrid>
      <w:tr>
        <w:trPr>
          <w:tblHeader/>
        </w:trPr>
        <w:tc>
          <w:tcPr>
            <w:tcW w:type="dxa" w:w="2100"/>
            <w:shd w:fill="2E74B5"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Subnet</w:t>
            </w:r>
          </w:p>
        </w:tc>
        <w:tc>
          <w:tcPr>
            <w:tcW w:type="dxa" w:w="1900"/>
            <w:shd w:fill="2E74B5"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Network Address</w:t>
            </w:r>
          </w:p>
        </w:tc>
        <w:tc>
          <w:tcPr>
            <w:tcW w:type="dxa" w:w="1900"/>
            <w:shd w:fill="2E74B5"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Broadcast Address</w:t>
            </w:r>
          </w:p>
        </w:tc>
        <w:tc>
          <w:tcPr>
            <w:tcW w:type="dxa" w:w="1600"/>
            <w:shd w:fill="2E74B5"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Host Range</w:t>
            </w:r>
          </w:p>
        </w:tc>
        <w:tc>
          <w:tcPr>
            <w:tcW w:type="dxa" w:w="1360"/>
            <w:shd w:fill="2E74B5"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Usable Hosts</w:t>
            </w:r>
          </w:p>
        </w:tc>
      </w:tr>
      <w:tr>
        <w:tc>
          <w:tcPr>
            <w:tcW w:type="dxa" w:w="21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192.168.1.0/26</w:t>
            </w:r>
          </w:p>
        </w:tc>
        <w:tc>
          <w:tcPr>
            <w:tcW w:type="dxa" w:w="19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192.168.1.0</w:t>
            </w:r>
          </w:p>
        </w:tc>
        <w:tc>
          <w:tcPr>
            <w:tcW w:type="dxa" w:w="19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192.168.1.63</w:t>
            </w:r>
          </w:p>
        </w:tc>
        <w:tc>
          <w:tcPr>
            <w:tcW w:type="dxa" w:w="16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 – .62</w:t>
            </w:r>
          </w:p>
        </w:tc>
        <w:tc>
          <w:tcPr>
            <w:tcW w:type="dxa" w:w="136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62</w:t>
            </w:r>
          </w:p>
        </w:tc>
      </w:tr>
      <w:tr>
        <w:tc>
          <w:tcPr>
            <w:tcW w:type="dxa" w:w="21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192.168.1.64/26</w:t>
            </w:r>
          </w:p>
        </w:tc>
        <w:tc>
          <w:tcPr>
            <w:tcW w:type="dxa" w:w="19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192.168.1.64</w:t>
            </w:r>
          </w:p>
        </w:tc>
        <w:tc>
          <w:tcPr>
            <w:tcW w:type="dxa" w:w="19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192.168.1.127</w:t>
            </w:r>
          </w:p>
        </w:tc>
        <w:tc>
          <w:tcPr>
            <w:tcW w:type="dxa" w:w="16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.65 – .126</w:t>
            </w:r>
          </w:p>
        </w:tc>
        <w:tc>
          <w:tcPr>
            <w:tcW w:type="dxa" w:w="136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62</w:t>
            </w:r>
          </w:p>
        </w:tc>
      </w:tr>
      <w:tr>
        <w:tc>
          <w:tcPr>
            <w:tcW w:type="dxa" w:w="21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192.168.1.128/26</w:t>
            </w:r>
          </w:p>
        </w:tc>
        <w:tc>
          <w:tcPr>
            <w:tcW w:type="dxa" w:w="19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192.168.1.128</w:t>
            </w:r>
          </w:p>
        </w:tc>
        <w:tc>
          <w:tcPr>
            <w:tcW w:type="dxa" w:w="19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192.168.1.191</w:t>
            </w:r>
          </w:p>
        </w:tc>
        <w:tc>
          <w:tcPr>
            <w:tcW w:type="dxa" w:w="16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.129 – .190</w:t>
            </w:r>
          </w:p>
        </w:tc>
        <w:tc>
          <w:tcPr>
            <w:tcW w:type="dxa" w:w="136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62</w:t>
            </w:r>
          </w:p>
        </w:tc>
      </w:tr>
      <w:tr>
        <w:tc>
          <w:tcPr>
            <w:tcW w:type="dxa" w:w="21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192.168.1.192/26</w:t>
            </w:r>
          </w:p>
        </w:tc>
        <w:tc>
          <w:tcPr>
            <w:tcW w:type="dxa" w:w="19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192.168.1.192</w:t>
            </w:r>
          </w:p>
        </w:tc>
        <w:tc>
          <w:tcPr>
            <w:tcW w:type="dxa" w:w="19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192.168.1.255</w:t>
            </w:r>
          </w:p>
        </w:tc>
        <w:tc>
          <w:tcPr>
            <w:tcW w:type="dxa" w:w="16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.193 – .254</w:t>
            </w:r>
          </w:p>
        </w:tc>
        <w:tc>
          <w:tcPr>
            <w:tcW w:type="dxa" w:w="136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62</w:t>
            </w:r>
          </w:p>
        </w:tc>
      </w:tr>
    </w:tbl>
    <w:p>
      <w:pPr>
        <w:spacing w:after="120"/>
      </w:pPr>
      <w:r>
        <w:rPr>
          <w:rFonts w:ascii="Calibri" w:cs="Calibri" w:eastAsia="Calibri" w:hAnsi="Calibri"/>
        </w:rPr>
        <w:t xml:space="preserve"/>
      </w:r>
    </w:p>
    <w:p>
      <w:pPr>
        <w:spacing w:after="120"/>
      </w:pPr>
      <w:r>
        <w:rPr>
          <w:rFonts w:ascii="Calibri" w:cs="Calibri" w:eastAsia="Calibri" w:hAnsi="Calibri"/>
        </w:rPr>
        <w:t xml:space="preserve">/27 subnets (block size 32, 8 subnets, 30 usable hosts each):</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900"/>
        <w:gridCol w:w="1600"/>
        <w:gridCol w:w="1360"/>
      </w:tblGrid>
      <w:tr>
        <w:trPr>
          <w:tblHeader/>
        </w:trPr>
        <w:tc>
          <w:tcPr>
            <w:tcW w:type="dxa" w:w="2100"/>
            <w:shd w:fill="2E74B5"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Subnet</w:t>
            </w:r>
          </w:p>
        </w:tc>
        <w:tc>
          <w:tcPr>
            <w:tcW w:type="dxa" w:w="1900"/>
            <w:shd w:fill="2E74B5"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Network Address</w:t>
            </w:r>
          </w:p>
        </w:tc>
        <w:tc>
          <w:tcPr>
            <w:tcW w:type="dxa" w:w="1900"/>
            <w:shd w:fill="2E74B5"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Broadcast Address</w:t>
            </w:r>
          </w:p>
        </w:tc>
        <w:tc>
          <w:tcPr>
            <w:tcW w:type="dxa" w:w="1600"/>
            <w:shd w:fill="2E74B5"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Host Range</w:t>
            </w:r>
          </w:p>
        </w:tc>
        <w:tc>
          <w:tcPr>
            <w:tcW w:type="dxa" w:w="1360"/>
            <w:shd w:fill="2E74B5"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Usable Hosts</w:t>
            </w:r>
          </w:p>
        </w:tc>
      </w:tr>
      <w:tr>
        <w:tc>
          <w:tcPr>
            <w:tcW w:type="dxa" w:w="21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192.168.1.0/27</w:t>
            </w:r>
          </w:p>
        </w:tc>
        <w:tc>
          <w:tcPr>
            <w:tcW w:type="dxa" w:w="19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.0</w:t>
            </w:r>
          </w:p>
        </w:tc>
        <w:tc>
          <w:tcPr>
            <w:tcW w:type="dxa" w:w="19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.31</w:t>
            </w:r>
          </w:p>
        </w:tc>
        <w:tc>
          <w:tcPr>
            <w:tcW w:type="dxa" w:w="16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 – .30</w:t>
            </w:r>
          </w:p>
        </w:tc>
        <w:tc>
          <w:tcPr>
            <w:tcW w:type="dxa" w:w="136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30</w:t>
            </w:r>
          </w:p>
        </w:tc>
      </w:tr>
      <w:tr>
        <w:tc>
          <w:tcPr>
            <w:tcW w:type="dxa" w:w="21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192.168.1.32/27</w:t>
            </w:r>
          </w:p>
        </w:tc>
        <w:tc>
          <w:tcPr>
            <w:tcW w:type="dxa" w:w="19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.32</w:t>
            </w:r>
          </w:p>
        </w:tc>
        <w:tc>
          <w:tcPr>
            <w:tcW w:type="dxa" w:w="19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.63</w:t>
            </w:r>
          </w:p>
        </w:tc>
        <w:tc>
          <w:tcPr>
            <w:tcW w:type="dxa" w:w="16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.33 – .62</w:t>
            </w:r>
          </w:p>
        </w:tc>
        <w:tc>
          <w:tcPr>
            <w:tcW w:type="dxa" w:w="136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30</w:t>
            </w:r>
          </w:p>
        </w:tc>
      </w:tr>
      <w:tr>
        <w:tc>
          <w:tcPr>
            <w:tcW w:type="dxa" w:w="21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192.168.1.64/27</w:t>
            </w:r>
          </w:p>
        </w:tc>
        <w:tc>
          <w:tcPr>
            <w:tcW w:type="dxa" w:w="19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.64</w:t>
            </w:r>
          </w:p>
        </w:tc>
        <w:tc>
          <w:tcPr>
            <w:tcW w:type="dxa" w:w="19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.95</w:t>
            </w:r>
          </w:p>
        </w:tc>
        <w:tc>
          <w:tcPr>
            <w:tcW w:type="dxa" w:w="16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.65 – .94</w:t>
            </w:r>
          </w:p>
        </w:tc>
        <w:tc>
          <w:tcPr>
            <w:tcW w:type="dxa" w:w="136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30</w:t>
            </w:r>
          </w:p>
        </w:tc>
      </w:tr>
      <w:tr>
        <w:tc>
          <w:tcPr>
            <w:tcW w:type="dxa" w:w="21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192.168.1.96/27</w:t>
            </w:r>
          </w:p>
        </w:tc>
        <w:tc>
          <w:tcPr>
            <w:tcW w:type="dxa" w:w="19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.96</w:t>
            </w:r>
          </w:p>
        </w:tc>
        <w:tc>
          <w:tcPr>
            <w:tcW w:type="dxa" w:w="19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.127</w:t>
            </w:r>
          </w:p>
        </w:tc>
        <w:tc>
          <w:tcPr>
            <w:tcW w:type="dxa" w:w="16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.97 – .126</w:t>
            </w:r>
          </w:p>
        </w:tc>
        <w:tc>
          <w:tcPr>
            <w:tcW w:type="dxa" w:w="136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30</w:t>
            </w:r>
          </w:p>
        </w:tc>
      </w:tr>
      <w:tr>
        <w:tc>
          <w:tcPr>
            <w:tcW w:type="dxa" w:w="21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192.168.1.128/27</w:t>
            </w:r>
          </w:p>
        </w:tc>
        <w:tc>
          <w:tcPr>
            <w:tcW w:type="dxa" w:w="19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.128</w:t>
            </w:r>
          </w:p>
        </w:tc>
        <w:tc>
          <w:tcPr>
            <w:tcW w:type="dxa" w:w="19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.159</w:t>
            </w:r>
          </w:p>
        </w:tc>
        <w:tc>
          <w:tcPr>
            <w:tcW w:type="dxa" w:w="16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.129 – .158</w:t>
            </w:r>
          </w:p>
        </w:tc>
        <w:tc>
          <w:tcPr>
            <w:tcW w:type="dxa" w:w="136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30</w:t>
            </w:r>
          </w:p>
        </w:tc>
      </w:tr>
      <w:tr>
        <w:tc>
          <w:tcPr>
            <w:tcW w:type="dxa" w:w="21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192.168.1.160/27</w:t>
            </w:r>
          </w:p>
        </w:tc>
        <w:tc>
          <w:tcPr>
            <w:tcW w:type="dxa" w:w="19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.160</w:t>
            </w:r>
          </w:p>
        </w:tc>
        <w:tc>
          <w:tcPr>
            <w:tcW w:type="dxa" w:w="19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.191</w:t>
            </w:r>
          </w:p>
        </w:tc>
        <w:tc>
          <w:tcPr>
            <w:tcW w:type="dxa" w:w="16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.161 – .190</w:t>
            </w:r>
          </w:p>
        </w:tc>
        <w:tc>
          <w:tcPr>
            <w:tcW w:type="dxa" w:w="136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30</w:t>
            </w:r>
          </w:p>
        </w:tc>
      </w:tr>
      <w:tr>
        <w:tc>
          <w:tcPr>
            <w:tcW w:type="dxa" w:w="21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192.168.1.192/27</w:t>
            </w:r>
          </w:p>
        </w:tc>
        <w:tc>
          <w:tcPr>
            <w:tcW w:type="dxa" w:w="19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w:t>
            </w:r>
          </w:p>
        </w:tc>
        <w:tc>
          <w:tcPr>
            <w:tcW w:type="dxa" w:w="19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.223</w:t>
            </w:r>
          </w:p>
        </w:tc>
        <w:tc>
          <w:tcPr>
            <w:tcW w:type="dxa" w:w="16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.193 – .222</w:t>
            </w:r>
          </w:p>
        </w:tc>
        <w:tc>
          <w:tcPr>
            <w:tcW w:type="dxa" w:w="136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30</w:t>
            </w:r>
          </w:p>
        </w:tc>
      </w:tr>
      <w:tr>
        <w:tc>
          <w:tcPr>
            <w:tcW w:type="dxa" w:w="21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192.168.1.224/27</w:t>
            </w:r>
          </w:p>
        </w:tc>
        <w:tc>
          <w:tcPr>
            <w:tcW w:type="dxa" w:w="19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.224</w:t>
            </w:r>
          </w:p>
        </w:tc>
        <w:tc>
          <w:tcPr>
            <w:tcW w:type="dxa" w:w="19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.255</w:t>
            </w:r>
          </w:p>
        </w:tc>
        <w:tc>
          <w:tcPr>
            <w:tcW w:type="dxa" w:w="16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.225 – .254</w:t>
            </w:r>
          </w:p>
        </w:tc>
        <w:tc>
          <w:tcPr>
            <w:tcW w:type="dxa" w:w="136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30</w:t>
            </w:r>
          </w:p>
        </w:tc>
      </w:tr>
    </w:tbl>
    <w:p>
      <w:pPr>
        <w:spacing w:after="120"/>
      </w:pPr>
      <w:r>
        <w:rPr>
          <w:rFonts w:ascii="Calibri" w:cs="Calibri" w:eastAsia="Calibri" w:hAnsi="Calibri"/>
        </w:rPr>
        <w:t xml:space="preserve"/>
      </w:r>
    </w:p>
    <w:p>
      <w:pPr>
        <w:spacing w:after="120"/>
      </w:pPr>
      <w:r>
        <w:rPr>
          <w:rFonts w:ascii="Calibri" w:cs="Calibri" w:eastAsia="Calibri" w:hAnsi="Calibri"/>
        </w:rPr>
        <w:t xml:space="preserve">/28 subnets (block size 16, 16 subnets, 14 usable hosts each) — network address increases in steps of 16 from .0 to .240, each giving 14 usable host addresses.</w:t>
      </w:r>
    </w:p>
    <w:p>
      <w:pPr>
        <w:pStyle w:val="Heading2"/>
        <w:spacing w:after="120" w:before="220"/>
      </w:pPr>
      <w:r>
        <w:rPr>
          <w:rFonts w:ascii="Calibri" w:cs="Calibri" w:eastAsia="Calibri" w:hAnsi="Calibri"/>
          <w:b/>
          <w:bCs/>
          <w:color w:val="1F4E79"/>
        </w:rPr>
        <w:t xml:space="preserve">Step 2 – Usable vs Unused Addresses</w:t>
      </w:r>
    </w:p>
    <w:p>
      <w:pPr>
        <w:pStyle w:val="ListParagraph"/>
        <w:numPr>
          <w:ilvl w:val="0"/>
          <w:numId w:val="1"/>
        </w:numPr>
        <w:spacing w:after="80"/>
      </w:pPr>
      <w:r>
        <w:rPr>
          <w:rFonts w:ascii="Calibri" w:cs="Calibri" w:eastAsia="Calibri" w:hAnsi="Calibri"/>
        </w:rPr>
        <w:t xml:space="preserve">/26 → 64 total addresses, 62 usable, 2 reserved (network + broadcast) per subnet</w:t>
      </w:r>
    </w:p>
    <w:p>
      <w:pPr>
        <w:pStyle w:val="ListParagraph"/>
        <w:numPr>
          <w:ilvl w:val="0"/>
          <w:numId w:val="1"/>
        </w:numPr>
        <w:spacing w:after="80"/>
      </w:pPr>
      <w:r>
        <w:rPr>
          <w:rFonts w:ascii="Calibri" w:cs="Calibri" w:eastAsia="Calibri" w:hAnsi="Calibri"/>
        </w:rPr>
        <w:t xml:space="preserve">/27 → 32 total addresses, 30 usable, 2 reserved per subnet</w:t>
      </w:r>
    </w:p>
    <w:p>
      <w:pPr>
        <w:pStyle w:val="ListParagraph"/>
        <w:numPr>
          <w:ilvl w:val="0"/>
          <w:numId w:val="1"/>
        </w:numPr>
        <w:spacing w:after="80"/>
      </w:pPr>
      <w:r>
        <w:rPr>
          <w:rFonts w:ascii="Calibri" w:cs="Calibri" w:eastAsia="Calibri" w:hAnsi="Calibri"/>
        </w:rPr>
        <w:t xml:space="preserve">/28 → 16 total addresses, 14 usable, 2 reserved per subnet</w:t>
      </w:r>
    </w:p>
    <w:p>
      <w:pPr>
        <w:spacing w:after="120"/>
      </w:pPr>
      <w:r>
        <w:rPr>
          <w:rFonts w:ascii="Calibri" w:cs="Calibri" w:eastAsia="Calibri" w:hAnsi="Calibri"/>
        </w:rPr>
        <w:t xml:space="preserve">Departments using a /26 while needing far fewer hosts leave large blocks of unused addresses, which is the core inefficiency reported.</w:t>
      </w:r>
    </w:p>
    <w:p>
      <w:pPr>
        <w:pStyle w:val="Heading2"/>
        <w:spacing w:after="120" w:before="220"/>
      </w:pPr>
      <w:r>
        <w:rPr>
          <w:rFonts w:ascii="Calibri" w:cs="Calibri" w:eastAsia="Calibri" w:hAnsi="Calibri"/>
          <w:b/>
          <w:bCs/>
          <w:color w:val="1F4E79"/>
        </w:rPr>
        <w:t xml:space="preserve">Step 3 – Example of an Inefficient (Fixed-Length) Allocation</w:t>
      </w:r>
    </w:p>
    <w:p>
      <w:pPr>
        <w:spacing w:after="120"/>
      </w:pPr>
      <w:r>
        <w:rPr>
          <w:rFonts w:ascii="Calibri" w:cs="Calibri" w:eastAsia="Calibri" w:hAnsi="Calibri"/>
        </w:rPr>
        <w:t xml:space="preserve">Illustrative department requirements and the mistake in the original fixed-subnetting plan:</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200"/>
        <w:gridCol w:w="1500"/>
        <w:gridCol w:w="2060"/>
      </w:tblGrid>
      <w:tr>
        <w:trPr>
          <w:tblHeader/>
        </w:trPr>
        <w:tc>
          <w:tcPr>
            <w:tcW w:type="dxa" w:w="2600"/>
            <w:shd w:fill="2E74B5"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Department</w:t>
            </w:r>
          </w:p>
        </w:tc>
        <w:tc>
          <w:tcPr>
            <w:tcW w:type="dxa" w:w="1500"/>
            <w:shd w:fill="2E74B5"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Hosts Needed</w:t>
            </w:r>
          </w:p>
        </w:tc>
        <w:tc>
          <w:tcPr>
            <w:tcW w:type="dxa" w:w="2200"/>
            <w:shd w:fill="2E74B5"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Assigned Subnet</w:t>
            </w:r>
          </w:p>
        </w:tc>
        <w:tc>
          <w:tcPr>
            <w:tcW w:type="dxa" w:w="1500"/>
            <w:shd w:fill="2E74B5"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Usable Hosts</w:t>
            </w:r>
          </w:p>
        </w:tc>
        <w:tc>
          <w:tcPr>
            <w:tcW w:type="dxa" w:w="2060"/>
            <w:shd w:fill="2E74B5"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Wasted Addresses</w:t>
            </w:r>
          </w:p>
        </w:tc>
      </w:tr>
      <w:tr>
        <w:tc>
          <w:tcPr>
            <w:tcW w:type="dxa" w:w="26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Sales</w:t>
            </w:r>
          </w:p>
        </w:tc>
        <w:tc>
          <w:tcPr>
            <w:tcW w:type="dxa" w:w="15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55</w:t>
            </w:r>
          </w:p>
        </w:tc>
        <w:tc>
          <w:tcPr>
            <w:tcW w:type="dxa" w:w="22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192.168.1.0/26</w:t>
            </w:r>
          </w:p>
        </w:tc>
        <w:tc>
          <w:tcPr>
            <w:tcW w:type="dxa" w:w="15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62</w:t>
            </w:r>
          </w:p>
        </w:tc>
        <w:tc>
          <w:tcPr>
            <w:tcW w:type="dxa" w:w="206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7</w:t>
            </w:r>
          </w:p>
        </w:tc>
      </w:tr>
      <w:tr>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HR</w:t>
            </w:r>
          </w:p>
        </w:tc>
        <w:tc>
          <w:tcPr>
            <w:tcW w:type="dxa" w:w="15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25</w:t>
            </w:r>
          </w:p>
        </w:tc>
        <w:tc>
          <w:tcPr>
            <w:tcW w:type="dxa" w:w="22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192.168.1.64/26</w:t>
            </w:r>
          </w:p>
        </w:tc>
        <w:tc>
          <w:tcPr>
            <w:tcW w:type="dxa" w:w="15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62</w:t>
            </w:r>
          </w:p>
        </w:tc>
        <w:tc>
          <w:tcPr>
            <w:tcW w:type="dxa" w:w="206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37</w:t>
            </w:r>
          </w:p>
        </w:tc>
      </w:tr>
      <w:tr>
        <w:tc>
          <w:tcPr>
            <w:tcW w:type="dxa" w:w="26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IT</w:t>
            </w:r>
          </w:p>
        </w:tc>
        <w:tc>
          <w:tcPr>
            <w:tcW w:type="dxa" w:w="15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12</w:t>
            </w:r>
          </w:p>
        </w:tc>
        <w:tc>
          <w:tcPr>
            <w:tcW w:type="dxa" w:w="22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192.168.1.128/27</w:t>
            </w:r>
          </w:p>
        </w:tc>
        <w:tc>
          <w:tcPr>
            <w:tcW w:type="dxa" w:w="15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30</w:t>
            </w:r>
          </w:p>
        </w:tc>
        <w:tc>
          <w:tcPr>
            <w:tcW w:type="dxa" w:w="206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18</w:t>
            </w:r>
          </w:p>
        </w:tc>
      </w:tr>
      <w:tr>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Admin</w:t>
            </w:r>
          </w:p>
        </w:tc>
        <w:tc>
          <w:tcPr>
            <w:tcW w:type="dxa" w:w="15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6</w:t>
            </w:r>
          </w:p>
        </w:tc>
        <w:tc>
          <w:tcPr>
            <w:tcW w:type="dxa" w:w="22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192.168.1.160/27</w:t>
            </w:r>
          </w:p>
        </w:tc>
        <w:tc>
          <w:tcPr>
            <w:tcW w:type="dxa" w:w="15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30</w:t>
            </w:r>
          </w:p>
        </w:tc>
        <w:tc>
          <w:tcPr>
            <w:tcW w:type="dxa" w:w="206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24</w:t>
            </w:r>
          </w:p>
        </w:tc>
      </w:tr>
      <w:tr>
        <w:tc>
          <w:tcPr>
            <w:tcW w:type="dxa" w:w="26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Security (WAN link)</w:t>
            </w:r>
          </w:p>
        </w:tc>
        <w:tc>
          <w:tcPr>
            <w:tcW w:type="dxa" w:w="15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w:t>
            </w:r>
          </w:p>
        </w:tc>
        <w:tc>
          <w:tcPr>
            <w:tcW w:type="dxa" w:w="22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192.168.1.192/28</w:t>
            </w:r>
          </w:p>
        </w:tc>
        <w:tc>
          <w:tcPr>
            <w:tcW w:type="dxa" w:w="15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14</w:t>
            </w:r>
          </w:p>
        </w:tc>
        <w:tc>
          <w:tcPr>
            <w:tcW w:type="dxa" w:w="206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12</w:t>
            </w:r>
          </w:p>
        </w:tc>
      </w:tr>
    </w:tbl>
    <w:p>
      <w:pPr>
        <w:spacing w:after="120"/>
      </w:pPr>
      <w:r>
        <w:rPr>
          <w:rFonts w:ascii="Calibri" w:cs="Calibri" w:eastAsia="Calibri" w:hAnsi="Calibri"/>
        </w:rPr>
        <w:t xml:space="preserve"/>
      </w:r>
    </w:p>
    <w:p>
      <w:pPr>
        <w:spacing w:after="120"/>
      </w:pPr>
      <w:r>
        <w:rPr>
          <w:rFonts w:ascii="Calibri" w:cs="Calibri" w:eastAsia="Calibri" w:hAnsi="Calibri"/>
        </w:rPr>
        <w:t xml:space="preserve">This confirms the reported symptom: HR, Admin, and the Security link are each over-allocated, wasting a combined 98 addresses that other departments could have used.</w:t>
      </w:r>
    </w:p>
    <w:p>
      <w:pPr>
        <w:pStyle w:val="Heading2"/>
        <w:spacing w:after="120" w:before="220"/>
      </w:pPr>
      <w:r>
        <w:rPr>
          <w:rFonts w:ascii="Calibri" w:cs="Calibri" w:eastAsia="Calibri" w:hAnsi="Calibri"/>
          <w:b/>
          <w:bCs/>
          <w:color w:val="1F4E79"/>
        </w:rPr>
        <w:t xml:space="preserve">Step 4 – Debugging the Addressing Plan</w:t>
      </w:r>
    </w:p>
    <w:p>
      <w:pPr>
        <w:pStyle w:val="ListParagraph"/>
        <w:numPr>
          <w:ilvl w:val="0"/>
          <w:numId w:val="1"/>
        </w:numPr>
        <w:spacing w:after="80"/>
      </w:pPr>
      <w:r>
        <w:rPr>
          <w:rFonts w:ascii="Calibri" w:cs="Calibri" w:eastAsia="Calibri" w:hAnsi="Calibri"/>
        </w:rPr>
        <w:t xml:space="preserve">Root cause: subnet sizes were chosen from a fixed, limited set (/26, /27, /28 only) rather than being matched exactly to each department's real host count.</w:t>
      </w:r>
    </w:p>
    <w:p>
      <w:pPr>
        <w:pStyle w:val="ListParagraph"/>
        <w:numPr>
          <w:ilvl w:val="0"/>
          <w:numId w:val="1"/>
        </w:numPr>
        <w:spacing w:after="80"/>
      </w:pPr>
      <w:r>
        <w:rPr>
          <w:rFonts w:ascii="Calibri" w:cs="Calibri" w:eastAsia="Calibri" w:hAnsi="Calibri"/>
        </w:rPr>
        <w:t xml:space="preserve">Small point-to-point/low-host segments (e.g., a 2-host WAN link) were given /28 or /27 blocks instead of a much smaller block.</w:t>
      </w:r>
    </w:p>
    <w:p>
      <w:pPr>
        <w:pStyle w:val="ListParagraph"/>
        <w:numPr>
          <w:ilvl w:val="0"/>
          <w:numId w:val="1"/>
        </w:numPr>
        <w:spacing w:after="80"/>
      </w:pPr>
      <w:r>
        <w:rPr>
          <w:rFonts w:ascii="Calibri" w:cs="Calibri" w:eastAsia="Calibri" w:hAnsi="Calibri"/>
        </w:rPr>
        <w:t xml:space="preserve">No contiguous address block was reserved for future growth, since subnets were scattered inefficiently.</w:t>
      </w:r>
    </w:p>
    <w:p>
      <w:pPr>
        <w:pStyle w:val="Heading2"/>
        <w:spacing w:after="120" w:before="220"/>
      </w:pPr>
      <w:r>
        <w:rPr>
          <w:rFonts w:ascii="Calibri" w:cs="Calibri" w:eastAsia="Calibri" w:hAnsi="Calibri"/>
          <w:b/>
          <w:bCs/>
          <w:color w:val="1F4E79"/>
        </w:rPr>
        <w:t xml:space="preserve">Step 5 – Recommended VLSM-Optimized Scheme</w:t>
      </w:r>
    </w:p>
    <w:p>
      <w:pPr>
        <w:spacing w:after="120"/>
      </w:pPr>
      <w:r>
        <w:rPr>
          <w:rFonts w:ascii="Calibri" w:cs="Calibri" w:eastAsia="Calibri" w:hAnsi="Calibri"/>
        </w:rPr>
        <w:t xml:space="preserve">Re-subnetting from largest host requirement to smallest, using the exact mask each department needs:</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2200"/>
        <w:gridCol w:w="1300"/>
        <w:gridCol w:w="2460"/>
      </w:tblGrid>
      <w:tr>
        <w:trPr>
          <w:tblHeader/>
        </w:trPr>
        <w:tc>
          <w:tcPr>
            <w:tcW w:type="dxa" w:w="2600"/>
            <w:shd w:fill="2E74B5"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Department</w:t>
            </w:r>
          </w:p>
        </w:tc>
        <w:tc>
          <w:tcPr>
            <w:tcW w:type="dxa" w:w="1300"/>
            <w:shd w:fill="2E74B5"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Hosts Needed</w:t>
            </w:r>
          </w:p>
        </w:tc>
        <w:tc>
          <w:tcPr>
            <w:tcW w:type="dxa" w:w="2200"/>
            <w:shd w:fill="2E74B5"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Optimized Subnet</w:t>
            </w:r>
          </w:p>
        </w:tc>
        <w:tc>
          <w:tcPr>
            <w:tcW w:type="dxa" w:w="1300"/>
            <w:shd w:fill="2E74B5"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Usable Hosts</w:t>
            </w:r>
          </w:p>
        </w:tc>
        <w:tc>
          <w:tcPr>
            <w:tcW w:type="dxa" w:w="2460"/>
            <w:shd w:fill="2E74B5"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Host Range</w:t>
            </w:r>
          </w:p>
        </w:tc>
      </w:tr>
      <w:tr>
        <w:tc>
          <w:tcPr>
            <w:tcW w:type="dxa" w:w="26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Sales</w:t>
            </w:r>
          </w:p>
        </w:tc>
        <w:tc>
          <w:tcPr>
            <w:tcW w:type="dxa" w:w="13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55</w:t>
            </w:r>
          </w:p>
        </w:tc>
        <w:tc>
          <w:tcPr>
            <w:tcW w:type="dxa" w:w="22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192.168.1.0/26</w:t>
            </w:r>
          </w:p>
        </w:tc>
        <w:tc>
          <w:tcPr>
            <w:tcW w:type="dxa" w:w="13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62</w:t>
            </w:r>
          </w:p>
        </w:tc>
        <w:tc>
          <w:tcPr>
            <w:tcW w:type="dxa" w:w="246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 – .62</w:t>
            </w:r>
          </w:p>
        </w:tc>
      </w:tr>
      <w:tr>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HR</w:t>
            </w:r>
          </w:p>
        </w:tc>
        <w:tc>
          <w:tcPr>
            <w:tcW w:type="dxa" w:w="13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25</w:t>
            </w:r>
          </w:p>
        </w:tc>
        <w:tc>
          <w:tcPr>
            <w:tcW w:type="dxa" w:w="22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192.168.1.64/27</w:t>
            </w:r>
          </w:p>
        </w:tc>
        <w:tc>
          <w:tcPr>
            <w:tcW w:type="dxa" w:w="13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30</w:t>
            </w:r>
          </w:p>
        </w:tc>
        <w:tc>
          <w:tcPr>
            <w:tcW w:type="dxa" w:w="246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.65 – .94</w:t>
            </w:r>
          </w:p>
        </w:tc>
      </w:tr>
      <w:tr>
        <w:tc>
          <w:tcPr>
            <w:tcW w:type="dxa" w:w="26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IT</w:t>
            </w:r>
          </w:p>
        </w:tc>
        <w:tc>
          <w:tcPr>
            <w:tcW w:type="dxa" w:w="13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12</w:t>
            </w:r>
          </w:p>
        </w:tc>
        <w:tc>
          <w:tcPr>
            <w:tcW w:type="dxa" w:w="22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192.168.1.96/28</w:t>
            </w:r>
          </w:p>
        </w:tc>
        <w:tc>
          <w:tcPr>
            <w:tcW w:type="dxa" w:w="13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14</w:t>
            </w:r>
          </w:p>
        </w:tc>
        <w:tc>
          <w:tcPr>
            <w:tcW w:type="dxa" w:w="246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.97 – .110</w:t>
            </w:r>
          </w:p>
        </w:tc>
      </w:tr>
      <w:tr>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Admin</w:t>
            </w:r>
          </w:p>
        </w:tc>
        <w:tc>
          <w:tcPr>
            <w:tcW w:type="dxa" w:w="13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6</w:t>
            </w:r>
          </w:p>
        </w:tc>
        <w:tc>
          <w:tcPr>
            <w:tcW w:type="dxa" w:w="22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192.168.1.112/29</w:t>
            </w:r>
          </w:p>
        </w:tc>
        <w:tc>
          <w:tcPr>
            <w:tcW w:type="dxa" w:w="13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6</w:t>
            </w:r>
          </w:p>
        </w:tc>
        <w:tc>
          <w:tcPr>
            <w:tcW w:type="dxa" w:w="246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.113 – .118</w:t>
            </w:r>
          </w:p>
        </w:tc>
      </w:tr>
      <w:tr>
        <w:tc>
          <w:tcPr>
            <w:tcW w:type="dxa" w:w="26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Security (WAN link)</w:t>
            </w:r>
          </w:p>
        </w:tc>
        <w:tc>
          <w:tcPr>
            <w:tcW w:type="dxa" w:w="13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w:t>
            </w:r>
          </w:p>
        </w:tc>
        <w:tc>
          <w:tcPr>
            <w:tcW w:type="dxa" w:w="22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192.168.1.120/30</w:t>
            </w:r>
          </w:p>
        </w:tc>
        <w:tc>
          <w:tcPr>
            <w:tcW w:type="dxa" w:w="13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w:t>
            </w:r>
          </w:p>
        </w:tc>
        <w:tc>
          <w:tcPr>
            <w:tcW w:type="dxa" w:w="246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.121 – .122</w:t>
            </w:r>
          </w:p>
        </w:tc>
      </w:tr>
    </w:tbl>
    <w:p>
      <w:pPr>
        <w:spacing w:after="120"/>
      </w:pPr>
      <w:r>
        <w:rPr>
          <w:rFonts w:ascii="Calibri" w:cs="Calibri" w:eastAsia="Calibri" w:hAnsi="Calibri"/>
        </w:rPr>
        <w:t xml:space="preserve"/>
      </w:r>
    </w:p>
    <w:p>
      <w:pPr>
        <w:spacing w:after="120"/>
      </w:pPr>
      <w:r>
        <w:rPr>
          <w:rFonts w:ascii="Calibri" w:cs="Calibri" w:eastAsia="Calibri" w:hAnsi="Calibri"/>
        </w:rPr>
        <w:t xml:space="preserve">This VLSM plan reduces wastage to a minimum per subnet and leaves 192.168.1.124 – 192.168.1.255 (132 addresses) free as a contiguous reserved block for future departments or expansion — a clear improvement over the original scattered fixed-length allocation.</w:t>
      </w:r>
    </w:p>
    <w:p>
      <w:pPr>
        <w:pBdr>
          <w:bottom w:val="single" w:color="AAAAAA" w:sz="6" w:space="1"/>
        </w:pBdr>
        <w:spacing w:after="200" w:before="100"/>
      </w:pPr>
      <w:r>
        <w:rPr>
          <w:rFonts w:ascii="Calibri" w:cs="Calibri" w:eastAsia="Calibri" w:hAnsi="Calibri"/>
        </w:rPr>
        <w:t xml:space="preserve"/>
      </w:r>
    </w:p>
    <w:p>
      <w:pPr>
        <w:pStyle w:val="Heading1"/>
        <w:spacing w:after="160" w:before="320"/>
      </w:pPr>
      <w:r>
        <w:rPr>
          <w:rFonts w:ascii="Calibri" w:cs="Calibri" w:eastAsia="Calibri" w:hAnsi="Calibri"/>
          <w:b/>
          <w:bCs/>
        </w:rPr>
        <w:t xml:space="preserve">Question 4 – IPv6 Addressing Debugging (Repeat of Question 2)</w:t>
      </w:r>
    </w:p>
    <w:p>
      <w:pPr>
        <w:spacing w:after="120"/>
      </w:pPr>
      <w:r>
        <w:rPr>
          <w:rFonts w:ascii="Calibri" w:cs="Calibri" w:eastAsia="Calibri" w:hAnsi="Calibri"/>
        </w:rPr>
        <w:t xml:space="preserve">Question 4 uses the same two addresses as Question 2, so the debugging steps and conclusion are identical.</w:t>
      </w:r>
    </w:p>
    <w:p>
      <w:pPr>
        <w:pStyle w:val="Heading2"/>
        <w:spacing w:after="120" w:before="220"/>
      </w:pPr>
      <w:r>
        <w:rPr>
          <w:rFonts w:ascii="Calibri" w:cs="Calibri" w:eastAsia="Calibri" w:hAnsi="Calibri"/>
          <w:b/>
          <w:bCs/>
          <w:color w:val="1F4E79"/>
        </w:rPr>
        <w:t xml:space="preserve">Summary of Findings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800"/>
        <w:gridCol w:w="6660"/>
      </w:tblGrid>
      <w:tr>
        <w:trPr>
          <w:tblHeader/>
        </w:trPr>
        <w:tc>
          <w:tcPr>
            <w:tcW w:type="dxa" w:w="2800"/>
            <w:shd w:fill="2E74B5"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Step</w:t>
            </w:r>
          </w:p>
        </w:tc>
        <w:tc>
          <w:tcPr>
            <w:tcW w:type="dxa" w:w="6660"/>
            <w:shd w:fill="2E74B5"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Result</w:t>
            </w:r>
          </w:p>
        </w:tc>
      </w:tr>
      <w:tr>
        <w:tc>
          <w:tcPr>
            <w:tcW w:type="dxa" w:w="28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Device A expanded</w:t>
            </w:r>
          </w:p>
        </w:tc>
        <w:tc>
          <w:tcPr>
            <w:tcW w:type="dxa" w:w="666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2001:0db8:0000:0000:0000:ff00:0042:8329</w:t>
            </w:r>
          </w:p>
        </w:tc>
      </w:tr>
      <w:tr>
        <w:tc>
          <w:tcPr>
            <w:tcW w:type="dxa" w:w="28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Device B expanded</w:t>
            </w:r>
          </w:p>
        </w:tc>
        <w:tc>
          <w:tcPr>
            <w:tcW w:type="dxa" w:w="666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2001:0db8:0000:0000:0001:0000:0000:0001</w:t>
            </w:r>
          </w:p>
        </w:tc>
      </w:tr>
      <w:tr>
        <w:tc>
          <w:tcPr>
            <w:tcW w:type="dxa" w:w="28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Device A /64 prefix</w:t>
            </w:r>
          </w:p>
        </w:tc>
        <w:tc>
          <w:tcPr>
            <w:tcW w:type="dxa" w:w="666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2001:db8::/64</w:t>
            </w:r>
          </w:p>
        </w:tc>
      </w:tr>
      <w:tr>
        <w:tc>
          <w:tcPr>
            <w:tcW w:type="dxa" w:w="28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Device B /64 prefix</w:t>
            </w:r>
          </w:p>
        </w:tc>
        <w:tc>
          <w:tcPr>
            <w:tcW w:type="dxa" w:w="666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2001:db8::/64</w:t>
            </w:r>
          </w:p>
        </w:tc>
      </w:tr>
      <w:tr>
        <w:tc>
          <w:tcPr>
            <w:tcW w:type="dxa" w:w="28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Same subnet?</w:t>
            </w:r>
          </w:p>
        </w:tc>
        <w:tc>
          <w:tcPr>
            <w:tcW w:type="dxa" w:w="666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Yes — both share the identical /64 prefix</w:t>
            </w:r>
          </w:p>
        </w:tc>
      </w:tr>
      <w:tr>
        <w:tc>
          <w:tcPr>
            <w:tcW w:type="dxa" w:w="28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Actual issue</w:t>
            </w:r>
          </w:p>
        </w:tc>
        <w:tc>
          <w:tcPr>
            <w:tcW w:type="dxa" w:w="666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Not addressing; likely NDP / DAD / L2 connectivity / ACL blocking ICMPv6</w:t>
            </w:r>
          </w:p>
        </w:tc>
      </w:tr>
      <w:tr>
        <w:tc>
          <w:tcPr>
            <w:tcW w:type="dxa" w:w="28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Optimized addresses</w:t>
            </w:r>
          </w:p>
        </w:tc>
        <w:tc>
          <w:tcPr>
            <w:tcW w:type="dxa" w:w="666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Device A: 2001:db8::1/64, Device B: 2001:db8::2/64</w:t>
            </w:r>
          </w:p>
        </w:tc>
      </w:tr>
      <w:tr>
        <w:tc>
          <w:tcPr>
            <w:tcW w:type="dxa" w:w="28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Available hosts in /64</w:t>
            </w:r>
          </w:p>
        </w:tc>
        <w:tc>
          <w:tcPr>
            <w:tcW w:type="dxa" w:w="666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2^64 (≈1.8 × 10^19) — effectively unrestricted</w:t>
            </w:r>
          </w:p>
        </w:tc>
      </w:tr>
    </w:tbl>
    <w:p>
      <w:pPr>
        <w:pBdr>
          <w:bottom w:val="single" w:color="AAAAAA" w:sz="6" w:space="1"/>
        </w:pBdr>
        <w:spacing w:after="200" w:before="100"/>
      </w:pPr>
      <w:r>
        <w:rPr>
          <w:rFonts w:ascii="Calibri" w:cs="Calibri" w:eastAsia="Calibri" w:hAnsi="Calibri"/>
        </w:rPr>
        <w:t xml:space="preserve"/>
      </w:r>
    </w:p>
    <w:p>
      <w:pPr>
        <w:pStyle w:val="Heading1"/>
        <w:spacing w:after="160" w:before="320"/>
      </w:pPr>
      <w:r>
        <w:rPr>
          <w:rFonts w:ascii="Calibri" w:cs="Calibri" w:eastAsia="Calibri" w:hAnsi="Calibri"/>
          <w:b/>
          <w:bCs/>
        </w:rPr>
        <w:t xml:space="preserve">Question 5 – Routing Table Debugging</w:t>
      </w:r>
    </w:p>
    <w:p>
      <w:pPr>
        <w:pStyle w:val="Heading2"/>
        <w:spacing w:after="120" w:before="220"/>
      </w:pPr>
      <w:r>
        <w:rPr>
          <w:rFonts w:ascii="Calibri" w:cs="Calibri" w:eastAsia="Calibri" w:hAnsi="Calibri"/>
          <w:b/>
          <w:bCs/>
          <w:color w:val="1F4E79"/>
        </w:rPr>
        <w:t xml:space="preserve">Given Routing Table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4700"/>
        <w:gridCol w:w="4760"/>
      </w:tblGrid>
      <w:tr>
        <w:trPr>
          <w:tblHeader/>
        </w:trPr>
        <w:tc>
          <w:tcPr>
            <w:tcW w:type="dxa" w:w="4700"/>
            <w:shd w:fill="2E74B5"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Destination Network</w:t>
            </w:r>
          </w:p>
        </w:tc>
        <w:tc>
          <w:tcPr>
            <w:tcW w:type="dxa" w:w="4760"/>
            <w:shd w:fill="2E74B5"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Next Hop</w:t>
            </w:r>
          </w:p>
        </w:tc>
      </w:tr>
      <w:tr>
        <w:tc>
          <w:tcPr>
            <w:tcW w:type="dxa" w:w="47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192.168.1.0/24</w:t>
            </w:r>
          </w:p>
        </w:tc>
        <w:tc>
          <w:tcPr>
            <w:tcW w:type="dxa" w:w="476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10.0.0.2</w:t>
            </w:r>
          </w:p>
        </w:tc>
      </w:tr>
      <w:tr>
        <w:tc>
          <w:tcPr>
            <w:tcW w:type="dxa" w:w="47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192.168.2.0/24</w:t>
            </w:r>
          </w:p>
        </w:tc>
        <w:tc>
          <w:tcPr>
            <w:tcW w:type="dxa" w:w="476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10.0.0.3</w:t>
            </w:r>
          </w:p>
        </w:tc>
      </w:tr>
      <w:tr>
        <w:tc>
          <w:tcPr>
            <w:tcW w:type="dxa" w:w="470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Default Route (0.0.0.0/0)</w:t>
            </w:r>
          </w:p>
        </w:tc>
        <w:tc>
          <w:tcPr>
            <w:tcW w:type="dxa" w:w="4760"/>
            <w:shd w:fill="F2F6FB"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10.0.0.1</w:t>
            </w:r>
          </w:p>
        </w:tc>
      </w:tr>
    </w:tbl>
    <w:p>
      <w:pPr>
        <w:spacing w:after="120"/>
      </w:pPr>
      <w:r>
        <w:rPr>
          <w:rFonts w:ascii="Calibri" w:cs="Calibri" w:eastAsia="Calibri" w:hAnsi="Calibri"/>
        </w:rPr>
        <w:t xml:space="preserve"/>
      </w:r>
    </w:p>
    <w:p>
      <w:pPr>
        <w:spacing w:after="120"/>
      </w:pPr>
      <w:r>
        <w:rPr>
          <w:rFonts w:ascii="Calibri" w:cs="Calibri" w:eastAsia="Calibri" w:hAnsi="Calibri"/>
        </w:rPr>
        <w:t xml:space="preserve">Reported problem: packets destined for 192.168.2.100 are not reaching the intended network.</w:t>
      </w:r>
    </w:p>
    <w:p>
      <w:pPr>
        <w:pStyle w:val="Heading2"/>
        <w:spacing w:after="120" w:before="220"/>
      </w:pPr>
      <w:r>
        <w:rPr>
          <w:rFonts w:ascii="Calibri" w:cs="Calibri" w:eastAsia="Calibri" w:hAnsi="Calibri"/>
          <w:b/>
          <w:bCs/>
          <w:color w:val="1F4E79"/>
        </w:rPr>
        <w:t xml:space="preserve">Step 1 – Longest-Prefix Match for 192.168.2.100</w:t>
      </w:r>
    </w:p>
    <w:p>
      <w:pPr>
        <w:pStyle w:val="ListParagraph"/>
        <w:numPr>
          <w:ilvl w:val="0"/>
          <w:numId w:val="1"/>
        </w:numPr>
        <w:spacing w:after="80"/>
      </w:pPr>
      <w:r>
        <w:rPr>
          <w:rFonts w:ascii="Calibri" w:cs="Calibri" w:eastAsia="Calibri" w:hAnsi="Calibri"/>
        </w:rPr>
        <w:t xml:space="preserve">Against 192.168.1.0/24 → no match (different third octet).</w:t>
      </w:r>
    </w:p>
    <w:p>
      <w:pPr>
        <w:pStyle w:val="ListParagraph"/>
        <w:numPr>
          <w:ilvl w:val="0"/>
          <w:numId w:val="1"/>
        </w:numPr>
        <w:spacing w:after="80"/>
      </w:pPr>
      <w:r>
        <w:rPr>
          <w:rFonts w:ascii="Calibri" w:cs="Calibri" w:eastAsia="Calibri" w:hAnsi="Calibri"/>
        </w:rPr>
        <w:t xml:space="preserve">Against 192.168.2.0/24 → match, /24 prefix.</w:t>
      </w:r>
    </w:p>
    <w:p>
      <w:pPr>
        <w:pStyle w:val="ListParagraph"/>
        <w:numPr>
          <w:ilvl w:val="0"/>
          <w:numId w:val="1"/>
        </w:numPr>
        <w:spacing w:after="80"/>
      </w:pPr>
      <w:r>
        <w:rPr>
          <w:rFonts w:ascii="Calibri" w:cs="Calibri" w:eastAsia="Calibri" w:hAnsi="Calibri"/>
        </w:rPr>
        <w:t xml:space="preserve">Against the default route 0.0.0.0/0 → also technically matches everything, but has the shortest prefix (/0).</w:t>
      </w:r>
    </w:p>
    <w:p>
      <w:pPr>
        <w:spacing w:after="120"/>
      </w:pPr>
      <w:r>
        <w:rPr>
          <w:rFonts w:ascii="Calibri" w:cs="Calibri" w:eastAsia="Calibri" w:hAnsi="Calibri"/>
        </w:rPr>
        <w:t xml:space="preserve">By the longest-prefix-match rule, the router selects 192.168.2.0/24, not the default route.</w:t>
      </w:r>
    </w:p>
    <w:p>
      <w:pPr>
        <w:pStyle w:val="Heading2"/>
        <w:spacing w:after="120" w:before="220"/>
      </w:pPr>
      <w:r>
        <w:rPr>
          <w:rFonts w:ascii="Calibri" w:cs="Calibri" w:eastAsia="Calibri" w:hAnsi="Calibri"/>
          <w:b/>
          <w:bCs/>
          <w:color w:val="1F4E79"/>
        </w:rPr>
        <w:t xml:space="preserve">Step 2 – Next Hop Selected</w:t>
      </w:r>
    </w:p>
    <w:p>
      <w:pPr>
        <w:spacing w:after="120"/>
      </w:pPr>
      <w:r>
        <w:rPr>
          <w:rFonts w:ascii="Calibri" w:cs="Calibri" w:eastAsia="Calibri" w:hAnsi="Calibri"/>
        </w:rPr>
        <w:t xml:space="preserve">Next hop for 192.168.2.100 is 10.0.0.3, as specified against the 192.168.2.0/24 entry.</w:t>
      </w:r>
    </w:p>
    <w:p>
      <w:pPr>
        <w:pStyle w:val="Heading2"/>
        <w:spacing w:after="120" w:before="220"/>
      </w:pPr>
      <w:r>
        <w:rPr>
          <w:rFonts w:ascii="Calibri" w:cs="Calibri" w:eastAsia="Calibri" w:hAnsi="Calibri"/>
          <w:b/>
          <w:bCs/>
          <w:color w:val="1F4E79"/>
        </w:rPr>
        <w:t xml:space="preserve">Step 3 – Verify the Destination Belongs to the Intended Subnet</w:t>
      </w:r>
    </w:p>
    <w:p>
      <w:pPr>
        <w:spacing w:after="120"/>
      </w:pPr>
      <w:r>
        <w:rPr>
          <w:rFonts w:ascii="Calibri" w:cs="Calibri" w:eastAsia="Calibri" w:hAnsi="Calibri"/>
        </w:rPr>
        <w:t xml:space="preserve">192.168.2.0/24 has host range 192.168.2.1 – 192.168.2.254. The address 192.168.2.100 falls correctly inside this range, confirming the match is valid.</w:t>
      </w:r>
    </w:p>
    <w:p>
      <w:pPr>
        <w:pStyle w:val="Heading2"/>
        <w:spacing w:after="120" w:before="220"/>
      </w:pPr>
      <w:r>
        <w:rPr>
          <w:rFonts w:ascii="Calibri" w:cs="Calibri" w:eastAsia="Calibri" w:hAnsi="Calibri"/>
          <w:b/>
          <w:bCs/>
          <w:color w:val="1F4E79"/>
        </w:rPr>
        <w:t xml:space="preserve">Step 4 – Routing Configuration Errors</w:t>
      </w:r>
    </w:p>
    <w:p>
      <w:pPr>
        <w:spacing w:after="120"/>
      </w:pPr>
      <w:r>
        <w:rPr>
          <w:rFonts w:ascii="Calibri" w:cs="Calibri" w:eastAsia="Calibri" w:hAnsi="Calibri"/>
        </w:rPr>
        <w:t xml:space="preserve">The routing table entry itself is correct and complete — 192.168.2.0/24 is present and correctly points to 10.0.0.3. There is no missing route or typo in the table shown. Since packets still fail to arrive, the fault lies outside the table, most likely one of:</w:t>
      </w:r>
    </w:p>
    <w:p>
      <w:pPr>
        <w:pStyle w:val="ListParagraph"/>
        <w:numPr>
          <w:ilvl w:val="0"/>
          <w:numId w:val="1"/>
        </w:numPr>
        <w:spacing w:after="80"/>
      </w:pPr>
      <w:r>
        <w:rPr>
          <w:rFonts w:ascii="Calibri" w:cs="Calibri" w:eastAsia="Calibri" w:hAnsi="Calibri"/>
        </w:rPr>
        <w:t xml:space="preserve">The next-hop router at 10.0.0.3 is down or its interface is administratively/physically disabled.</w:t>
      </w:r>
    </w:p>
    <w:p>
      <w:pPr>
        <w:pStyle w:val="ListParagraph"/>
        <w:numPr>
          <w:ilvl w:val="0"/>
          <w:numId w:val="1"/>
        </w:numPr>
        <w:spacing w:after="80"/>
      </w:pPr>
      <w:r>
        <w:rPr>
          <w:rFonts w:ascii="Calibri" w:cs="Calibri" w:eastAsia="Calibri" w:hAnsi="Calibri"/>
        </w:rPr>
        <w:t xml:space="preserve">10.0.0.3 has no return route back to the source network, causing asymmetric routing and dropped replies.</w:t>
      </w:r>
    </w:p>
    <w:p>
      <w:pPr>
        <w:pStyle w:val="ListParagraph"/>
        <w:numPr>
          <w:ilvl w:val="0"/>
          <w:numId w:val="1"/>
        </w:numPr>
        <w:spacing w:after="80"/>
      </w:pPr>
      <w:r>
        <w:rPr>
          <w:rFonts w:ascii="Calibri" w:cs="Calibri" w:eastAsia="Calibri" w:hAnsi="Calibri"/>
        </w:rPr>
        <w:t xml:space="preserve">A firewall/ACL along the path is blocking traffic to 192.168.2.0/24.</w:t>
      </w:r>
    </w:p>
    <w:p>
      <w:pPr>
        <w:pStyle w:val="ListParagraph"/>
        <w:numPr>
          <w:ilvl w:val="0"/>
          <w:numId w:val="1"/>
        </w:numPr>
        <w:spacing w:after="80"/>
      </w:pPr>
      <w:r>
        <w:rPr>
          <w:rFonts w:ascii="Calibri" w:cs="Calibri" w:eastAsia="Calibri" w:hAnsi="Calibri"/>
        </w:rPr>
        <w:t xml:space="preserve">A duplicate or conflicting static route elsewhere in the network overriding this path.</w:t>
      </w:r>
    </w:p>
    <w:p>
      <w:pPr>
        <w:pStyle w:val="Heading2"/>
        <w:spacing w:after="120" w:before="220"/>
      </w:pPr>
      <w:r>
        <w:rPr>
          <w:rFonts w:ascii="Calibri" w:cs="Calibri" w:eastAsia="Calibri" w:hAnsi="Calibri"/>
          <w:b/>
          <w:bCs/>
          <w:color w:val="1F4E79"/>
        </w:rPr>
        <w:t xml:space="preserve">Step 5 – Optimizing the Routing Table</w:t>
      </w:r>
    </w:p>
    <w:p>
      <w:pPr>
        <w:pStyle w:val="ListParagraph"/>
        <w:numPr>
          <w:ilvl w:val="0"/>
          <w:numId w:val="1"/>
        </w:numPr>
        <w:spacing w:after="80"/>
      </w:pPr>
      <w:r>
        <w:rPr>
          <w:rFonts w:ascii="Calibri" w:cs="Calibri" w:eastAsia="Calibri" w:hAnsi="Calibri"/>
        </w:rPr>
        <w:t xml:space="preserve">Verify reachability of 10.0.0.3 (ping/traceroute) and confirm the interface facing it is up.</w:t>
      </w:r>
    </w:p>
    <w:p>
      <w:pPr>
        <w:pStyle w:val="ListParagraph"/>
        <w:numPr>
          <w:ilvl w:val="0"/>
          <w:numId w:val="1"/>
        </w:numPr>
        <w:spacing w:after="80"/>
      </w:pPr>
      <w:r>
        <w:rPr>
          <w:rFonts w:ascii="Calibri" w:cs="Calibri" w:eastAsia="Calibri" w:hAnsi="Calibri"/>
        </w:rPr>
        <w:t xml:space="preserve">Confirm 10.0.0.3 has a route back to the source network to avoid asymmetric routing.</w:t>
      </w:r>
    </w:p>
    <w:p>
      <w:pPr>
        <w:pStyle w:val="ListParagraph"/>
        <w:numPr>
          <w:ilvl w:val="0"/>
          <w:numId w:val="1"/>
        </w:numPr>
        <w:spacing w:after="80"/>
      </w:pPr>
      <w:r>
        <w:rPr>
          <w:rFonts w:ascii="Calibri" w:cs="Calibri" w:eastAsia="Calibri" w:hAnsi="Calibri"/>
        </w:rPr>
        <w:t xml:space="preserve">Where possible, summarize/aggregate contiguous networks to reduce table size and lookup overhead.</w:t>
      </w:r>
    </w:p>
    <w:p>
      <w:pPr>
        <w:pStyle w:val="ListParagraph"/>
        <w:numPr>
          <w:ilvl w:val="0"/>
          <w:numId w:val="1"/>
        </w:numPr>
        <w:spacing w:after="80"/>
      </w:pPr>
      <w:r>
        <w:rPr>
          <w:rFonts w:ascii="Calibri" w:cs="Calibri" w:eastAsia="Calibri" w:hAnsi="Calibri"/>
        </w:rPr>
        <w:t xml:space="preserve">Enable route monitoring (e.g., keepalives) so a failed next hop is detected and rerouted automatically.</w:t>
      </w:r>
    </w:p>
    <w:p>
      <w:pPr>
        <w:pStyle w:val="Heading2"/>
        <w:spacing w:after="120" w:before="220"/>
      </w:pPr>
      <w:r>
        <w:rPr>
          <w:rFonts w:ascii="Calibri" w:cs="Calibri" w:eastAsia="Calibri" w:hAnsi="Calibri"/>
          <w:b/>
          <w:bCs/>
          <w:color w:val="1F4E79"/>
        </w:rPr>
        <w:t xml:space="preserve">Step 6 – Route Used if No Matching Destination Exists</w:t>
      </w:r>
    </w:p>
    <w:p>
      <w:pPr>
        <w:spacing w:after="120"/>
      </w:pPr>
      <w:r>
        <w:rPr>
          <w:rFonts w:ascii="Calibri" w:cs="Calibri" w:eastAsia="Calibri" w:hAnsi="Calibri"/>
        </w:rPr>
        <w:t xml:space="preserve">If a packet's destination does not match either 192.168.1.0/24 or 192.168.2.0/24, the router falls back to the Default Route and forwards it to 10.0.0.1.</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2026-07-27T02:59:18.922Z</dcterms:created>
  <dcterms:modified xsi:type="dcterms:W3CDTF">2026-07-27T02:59:18.937Z</dcterms:modified>
</cp:coreProperties>
</file>

<file path=docProps/custom.xml><?xml version="1.0" encoding="utf-8"?>
<Properties xmlns="http://schemas.openxmlformats.org/officeDocument/2006/custom-properties" xmlns:vt="http://schemas.openxmlformats.org/officeDocument/2006/docPropsVTypes"/>
</file>