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4F1A9" w14:textId="4B1024D2" w:rsidR="003F4469" w:rsidRDefault="003F4469" w:rsidP="003F4469">
      <w:pPr>
        <w:pStyle w:val="Heading1"/>
        <w:spacing w:before="360" w:after="160"/>
        <w:jc w:val="center"/>
        <w:rPr>
          <w:rFonts w:ascii="Times New Roman" w:hAnsi="Times New Roman" w:cs="Times New Roman"/>
          <w:b/>
          <w:bCs/>
          <w:color w:val="1F3864"/>
          <w:sz w:val="56"/>
          <w:szCs w:val="56"/>
        </w:rPr>
      </w:pPr>
      <w:r w:rsidRPr="003F4469">
        <w:rPr>
          <w:rFonts w:ascii="Times New Roman" w:hAnsi="Times New Roman" w:cs="Times New Roman"/>
          <w:b/>
          <w:bCs/>
          <w:color w:val="1F3864"/>
          <w:sz w:val="56"/>
          <w:szCs w:val="56"/>
        </w:rPr>
        <w:t>AI-Based Smart Waste Segregation and Recycling Automation System</w:t>
      </w:r>
    </w:p>
    <w:p w14:paraId="7B7C68D9" w14:textId="0005E5AD" w:rsidR="003F4469" w:rsidRDefault="003F4469" w:rsidP="003F4469">
      <w:pPr>
        <w:pStyle w:val="Heading1"/>
        <w:spacing w:before="360" w:after="160"/>
        <w:jc w:val="center"/>
        <w:rPr>
          <w:rFonts w:ascii="Times New Roman" w:hAnsi="Times New Roman" w:cs="Times New Roman"/>
          <w:b/>
          <w:bCs/>
          <w:color w:val="1F3864"/>
          <w:sz w:val="28"/>
          <w:szCs w:val="28"/>
        </w:rPr>
      </w:pPr>
      <w:r w:rsidRPr="003F4469">
        <w:rPr>
          <w:rFonts w:ascii="Times New Roman" w:hAnsi="Times New Roman" w:cs="Times New Roman"/>
          <w:b/>
          <w:bCs/>
          <w:color w:val="1F3864"/>
          <w:sz w:val="28"/>
          <w:szCs w:val="28"/>
        </w:rPr>
        <w:t>(Architecture Design Assignment)</w:t>
      </w:r>
    </w:p>
    <w:p w14:paraId="2C633189" w14:textId="387328CF" w:rsidR="00EF6FE1" w:rsidRDefault="00EF6FE1" w:rsidP="003F4469">
      <w:pPr>
        <w:pStyle w:val="Heading1"/>
        <w:spacing w:before="360" w:after="160"/>
        <w:jc w:val="center"/>
        <w:rPr>
          <w:rFonts w:ascii="Times New Roman" w:hAnsi="Times New Roman" w:cs="Times New Roman"/>
          <w:b/>
          <w:bCs/>
          <w:color w:val="1F3864"/>
          <w:sz w:val="28"/>
          <w:szCs w:val="28"/>
        </w:rPr>
      </w:pPr>
      <w:r w:rsidRPr="00EF6FE1">
        <w:rPr>
          <w:rFonts w:ascii="Times New Roman" w:hAnsi="Times New Roman" w:cs="Times New Roman"/>
          <w:b/>
          <w:bCs/>
          <w:color w:val="1F3864"/>
          <w:sz w:val="28"/>
          <w:szCs w:val="28"/>
        </w:rPr>
        <w:drawing>
          <wp:inline distT="0" distB="0" distL="0" distR="0" wp14:anchorId="34F14DDD" wp14:editId="0E688FA0">
            <wp:extent cx="4518349" cy="7306945"/>
            <wp:effectExtent l="0" t="0" r="0" b="8255"/>
            <wp:docPr id="94602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24674" name=""/>
                    <pic:cNvPicPr/>
                  </pic:nvPicPr>
                  <pic:blipFill>
                    <a:blip r:embed="rId7"/>
                    <a:stretch>
                      <a:fillRect/>
                    </a:stretch>
                  </pic:blipFill>
                  <pic:spPr>
                    <a:xfrm>
                      <a:off x="0" y="0"/>
                      <a:ext cx="4528380" cy="7323166"/>
                    </a:xfrm>
                    <a:prstGeom prst="rect">
                      <a:avLst/>
                    </a:prstGeom>
                  </pic:spPr>
                </pic:pic>
              </a:graphicData>
            </a:graphic>
          </wp:inline>
        </w:drawing>
      </w:r>
    </w:p>
    <w:p w14:paraId="45842E2A" w14:textId="4E45DAF9" w:rsidR="006928F0" w:rsidRDefault="00000000">
      <w:pPr>
        <w:pStyle w:val="Heading1"/>
        <w:spacing w:before="360" w:after="160"/>
      </w:pPr>
      <w:r>
        <w:rPr>
          <w:b/>
          <w:bCs/>
          <w:color w:val="1F3864"/>
        </w:rPr>
        <w:lastRenderedPageBreak/>
        <w:t>1. Analysis of System Requirements</w:t>
      </w:r>
    </w:p>
    <w:p w14:paraId="7AEBDD0B" w14:textId="77777777" w:rsidR="006928F0" w:rsidRDefault="00000000">
      <w:pPr>
        <w:pStyle w:val="Heading2"/>
        <w:spacing w:before="260" w:after="120"/>
      </w:pPr>
      <w:r>
        <w:rPr>
          <w:b/>
          <w:bCs/>
          <w:color w:val="2E7D32"/>
        </w:rPr>
        <w:t>1.1 Industry Context and Problem Overview</w:t>
      </w:r>
    </w:p>
    <w:p w14:paraId="458BDC64" w14:textId="77777777" w:rsidR="006928F0" w:rsidRDefault="00000000">
      <w:pPr>
        <w:spacing w:after="160" w:line="276" w:lineRule="auto"/>
        <w:jc w:val="both"/>
      </w:pPr>
      <w:r>
        <w:t>Efficient waste segregation is fundamental to sustainable waste management and recycling. Manual segregation at municipal waste processing facilities is labour-intensive, error-prone, and often results in recyclable materials being discarded into landfills. Advances in Artificial Intelligence, Computer Vision, Robotics, and the Internet of Things (IoT) now make it possible to automate waste identification and sorting, directly supporting circular-economy initiatives. The proposed system uses computer vision to classify waste, robotic actuators to physically sort it, and an analytics layer to monitor recycling performance and generate management reports, with the overall goal of improving recycling efficiency while reducing environmental pollution.</w:t>
      </w:r>
    </w:p>
    <w:p w14:paraId="2192C9AA" w14:textId="77777777" w:rsidR="006928F0" w:rsidRDefault="00000000">
      <w:pPr>
        <w:pStyle w:val="Heading2"/>
        <w:spacing w:before="260" w:after="120"/>
      </w:pPr>
      <w:r>
        <w:rPr>
          <w:b/>
          <w:bCs/>
          <w:color w:val="2E7D32"/>
        </w:rPr>
        <w:t>1.2 System Objectives</w:t>
      </w:r>
    </w:p>
    <w:p w14:paraId="174F305D" w14:textId="77777777" w:rsidR="006928F0" w:rsidRDefault="00000000">
      <w:pPr>
        <w:pStyle w:val="ListParagraph"/>
        <w:numPr>
          <w:ilvl w:val="0"/>
          <w:numId w:val="1"/>
        </w:numPr>
        <w:spacing w:after="90"/>
      </w:pPr>
      <w:r>
        <w:t>Classify waste automatically using AI-based computer vision.</w:t>
      </w:r>
    </w:p>
    <w:p w14:paraId="53FF1CB3" w14:textId="77777777" w:rsidR="006928F0" w:rsidRDefault="00000000">
      <w:pPr>
        <w:pStyle w:val="ListParagraph"/>
        <w:numPr>
          <w:ilvl w:val="0"/>
          <w:numId w:val="1"/>
        </w:numPr>
        <w:spacing w:after="90"/>
      </w:pPr>
      <w:r>
        <w:t>Automate physical waste segregation using robotic sorting mechanisms.</w:t>
      </w:r>
    </w:p>
    <w:p w14:paraId="7CFCF2B7" w14:textId="77777777" w:rsidR="006928F0" w:rsidRDefault="00000000">
      <w:pPr>
        <w:pStyle w:val="ListParagraph"/>
        <w:numPr>
          <w:ilvl w:val="0"/>
          <w:numId w:val="1"/>
        </w:numPr>
        <w:spacing w:after="90"/>
      </w:pPr>
      <w:r>
        <w:t>Continuously monitor recycling operations in real time.</w:t>
      </w:r>
    </w:p>
    <w:p w14:paraId="0EF841B5" w14:textId="77777777" w:rsidR="006928F0" w:rsidRDefault="00000000">
      <w:pPr>
        <w:pStyle w:val="ListParagraph"/>
        <w:numPr>
          <w:ilvl w:val="0"/>
          <w:numId w:val="1"/>
        </w:numPr>
        <w:spacing w:after="90"/>
      </w:pPr>
      <w:r>
        <w:t>Reduce the volume of waste sent to landfills.</w:t>
      </w:r>
    </w:p>
    <w:p w14:paraId="64FD6D88" w14:textId="77777777" w:rsidR="006928F0" w:rsidRDefault="00000000">
      <w:pPr>
        <w:pStyle w:val="ListParagraph"/>
        <w:numPr>
          <w:ilvl w:val="0"/>
          <w:numId w:val="1"/>
        </w:numPr>
        <w:spacing w:after="90"/>
      </w:pPr>
      <w:r>
        <w:t>Generate analytical reports on waste and recycling performance.</w:t>
      </w:r>
    </w:p>
    <w:p w14:paraId="695FDDC2" w14:textId="77777777" w:rsidR="006928F0" w:rsidRDefault="00000000">
      <w:pPr>
        <w:pStyle w:val="ListParagraph"/>
        <w:numPr>
          <w:ilvl w:val="0"/>
          <w:numId w:val="1"/>
        </w:numPr>
        <w:spacing w:after="90"/>
      </w:pPr>
      <w:r>
        <w:t>Improve overall recycling efficiency and resource recovery.</w:t>
      </w:r>
    </w:p>
    <w:p w14:paraId="1DCB5623" w14:textId="77777777" w:rsidR="006928F0" w:rsidRDefault="00000000">
      <w:pPr>
        <w:pStyle w:val="ListParagraph"/>
        <w:numPr>
          <w:ilvl w:val="0"/>
          <w:numId w:val="1"/>
        </w:numPr>
        <w:spacing w:after="90"/>
      </w:pPr>
      <w:r>
        <w:t>Support long-term environmental sustainability goals.</w:t>
      </w:r>
    </w:p>
    <w:p w14:paraId="1CB43D75" w14:textId="77777777" w:rsidR="006928F0" w:rsidRDefault="00000000">
      <w:pPr>
        <w:pStyle w:val="ListParagraph"/>
        <w:numPr>
          <w:ilvl w:val="0"/>
          <w:numId w:val="1"/>
        </w:numPr>
        <w:spacing w:after="90"/>
      </w:pPr>
      <w:r>
        <w:t>Minimize manual human intervention in the sorting process.</w:t>
      </w:r>
    </w:p>
    <w:p w14:paraId="49A66295" w14:textId="77777777" w:rsidR="006928F0" w:rsidRDefault="00000000">
      <w:pPr>
        <w:pStyle w:val="Heading2"/>
        <w:spacing w:before="260" w:after="120"/>
      </w:pPr>
      <w:r>
        <w:rPr>
          <w:b/>
          <w:bCs/>
          <w:color w:val="2E7D32"/>
        </w:rPr>
        <w:t>1.3 Functional Requirements</w:t>
      </w:r>
    </w:p>
    <w:p w14:paraId="0F20C6FF" w14:textId="77777777" w:rsidR="006928F0" w:rsidRDefault="00000000">
      <w:pPr>
        <w:spacing w:after="160" w:line="276" w:lineRule="auto"/>
        <w:jc w:val="both"/>
      </w:pPr>
      <w:r>
        <w:t>The functional requirements define what the system must do to achieve the stated objectives:</w:t>
      </w:r>
    </w:p>
    <w:tbl>
      <w:tblPr>
        <w:tblW w:w="5000" w:type="pct"/>
        <w:tblBorders>
          <w:top w:val="single" w:sz="4" w:space="0" w:color="B0BEC5"/>
          <w:left w:val="single" w:sz="4" w:space="0" w:color="B0BEC5"/>
          <w:bottom w:val="single" w:sz="4" w:space="0" w:color="B0BEC5"/>
          <w:right w:val="single" w:sz="4" w:space="0" w:color="B0BEC5"/>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3245"/>
        <w:gridCol w:w="3245"/>
        <w:gridCol w:w="3246"/>
      </w:tblGrid>
      <w:tr w:rsidR="006928F0" w14:paraId="0F61685F" w14:textId="77777777">
        <w:tblPrEx>
          <w:tblCellMar>
            <w:top w:w="0" w:type="dxa"/>
            <w:bottom w:w="0" w:type="dxa"/>
          </w:tblCellMar>
        </w:tblPrEx>
        <w:trPr>
          <w:tblHeader/>
        </w:trPr>
        <w:tc>
          <w:tcPr>
            <w:tcW w:w="1650" w:type="pct"/>
            <w:shd w:val="clear" w:color="auto" w:fill="1F3864"/>
            <w:tcMar>
              <w:top w:w="80" w:type="dxa"/>
              <w:left w:w="100" w:type="dxa"/>
              <w:bottom w:w="80" w:type="dxa"/>
              <w:right w:w="100" w:type="dxa"/>
            </w:tcMar>
            <w:vAlign w:val="center"/>
          </w:tcPr>
          <w:p w14:paraId="777EE872" w14:textId="77777777" w:rsidR="006928F0" w:rsidRDefault="00000000">
            <w:r>
              <w:rPr>
                <w:b/>
                <w:bCs/>
                <w:color w:val="FFFFFF"/>
                <w:sz w:val="20"/>
                <w:szCs w:val="20"/>
              </w:rPr>
              <w:t>ID</w:t>
            </w:r>
          </w:p>
        </w:tc>
        <w:tc>
          <w:tcPr>
            <w:tcW w:w="1650" w:type="pct"/>
            <w:shd w:val="clear" w:color="auto" w:fill="1F3864"/>
            <w:tcMar>
              <w:top w:w="80" w:type="dxa"/>
              <w:left w:w="100" w:type="dxa"/>
              <w:bottom w:w="80" w:type="dxa"/>
              <w:right w:w="100" w:type="dxa"/>
            </w:tcMar>
            <w:vAlign w:val="center"/>
          </w:tcPr>
          <w:p w14:paraId="5AA84603" w14:textId="77777777" w:rsidR="006928F0" w:rsidRDefault="00000000">
            <w:r>
              <w:rPr>
                <w:b/>
                <w:bCs/>
                <w:color w:val="FFFFFF"/>
                <w:sz w:val="20"/>
                <w:szCs w:val="20"/>
              </w:rPr>
              <w:t>Functional Requirement</w:t>
            </w:r>
          </w:p>
        </w:tc>
        <w:tc>
          <w:tcPr>
            <w:tcW w:w="1650" w:type="pct"/>
            <w:shd w:val="clear" w:color="auto" w:fill="1F3864"/>
            <w:tcMar>
              <w:top w:w="80" w:type="dxa"/>
              <w:left w:w="100" w:type="dxa"/>
              <w:bottom w:w="80" w:type="dxa"/>
              <w:right w:w="100" w:type="dxa"/>
            </w:tcMar>
            <w:vAlign w:val="center"/>
          </w:tcPr>
          <w:p w14:paraId="0492D0D0" w14:textId="77777777" w:rsidR="006928F0" w:rsidRDefault="00000000">
            <w:r>
              <w:rPr>
                <w:b/>
                <w:bCs/>
                <w:color w:val="FFFFFF"/>
                <w:sz w:val="20"/>
                <w:szCs w:val="20"/>
              </w:rPr>
              <w:t>Description</w:t>
            </w:r>
          </w:p>
        </w:tc>
      </w:tr>
      <w:tr w:rsidR="006928F0" w14:paraId="6AE21C05" w14:textId="77777777">
        <w:tblPrEx>
          <w:tblCellMar>
            <w:top w:w="0" w:type="dxa"/>
            <w:bottom w:w="0" w:type="dxa"/>
          </w:tblCellMar>
        </w:tblPrEx>
        <w:tc>
          <w:tcPr>
            <w:tcW w:w="1650" w:type="pct"/>
            <w:tcMar>
              <w:top w:w="80" w:type="dxa"/>
              <w:left w:w="100" w:type="dxa"/>
              <w:bottom w:w="80" w:type="dxa"/>
              <w:right w:w="100" w:type="dxa"/>
            </w:tcMar>
            <w:vAlign w:val="center"/>
          </w:tcPr>
          <w:p w14:paraId="26EDCFD1" w14:textId="77777777" w:rsidR="006928F0" w:rsidRDefault="00000000">
            <w:r>
              <w:rPr>
                <w:b/>
                <w:bCs/>
                <w:sz w:val="19"/>
                <w:szCs w:val="19"/>
              </w:rPr>
              <w:t>FR-1</w:t>
            </w:r>
          </w:p>
        </w:tc>
        <w:tc>
          <w:tcPr>
            <w:tcW w:w="1650" w:type="pct"/>
            <w:tcMar>
              <w:top w:w="80" w:type="dxa"/>
              <w:left w:w="100" w:type="dxa"/>
              <w:bottom w:w="80" w:type="dxa"/>
              <w:right w:w="100" w:type="dxa"/>
            </w:tcMar>
            <w:vAlign w:val="center"/>
          </w:tcPr>
          <w:p w14:paraId="0C4A4D76" w14:textId="77777777" w:rsidR="006928F0" w:rsidRDefault="00000000">
            <w:r>
              <w:rPr>
                <w:sz w:val="19"/>
                <w:szCs w:val="19"/>
              </w:rPr>
              <w:t>Waste Image Capture</w:t>
            </w:r>
          </w:p>
        </w:tc>
        <w:tc>
          <w:tcPr>
            <w:tcW w:w="1650" w:type="pct"/>
            <w:tcMar>
              <w:top w:w="80" w:type="dxa"/>
              <w:left w:w="100" w:type="dxa"/>
              <w:bottom w:w="80" w:type="dxa"/>
              <w:right w:w="100" w:type="dxa"/>
            </w:tcMar>
            <w:vAlign w:val="center"/>
          </w:tcPr>
          <w:p w14:paraId="198A54C0" w14:textId="77777777" w:rsidR="006928F0" w:rsidRDefault="00000000">
            <w:r>
              <w:rPr>
                <w:sz w:val="19"/>
                <w:szCs w:val="19"/>
              </w:rPr>
              <w:t>Capture real-time images/video of waste items on the conveyor using HD/depth cameras.</w:t>
            </w:r>
          </w:p>
        </w:tc>
      </w:tr>
      <w:tr w:rsidR="006928F0" w14:paraId="16796F79" w14:textId="77777777">
        <w:tblPrEx>
          <w:tblCellMar>
            <w:top w:w="0" w:type="dxa"/>
            <w:bottom w:w="0" w:type="dxa"/>
          </w:tblCellMar>
        </w:tblPrEx>
        <w:tc>
          <w:tcPr>
            <w:tcW w:w="1650" w:type="pct"/>
            <w:shd w:val="clear" w:color="auto" w:fill="EAF1FB"/>
            <w:tcMar>
              <w:top w:w="80" w:type="dxa"/>
              <w:left w:w="100" w:type="dxa"/>
              <w:bottom w:w="80" w:type="dxa"/>
              <w:right w:w="100" w:type="dxa"/>
            </w:tcMar>
            <w:vAlign w:val="center"/>
          </w:tcPr>
          <w:p w14:paraId="7F59D696" w14:textId="77777777" w:rsidR="006928F0" w:rsidRDefault="00000000">
            <w:r>
              <w:rPr>
                <w:b/>
                <w:bCs/>
                <w:sz w:val="19"/>
                <w:szCs w:val="19"/>
              </w:rPr>
              <w:t>FR-2</w:t>
            </w:r>
          </w:p>
        </w:tc>
        <w:tc>
          <w:tcPr>
            <w:tcW w:w="1650" w:type="pct"/>
            <w:shd w:val="clear" w:color="auto" w:fill="EAF1FB"/>
            <w:tcMar>
              <w:top w:w="80" w:type="dxa"/>
              <w:left w:w="100" w:type="dxa"/>
              <w:bottom w:w="80" w:type="dxa"/>
              <w:right w:w="100" w:type="dxa"/>
            </w:tcMar>
            <w:vAlign w:val="center"/>
          </w:tcPr>
          <w:p w14:paraId="348A328D" w14:textId="77777777" w:rsidR="006928F0" w:rsidRDefault="00000000">
            <w:r>
              <w:rPr>
                <w:sz w:val="19"/>
                <w:szCs w:val="19"/>
              </w:rPr>
              <w:t>AI-Based Classification</w:t>
            </w:r>
          </w:p>
        </w:tc>
        <w:tc>
          <w:tcPr>
            <w:tcW w:w="1650" w:type="pct"/>
            <w:shd w:val="clear" w:color="auto" w:fill="EAF1FB"/>
            <w:tcMar>
              <w:top w:w="80" w:type="dxa"/>
              <w:left w:w="100" w:type="dxa"/>
              <w:bottom w:w="80" w:type="dxa"/>
              <w:right w:w="100" w:type="dxa"/>
            </w:tcMar>
            <w:vAlign w:val="center"/>
          </w:tcPr>
          <w:p w14:paraId="34C22104" w14:textId="77777777" w:rsidR="006928F0" w:rsidRDefault="00000000">
            <w:r>
              <w:rPr>
                <w:sz w:val="19"/>
                <w:szCs w:val="19"/>
              </w:rPr>
              <w:t>Classify captured waste into categories (plastic, paper, metal, glass, organic, e-waste) using a trained CNN model.</w:t>
            </w:r>
          </w:p>
        </w:tc>
      </w:tr>
      <w:tr w:rsidR="006928F0" w14:paraId="439DE7DF" w14:textId="77777777">
        <w:tblPrEx>
          <w:tblCellMar>
            <w:top w:w="0" w:type="dxa"/>
            <w:bottom w:w="0" w:type="dxa"/>
          </w:tblCellMar>
        </w:tblPrEx>
        <w:tc>
          <w:tcPr>
            <w:tcW w:w="1650" w:type="pct"/>
            <w:tcMar>
              <w:top w:w="80" w:type="dxa"/>
              <w:left w:w="100" w:type="dxa"/>
              <w:bottom w:w="80" w:type="dxa"/>
              <w:right w:w="100" w:type="dxa"/>
            </w:tcMar>
            <w:vAlign w:val="center"/>
          </w:tcPr>
          <w:p w14:paraId="4BB62057" w14:textId="77777777" w:rsidR="006928F0" w:rsidRDefault="00000000">
            <w:r>
              <w:rPr>
                <w:b/>
                <w:bCs/>
                <w:sz w:val="19"/>
                <w:szCs w:val="19"/>
              </w:rPr>
              <w:t>FR-3</w:t>
            </w:r>
          </w:p>
        </w:tc>
        <w:tc>
          <w:tcPr>
            <w:tcW w:w="1650" w:type="pct"/>
            <w:tcMar>
              <w:top w:w="80" w:type="dxa"/>
              <w:left w:w="100" w:type="dxa"/>
              <w:bottom w:w="80" w:type="dxa"/>
              <w:right w:w="100" w:type="dxa"/>
            </w:tcMar>
            <w:vAlign w:val="center"/>
          </w:tcPr>
          <w:p w14:paraId="250389F7" w14:textId="77777777" w:rsidR="006928F0" w:rsidRDefault="00000000">
            <w:r>
              <w:rPr>
                <w:sz w:val="19"/>
                <w:szCs w:val="19"/>
              </w:rPr>
              <w:t>Automated Sorting</w:t>
            </w:r>
          </w:p>
        </w:tc>
        <w:tc>
          <w:tcPr>
            <w:tcW w:w="1650" w:type="pct"/>
            <w:tcMar>
              <w:top w:w="80" w:type="dxa"/>
              <w:left w:w="100" w:type="dxa"/>
              <w:bottom w:w="80" w:type="dxa"/>
              <w:right w:w="100" w:type="dxa"/>
            </w:tcMar>
            <w:vAlign w:val="center"/>
          </w:tcPr>
          <w:p w14:paraId="13D092D6" w14:textId="77777777" w:rsidR="006928F0" w:rsidRDefault="00000000">
            <w:r>
              <w:rPr>
                <w:sz w:val="19"/>
                <w:szCs w:val="19"/>
              </w:rPr>
              <w:t>Trigger robotic arms/actuators to physically divert classified waste into the correct bin.</w:t>
            </w:r>
          </w:p>
        </w:tc>
      </w:tr>
      <w:tr w:rsidR="006928F0" w14:paraId="1A3ECBD2" w14:textId="77777777">
        <w:tblPrEx>
          <w:tblCellMar>
            <w:top w:w="0" w:type="dxa"/>
            <w:bottom w:w="0" w:type="dxa"/>
          </w:tblCellMar>
        </w:tblPrEx>
        <w:tc>
          <w:tcPr>
            <w:tcW w:w="1650" w:type="pct"/>
            <w:shd w:val="clear" w:color="auto" w:fill="EAF1FB"/>
            <w:tcMar>
              <w:top w:w="80" w:type="dxa"/>
              <w:left w:w="100" w:type="dxa"/>
              <w:bottom w:w="80" w:type="dxa"/>
              <w:right w:w="100" w:type="dxa"/>
            </w:tcMar>
            <w:vAlign w:val="center"/>
          </w:tcPr>
          <w:p w14:paraId="1BD51E78" w14:textId="77777777" w:rsidR="006928F0" w:rsidRDefault="00000000">
            <w:r>
              <w:rPr>
                <w:b/>
                <w:bCs/>
                <w:sz w:val="19"/>
                <w:szCs w:val="19"/>
              </w:rPr>
              <w:t>FR-4</w:t>
            </w:r>
          </w:p>
        </w:tc>
        <w:tc>
          <w:tcPr>
            <w:tcW w:w="1650" w:type="pct"/>
            <w:shd w:val="clear" w:color="auto" w:fill="EAF1FB"/>
            <w:tcMar>
              <w:top w:w="80" w:type="dxa"/>
              <w:left w:w="100" w:type="dxa"/>
              <w:bottom w:w="80" w:type="dxa"/>
              <w:right w:w="100" w:type="dxa"/>
            </w:tcMar>
            <w:vAlign w:val="center"/>
          </w:tcPr>
          <w:p w14:paraId="59FEADDF" w14:textId="77777777" w:rsidR="006928F0" w:rsidRDefault="00000000">
            <w:r>
              <w:rPr>
                <w:sz w:val="19"/>
                <w:szCs w:val="19"/>
              </w:rPr>
              <w:t>Low-Confidence Handling</w:t>
            </w:r>
          </w:p>
        </w:tc>
        <w:tc>
          <w:tcPr>
            <w:tcW w:w="1650" w:type="pct"/>
            <w:shd w:val="clear" w:color="auto" w:fill="EAF1FB"/>
            <w:tcMar>
              <w:top w:w="80" w:type="dxa"/>
              <w:left w:w="100" w:type="dxa"/>
              <w:bottom w:w="80" w:type="dxa"/>
              <w:right w:w="100" w:type="dxa"/>
            </w:tcMar>
            <w:vAlign w:val="center"/>
          </w:tcPr>
          <w:p w14:paraId="1A611A68" w14:textId="77777777" w:rsidR="006928F0" w:rsidRDefault="00000000">
            <w:r>
              <w:rPr>
                <w:sz w:val="19"/>
                <w:szCs w:val="19"/>
              </w:rPr>
              <w:t>Route items with low classification confidence to a manual review station.</w:t>
            </w:r>
          </w:p>
        </w:tc>
      </w:tr>
      <w:tr w:rsidR="006928F0" w14:paraId="3D0269F2" w14:textId="77777777">
        <w:tblPrEx>
          <w:tblCellMar>
            <w:top w:w="0" w:type="dxa"/>
            <w:bottom w:w="0" w:type="dxa"/>
          </w:tblCellMar>
        </w:tblPrEx>
        <w:tc>
          <w:tcPr>
            <w:tcW w:w="1650" w:type="pct"/>
            <w:tcMar>
              <w:top w:w="80" w:type="dxa"/>
              <w:left w:w="100" w:type="dxa"/>
              <w:bottom w:w="80" w:type="dxa"/>
              <w:right w:w="100" w:type="dxa"/>
            </w:tcMar>
            <w:vAlign w:val="center"/>
          </w:tcPr>
          <w:p w14:paraId="761DE810" w14:textId="77777777" w:rsidR="006928F0" w:rsidRDefault="00000000">
            <w:r>
              <w:rPr>
                <w:b/>
                <w:bCs/>
                <w:sz w:val="19"/>
                <w:szCs w:val="19"/>
              </w:rPr>
              <w:t>FR-5</w:t>
            </w:r>
          </w:p>
        </w:tc>
        <w:tc>
          <w:tcPr>
            <w:tcW w:w="1650" w:type="pct"/>
            <w:tcMar>
              <w:top w:w="80" w:type="dxa"/>
              <w:left w:w="100" w:type="dxa"/>
              <w:bottom w:w="80" w:type="dxa"/>
              <w:right w:w="100" w:type="dxa"/>
            </w:tcMar>
            <w:vAlign w:val="center"/>
          </w:tcPr>
          <w:p w14:paraId="745CB787" w14:textId="77777777" w:rsidR="006928F0" w:rsidRDefault="00000000">
            <w:r>
              <w:rPr>
                <w:sz w:val="19"/>
                <w:szCs w:val="19"/>
              </w:rPr>
              <w:t>Recycling Data Logging</w:t>
            </w:r>
          </w:p>
        </w:tc>
        <w:tc>
          <w:tcPr>
            <w:tcW w:w="1650" w:type="pct"/>
            <w:tcMar>
              <w:top w:w="80" w:type="dxa"/>
              <w:left w:w="100" w:type="dxa"/>
              <w:bottom w:w="80" w:type="dxa"/>
              <w:right w:w="100" w:type="dxa"/>
            </w:tcMar>
            <w:vAlign w:val="center"/>
          </w:tcPr>
          <w:p w14:paraId="23F9B0DA" w14:textId="77777777" w:rsidR="006928F0" w:rsidRDefault="00000000">
            <w:r>
              <w:rPr>
                <w:sz w:val="19"/>
                <w:szCs w:val="19"/>
              </w:rPr>
              <w:t>Record category, weight, timestamp and bin ID for every processed item.</w:t>
            </w:r>
          </w:p>
        </w:tc>
      </w:tr>
      <w:tr w:rsidR="006928F0" w14:paraId="150FF770" w14:textId="77777777">
        <w:tblPrEx>
          <w:tblCellMar>
            <w:top w:w="0" w:type="dxa"/>
            <w:bottom w:w="0" w:type="dxa"/>
          </w:tblCellMar>
        </w:tblPrEx>
        <w:tc>
          <w:tcPr>
            <w:tcW w:w="1650" w:type="pct"/>
            <w:shd w:val="clear" w:color="auto" w:fill="EAF1FB"/>
            <w:tcMar>
              <w:top w:w="80" w:type="dxa"/>
              <w:left w:w="100" w:type="dxa"/>
              <w:bottom w:w="80" w:type="dxa"/>
              <w:right w:w="100" w:type="dxa"/>
            </w:tcMar>
            <w:vAlign w:val="center"/>
          </w:tcPr>
          <w:p w14:paraId="20A73F15" w14:textId="77777777" w:rsidR="006928F0" w:rsidRDefault="00000000">
            <w:r>
              <w:rPr>
                <w:b/>
                <w:bCs/>
                <w:sz w:val="19"/>
                <w:szCs w:val="19"/>
              </w:rPr>
              <w:t>FR-6</w:t>
            </w:r>
          </w:p>
        </w:tc>
        <w:tc>
          <w:tcPr>
            <w:tcW w:w="1650" w:type="pct"/>
            <w:shd w:val="clear" w:color="auto" w:fill="EAF1FB"/>
            <w:tcMar>
              <w:top w:w="80" w:type="dxa"/>
              <w:left w:w="100" w:type="dxa"/>
              <w:bottom w:w="80" w:type="dxa"/>
              <w:right w:w="100" w:type="dxa"/>
            </w:tcMar>
            <w:vAlign w:val="center"/>
          </w:tcPr>
          <w:p w14:paraId="4B2BDE1F" w14:textId="77777777" w:rsidR="006928F0" w:rsidRDefault="00000000">
            <w:r>
              <w:rPr>
                <w:sz w:val="19"/>
                <w:szCs w:val="19"/>
              </w:rPr>
              <w:t>Analytics &amp; Reporting</w:t>
            </w:r>
          </w:p>
        </w:tc>
        <w:tc>
          <w:tcPr>
            <w:tcW w:w="1650" w:type="pct"/>
            <w:shd w:val="clear" w:color="auto" w:fill="EAF1FB"/>
            <w:tcMar>
              <w:top w:w="80" w:type="dxa"/>
              <w:left w:w="100" w:type="dxa"/>
              <w:bottom w:w="80" w:type="dxa"/>
              <w:right w:w="100" w:type="dxa"/>
            </w:tcMar>
            <w:vAlign w:val="center"/>
          </w:tcPr>
          <w:p w14:paraId="6CF52EC4" w14:textId="77777777" w:rsidR="006928F0" w:rsidRDefault="00000000">
            <w:r>
              <w:rPr>
                <w:sz w:val="19"/>
                <w:szCs w:val="19"/>
              </w:rPr>
              <w:t>Compute recycling rate, contamination rate, and throughput; generate periodic reports.</w:t>
            </w:r>
          </w:p>
        </w:tc>
      </w:tr>
      <w:tr w:rsidR="006928F0" w14:paraId="140E6D49" w14:textId="77777777">
        <w:tblPrEx>
          <w:tblCellMar>
            <w:top w:w="0" w:type="dxa"/>
            <w:bottom w:w="0" w:type="dxa"/>
          </w:tblCellMar>
        </w:tblPrEx>
        <w:tc>
          <w:tcPr>
            <w:tcW w:w="1650" w:type="pct"/>
            <w:tcMar>
              <w:top w:w="80" w:type="dxa"/>
              <w:left w:w="100" w:type="dxa"/>
              <w:bottom w:w="80" w:type="dxa"/>
              <w:right w:w="100" w:type="dxa"/>
            </w:tcMar>
            <w:vAlign w:val="center"/>
          </w:tcPr>
          <w:p w14:paraId="20943C43" w14:textId="77777777" w:rsidR="006928F0" w:rsidRDefault="00000000">
            <w:r>
              <w:rPr>
                <w:b/>
                <w:bCs/>
                <w:sz w:val="19"/>
                <w:szCs w:val="19"/>
              </w:rPr>
              <w:t>FR-7</w:t>
            </w:r>
          </w:p>
        </w:tc>
        <w:tc>
          <w:tcPr>
            <w:tcW w:w="1650" w:type="pct"/>
            <w:tcMar>
              <w:top w:w="80" w:type="dxa"/>
              <w:left w:w="100" w:type="dxa"/>
              <w:bottom w:w="80" w:type="dxa"/>
              <w:right w:w="100" w:type="dxa"/>
            </w:tcMar>
            <w:vAlign w:val="center"/>
          </w:tcPr>
          <w:p w14:paraId="71D88F22" w14:textId="77777777" w:rsidR="006928F0" w:rsidRDefault="00000000">
            <w:r>
              <w:rPr>
                <w:sz w:val="19"/>
                <w:szCs w:val="19"/>
              </w:rPr>
              <w:t>Dashboard &amp; Alerts</w:t>
            </w:r>
          </w:p>
        </w:tc>
        <w:tc>
          <w:tcPr>
            <w:tcW w:w="1650" w:type="pct"/>
            <w:tcMar>
              <w:top w:w="80" w:type="dxa"/>
              <w:left w:w="100" w:type="dxa"/>
              <w:bottom w:w="80" w:type="dxa"/>
              <w:right w:w="100" w:type="dxa"/>
            </w:tcMar>
            <w:vAlign w:val="center"/>
          </w:tcPr>
          <w:p w14:paraId="1BF7FF6B" w14:textId="77777777" w:rsidR="006928F0" w:rsidRDefault="00000000">
            <w:r>
              <w:rPr>
                <w:sz w:val="19"/>
                <w:szCs w:val="19"/>
              </w:rPr>
              <w:t>Provide a web/mobile dashboard for municipal staff with real-time status and alerts (e.g., bin full, sensor fault).</w:t>
            </w:r>
          </w:p>
        </w:tc>
      </w:tr>
      <w:tr w:rsidR="006928F0" w14:paraId="08E96FFF" w14:textId="77777777">
        <w:tblPrEx>
          <w:tblCellMar>
            <w:top w:w="0" w:type="dxa"/>
            <w:bottom w:w="0" w:type="dxa"/>
          </w:tblCellMar>
        </w:tblPrEx>
        <w:tc>
          <w:tcPr>
            <w:tcW w:w="1650" w:type="pct"/>
            <w:shd w:val="clear" w:color="auto" w:fill="EAF1FB"/>
            <w:tcMar>
              <w:top w:w="80" w:type="dxa"/>
              <w:left w:w="100" w:type="dxa"/>
              <w:bottom w:w="80" w:type="dxa"/>
              <w:right w:w="100" w:type="dxa"/>
            </w:tcMar>
            <w:vAlign w:val="center"/>
          </w:tcPr>
          <w:p w14:paraId="088352F4" w14:textId="77777777" w:rsidR="006928F0" w:rsidRDefault="00000000">
            <w:r>
              <w:rPr>
                <w:b/>
                <w:bCs/>
                <w:sz w:val="19"/>
                <w:szCs w:val="19"/>
              </w:rPr>
              <w:t>FR-8</w:t>
            </w:r>
          </w:p>
        </w:tc>
        <w:tc>
          <w:tcPr>
            <w:tcW w:w="1650" w:type="pct"/>
            <w:shd w:val="clear" w:color="auto" w:fill="EAF1FB"/>
            <w:tcMar>
              <w:top w:w="80" w:type="dxa"/>
              <w:left w:w="100" w:type="dxa"/>
              <w:bottom w:w="80" w:type="dxa"/>
              <w:right w:w="100" w:type="dxa"/>
            </w:tcMar>
            <w:vAlign w:val="center"/>
          </w:tcPr>
          <w:p w14:paraId="31120E6B" w14:textId="77777777" w:rsidR="006928F0" w:rsidRDefault="00000000">
            <w:r>
              <w:rPr>
                <w:sz w:val="19"/>
                <w:szCs w:val="19"/>
              </w:rPr>
              <w:t>System Administration</w:t>
            </w:r>
          </w:p>
        </w:tc>
        <w:tc>
          <w:tcPr>
            <w:tcW w:w="1650" w:type="pct"/>
            <w:shd w:val="clear" w:color="auto" w:fill="EAF1FB"/>
            <w:tcMar>
              <w:top w:w="80" w:type="dxa"/>
              <w:left w:w="100" w:type="dxa"/>
              <w:bottom w:w="80" w:type="dxa"/>
              <w:right w:w="100" w:type="dxa"/>
            </w:tcMar>
            <w:vAlign w:val="center"/>
          </w:tcPr>
          <w:p w14:paraId="1CBFE60E" w14:textId="77777777" w:rsidR="006928F0" w:rsidRDefault="00000000">
            <w:r>
              <w:rPr>
                <w:sz w:val="19"/>
                <w:szCs w:val="19"/>
              </w:rPr>
              <w:t>Allow administrators to configure classification categories, thresholds, and facility parameters.</w:t>
            </w:r>
          </w:p>
        </w:tc>
      </w:tr>
    </w:tbl>
    <w:p w14:paraId="7E7A32FE" w14:textId="77777777" w:rsidR="006928F0" w:rsidRDefault="00000000">
      <w:pPr>
        <w:pStyle w:val="Heading2"/>
        <w:spacing w:before="260" w:after="120"/>
      </w:pPr>
      <w:r>
        <w:rPr>
          <w:b/>
          <w:bCs/>
          <w:color w:val="2E7D32"/>
        </w:rPr>
        <w:lastRenderedPageBreak/>
        <w:t>1.4 Non-Functional Requirements and Quality Attributes</w:t>
      </w:r>
    </w:p>
    <w:p w14:paraId="310344AB" w14:textId="77777777" w:rsidR="006928F0" w:rsidRDefault="00000000">
      <w:pPr>
        <w:spacing w:after="160" w:line="276" w:lineRule="auto"/>
        <w:jc w:val="both"/>
      </w:pPr>
      <w:r>
        <w:t>Non-functional requirements determine the quality attributes that most strongly influence the choice of architecture:</w:t>
      </w:r>
    </w:p>
    <w:p w14:paraId="31A15674" w14:textId="77777777" w:rsidR="00EF6FE1" w:rsidRPr="00EF6FE1" w:rsidRDefault="00EF6FE1" w:rsidP="00EF6FE1">
      <w:pPr>
        <w:spacing w:after="160" w:line="276" w:lineRule="auto"/>
        <w:jc w:val="both"/>
      </w:pPr>
      <w:r w:rsidRPr="00EF6FE1">
        <w:t xml:space="preserve">Non-functional requirements define </w:t>
      </w:r>
      <w:r w:rsidRPr="00EF6FE1">
        <w:rPr>
          <w:b/>
          <w:bCs/>
        </w:rPr>
        <w:t>how well the system performs</w:t>
      </w:r>
      <w:r w:rsidRPr="00EF6FE1">
        <w:t xml:space="preserve"> and help in choosing the right software architecture.</w:t>
      </w:r>
    </w:p>
    <w:p w14:paraId="157E73EA" w14:textId="77777777" w:rsidR="00EF6FE1" w:rsidRPr="00EF6FE1" w:rsidRDefault="00EF6FE1" w:rsidP="00EF6FE1">
      <w:pPr>
        <w:numPr>
          <w:ilvl w:val="0"/>
          <w:numId w:val="2"/>
        </w:numPr>
        <w:spacing w:after="160" w:line="276" w:lineRule="auto"/>
        <w:jc w:val="both"/>
      </w:pPr>
      <w:r w:rsidRPr="00EF6FE1">
        <w:rPr>
          <w:b/>
          <w:bCs/>
        </w:rPr>
        <w:t>Performance:</w:t>
      </w:r>
      <w:r w:rsidRPr="00EF6FE1">
        <w:t xml:space="preserve"> Processes and classifies waste quickly. </w:t>
      </w:r>
    </w:p>
    <w:p w14:paraId="2F318E55" w14:textId="77777777" w:rsidR="00EF6FE1" w:rsidRPr="00EF6FE1" w:rsidRDefault="00EF6FE1" w:rsidP="00EF6FE1">
      <w:pPr>
        <w:numPr>
          <w:ilvl w:val="0"/>
          <w:numId w:val="2"/>
        </w:numPr>
        <w:spacing w:after="160" w:line="276" w:lineRule="auto"/>
        <w:jc w:val="both"/>
      </w:pPr>
      <w:r w:rsidRPr="00EF6FE1">
        <w:rPr>
          <w:b/>
          <w:bCs/>
        </w:rPr>
        <w:t>Accuracy:</w:t>
      </w:r>
      <w:r w:rsidRPr="00EF6FE1">
        <w:t xml:space="preserve"> Correctly identifies different waste types. </w:t>
      </w:r>
    </w:p>
    <w:p w14:paraId="1B2E20CF" w14:textId="77777777" w:rsidR="00EF6FE1" w:rsidRPr="00EF6FE1" w:rsidRDefault="00EF6FE1" w:rsidP="00EF6FE1">
      <w:pPr>
        <w:numPr>
          <w:ilvl w:val="0"/>
          <w:numId w:val="2"/>
        </w:numPr>
        <w:spacing w:after="160" w:line="276" w:lineRule="auto"/>
        <w:jc w:val="both"/>
      </w:pPr>
      <w:r w:rsidRPr="00EF6FE1">
        <w:rPr>
          <w:b/>
          <w:bCs/>
        </w:rPr>
        <w:t>Reliability:</w:t>
      </w:r>
      <w:r w:rsidRPr="00EF6FE1">
        <w:t xml:space="preserve"> Works continuously with minimal failures. </w:t>
      </w:r>
    </w:p>
    <w:p w14:paraId="53AD5514" w14:textId="77777777" w:rsidR="00EF6FE1" w:rsidRPr="00EF6FE1" w:rsidRDefault="00EF6FE1" w:rsidP="00EF6FE1">
      <w:pPr>
        <w:numPr>
          <w:ilvl w:val="0"/>
          <w:numId w:val="2"/>
        </w:numPr>
        <w:spacing w:after="160" w:line="276" w:lineRule="auto"/>
        <w:jc w:val="both"/>
      </w:pPr>
      <w:r w:rsidRPr="00EF6FE1">
        <w:rPr>
          <w:b/>
          <w:bCs/>
        </w:rPr>
        <w:t>Scalability:</w:t>
      </w:r>
      <w:r w:rsidRPr="00EF6FE1">
        <w:t xml:space="preserve"> Supports future expansion and more waste categories. </w:t>
      </w:r>
    </w:p>
    <w:p w14:paraId="3BA5BCBA" w14:textId="77777777" w:rsidR="00EF6FE1" w:rsidRPr="00EF6FE1" w:rsidRDefault="00EF6FE1" w:rsidP="00EF6FE1">
      <w:pPr>
        <w:numPr>
          <w:ilvl w:val="0"/>
          <w:numId w:val="2"/>
        </w:numPr>
        <w:spacing w:after="160" w:line="276" w:lineRule="auto"/>
        <w:jc w:val="both"/>
      </w:pPr>
      <w:r w:rsidRPr="00EF6FE1">
        <w:rPr>
          <w:b/>
          <w:bCs/>
        </w:rPr>
        <w:t>Maintainability:</w:t>
      </w:r>
      <w:r w:rsidRPr="00EF6FE1">
        <w:t xml:space="preserve"> Easy to update and fix. </w:t>
      </w:r>
    </w:p>
    <w:p w14:paraId="60460AF4" w14:textId="77777777" w:rsidR="00EF6FE1" w:rsidRPr="00EF6FE1" w:rsidRDefault="00EF6FE1" w:rsidP="00EF6FE1">
      <w:pPr>
        <w:numPr>
          <w:ilvl w:val="0"/>
          <w:numId w:val="2"/>
        </w:numPr>
        <w:spacing w:after="160" w:line="276" w:lineRule="auto"/>
        <w:jc w:val="both"/>
      </w:pPr>
      <w:r w:rsidRPr="00EF6FE1">
        <w:rPr>
          <w:b/>
          <w:bCs/>
        </w:rPr>
        <w:t>Security:</w:t>
      </w:r>
      <w:r w:rsidRPr="00EF6FE1">
        <w:t xml:space="preserve"> Protects system data from unauthorized access. </w:t>
      </w:r>
    </w:p>
    <w:p w14:paraId="7A1F153E" w14:textId="77777777" w:rsidR="00EF6FE1" w:rsidRPr="00EF6FE1" w:rsidRDefault="00EF6FE1" w:rsidP="00EF6FE1">
      <w:pPr>
        <w:numPr>
          <w:ilvl w:val="0"/>
          <w:numId w:val="2"/>
        </w:numPr>
        <w:spacing w:after="160" w:line="276" w:lineRule="auto"/>
        <w:jc w:val="both"/>
      </w:pPr>
      <w:r w:rsidRPr="00EF6FE1">
        <w:rPr>
          <w:b/>
          <w:bCs/>
        </w:rPr>
        <w:t>Availability:</w:t>
      </w:r>
      <w:r w:rsidRPr="00EF6FE1">
        <w:t xml:space="preserve"> Remains operational whenever needed. </w:t>
      </w:r>
    </w:p>
    <w:p w14:paraId="157EED3A" w14:textId="77777777" w:rsidR="00EF6FE1" w:rsidRPr="00EF6FE1" w:rsidRDefault="00EF6FE1" w:rsidP="00EF6FE1">
      <w:pPr>
        <w:numPr>
          <w:ilvl w:val="0"/>
          <w:numId w:val="2"/>
        </w:numPr>
        <w:spacing w:after="160" w:line="276" w:lineRule="auto"/>
        <w:jc w:val="both"/>
      </w:pPr>
      <w:r w:rsidRPr="00EF6FE1">
        <w:rPr>
          <w:b/>
          <w:bCs/>
        </w:rPr>
        <w:t>Usability:</w:t>
      </w:r>
      <w:r w:rsidRPr="00EF6FE1">
        <w:t xml:space="preserve"> Simple and user-friendly interface. </w:t>
      </w:r>
    </w:p>
    <w:p w14:paraId="415F8DBB" w14:textId="77777777" w:rsidR="00EF6FE1" w:rsidRPr="00EF6FE1" w:rsidRDefault="00EF6FE1" w:rsidP="00EF6FE1">
      <w:pPr>
        <w:numPr>
          <w:ilvl w:val="0"/>
          <w:numId w:val="2"/>
        </w:numPr>
        <w:spacing w:after="160" w:line="276" w:lineRule="auto"/>
        <w:jc w:val="both"/>
      </w:pPr>
      <w:r w:rsidRPr="00EF6FE1">
        <w:rPr>
          <w:b/>
          <w:bCs/>
        </w:rPr>
        <w:t>Efficiency:</w:t>
      </w:r>
      <w:r w:rsidRPr="00EF6FE1">
        <w:t xml:space="preserve"> Uses hardware and power effectively. </w:t>
      </w:r>
    </w:p>
    <w:p w14:paraId="09CD199A" w14:textId="77777777" w:rsidR="00EF6FE1" w:rsidRPr="00EF6FE1" w:rsidRDefault="00EF6FE1" w:rsidP="00EF6FE1">
      <w:pPr>
        <w:numPr>
          <w:ilvl w:val="0"/>
          <w:numId w:val="2"/>
        </w:numPr>
        <w:spacing w:after="160" w:line="276" w:lineRule="auto"/>
        <w:jc w:val="both"/>
      </w:pPr>
      <w:r w:rsidRPr="00EF6FE1">
        <w:rPr>
          <w:b/>
          <w:bCs/>
        </w:rPr>
        <w:t>Flexibility:</w:t>
      </w:r>
      <w:r w:rsidRPr="00EF6FE1">
        <w:t xml:space="preserve"> Easily integrates new AI models and sensors.</w:t>
      </w:r>
    </w:p>
    <w:p w14:paraId="73605723" w14:textId="77777777" w:rsidR="00EF6FE1" w:rsidRDefault="00EF6FE1">
      <w:pPr>
        <w:spacing w:after="160" w:line="276" w:lineRule="auto"/>
        <w:jc w:val="both"/>
      </w:pPr>
    </w:p>
    <w:tbl>
      <w:tblPr>
        <w:tblW w:w="5000" w:type="pct"/>
        <w:tblBorders>
          <w:top w:val="single" w:sz="4" w:space="0" w:color="B0BEC5"/>
          <w:left w:val="single" w:sz="4" w:space="0" w:color="B0BEC5"/>
          <w:bottom w:val="single" w:sz="4" w:space="0" w:color="B0BEC5"/>
          <w:right w:val="single" w:sz="4" w:space="0" w:color="B0BEC5"/>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4868"/>
        <w:gridCol w:w="4868"/>
      </w:tblGrid>
      <w:tr w:rsidR="006928F0" w14:paraId="6A4BB573" w14:textId="77777777">
        <w:tblPrEx>
          <w:tblCellMar>
            <w:top w:w="0" w:type="dxa"/>
            <w:bottom w:w="0" w:type="dxa"/>
          </w:tblCellMar>
        </w:tblPrEx>
        <w:trPr>
          <w:tblHeader/>
        </w:trPr>
        <w:tc>
          <w:tcPr>
            <w:tcW w:w="2500" w:type="pct"/>
            <w:shd w:val="clear" w:color="auto" w:fill="1F3864"/>
            <w:tcMar>
              <w:top w:w="80" w:type="dxa"/>
              <w:left w:w="100" w:type="dxa"/>
              <w:bottom w:w="80" w:type="dxa"/>
              <w:right w:w="100" w:type="dxa"/>
            </w:tcMar>
            <w:vAlign w:val="center"/>
          </w:tcPr>
          <w:p w14:paraId="656E1A7A" w14:textId="77777777" w:rsidR="006928F0" w:rsidRDefault="00000000">
            <w:r>
              <w:rPr>
                <w:b/>
                <w:bCs/>
                <w:color w:val="FFFFFF"/>
                <w:sz w:val="20"/>
                <w:szCs w:val="20"/>
              </w:rPr>
              <w:t>Quality Attribute</w:t>
            </w:r>
          </w:p>
        </w:tc>
        <w:tc>
          <w:tcPr>
            <w:tcW w:w="2500" w:type="pct"/>
            <w:shd w:val="clear" w:color="auto" w:fill="1F3864"/>
            <w:tcMar>
              <w:top w:w="80" w:type="dxa"/>
              <w:left w:w="100" w:type="dxa"/>
              <w:bottom w:w="80" w:type="dxa"/>
              <w:right w:w="100" w:type="dxa"/>
            </w:tcMar>
            <w:vAlign w:val="center"/>
          </w:tcPr>
          <w:p w14:paraId="4BFAA9AA" w14:textId="77777777" w:rsidR="006928F0" w:rsidRDefault="00000000">
            <w:r>
              <w:rPr>
                <w:b/>
                <w:bCs/>
                <w:color w:val="FFFFFF"/>
                <w:sz w:val="20"/>
                <w:szCs w:val="20"/>
              </w:rPr>
              <w:t>Requirement</w:t>
            </w:r>
          </w:p>
        </w:tc>
      </w:tr>
      <w:tr w:rsidR="006928F0" w14:paraId="59753625" w14:textId="77777777">
        <w:tblPrEx>
          <w:tblCellMar>
            <w:top w:w="0" w:type="dxa"/>
            <w:bottom w:w="0" w:type="dxa"/>
          </w:tblCellMar>
        </w:tblPrEx>
        <w:tc>
          <w:tcPr>
            <w:tcW w:w="2500" w:type="pct"/>
            <w:tcMar>
              <w:top w:w="80" w:type="dxa"/>
              <w:left w:w="100" w:type="dxa"/>
              <w:bottom w:w="80" w:type="dxa"/>
              <w:right w:w="100" w:type="dxa"/>
            </w:tcMar>
            <w:vAlign w:val="center"/>
          </w:tcPr>
          <w:p w14:paraId="757CDCAF" w14:textId="77777777" w:rsidR="006928F0" w:rsidRDefault="00000000">
            <w:r>
              <w:rPr>
                <w:b/>
                <w:bCs/>
                <w:sz w:val="19"/>
                <w:szCs w:val="19"/>
              </w:rPr>
              <w:t>Scalability</w:t>
            </w:r>
          </w:p>
        </w:tc>
        <w:tc>
          <w:tcPr>
            <w:tcW w:w="2500" w:type="pct"/>
            <w:tcMar>
              <w:top w:w="80" w:type="dxa"/>
              <w:left w:w="100" w:type="dxa"/>
              <w:bottom w:w="80" w:type="dxa"/>
              <w:right w:w="100" w:type="dxa"/>
            </w:tcMar>
            <w:vAlign w:val="center"/>
          </w:tcPr>
          <w:p w14:paraId="522B1298" w14:textId="77777777" w:rsidR="006928F0" w:rsidRDefault="00000000">
            <w:r>
              <w:rPr>
                <w:sz w:val="19"/>
                <w:szCs w:val="19"/>
              </w:rPr>
              <w:t>The system must scale from a single sorting line to multiple facilities and additional sensor/robot units without redesign.</w:t>
            </w:r>
          </w:p>
        </w:tc>
      </w:tr>
      <w:tr w:rsidR="006928F0" w14:paraId="389628E8"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00AB1CFC" w14:textId="77777777" w:rsidR="006928F0" w:rsidRDefault="00000000">
            <w:r>
              <w:rPr>
                <w:b/>
                <w:bCs/>
                <w:sz w:val="19"/>
                <w:szCs w:val="19"/>
              </w:rPr>
              <w:t>Performance</w:t>
            </w:r>
          </w:p>
        </w:tc>
        <w:tc>
          <w:tcPr>
            <w:tcW w:w="2500" w:type="pct"/>
            <w:shd w:val="clear" w:color="auto" w:fill="EAF1FB"/>
            <w:tcMar>
              <w:top w:w="80" w:type="dxa"/>
              <w:left w:w="100" w:type="dxa"/>
              <w:bottom w:w="80" w:type="dxa"/>
              <w:right w:w="100" w:type="dxa"/>
            </w:tcMar>
            <w:vAlign w:val="center"/>
          </w:tcPr>
          <w:p w14:paraId="3F83A678" w14:textId="77777777" w:rsidR="006928F0" w:rsidRDefault="00000000">
            <w:r>
              <w:rPr>
                <w:sz w:val="19"/>
                <w:szCs w:val="19"/>
              </w:rPr>
              <w:t>Waste classification and the sort decision must complete within the conveyor cycle time (near real-time, sub-second inference).</w:t>
            </w:r>
          </w:p>
        </w:tc>
      </w:tr>
      <w:tr w:rsidR="006928F0" w14:paraId="7E1FCCEA" w14:textId="77777777">
        <w:tblPrEx>
          <w:tblCellMar>
            <w:top w:w="0" w:type="dxa"/>
            <w:bottom w:w="0" w:type="dxa"/>
          </w:tblCellMar>
        </w:tblPrEx>
        <w:tc>
          <w:tcPr>
            <w:tcW w:w="2500" w:type="pct"/>
            <w:tcMar>
              <w:top w:w="80" w:type="dxa"/>
              <w:left w:w="100" w:type="dxa"/>
              <w:bottom w:w="80" w:type="dxa"/>
              <w:right w:w="100" w:type="dxa"/>
            </w:tcMar>
            <w:vAlign w:val="center"/>
          </w:tcPr>
          <w:p w14:paraId="73AC0D04" w14:textId="77777777" w:rsidR="006928F0" w:rsidRDefault="00000000">
            <w:r>
              <w:rPr>
                <w:b/>
                <w:bCs/>
                <w:sz w:val="19"/>
                <w:szCs w:val="19"/>
              </w:rPr>
              <w:t>Reliability</w:t>
            </w:r>
          </w:p>
        </w:tc>
        <w:tc>
          <w:tcPr>
            <w:tcW w:w="2500" w:type="pct"/>
            <w:tcMar>
              <w:top w:w="80" w:type="dxa"/>
              <w:left w:w="100" w:type="dxa"/>
              <w:bottom w:w="80" w:type="dxa"/>
              <w:right w:w="100" w:type="dxa"/>
            </w:tcMar>
            <w:vAlign w:val="center"/>
          </w:tcPr>
          <w:p w14:paraId="2A7C5042" w14:textId="77777777" w:rsidR="006928F0" w:rsidRDefault="00000000">
            <w:r>
              <w:rPr>
                <w:sz w:val="19"/>
                <w:szCs w:val="19"/>
              </w:rPr>
              <w:t>The sorting pipeline must tolerate transient sensor/network failures without stopping the entire facility.</w:t>
            </w:r>
          </w:p>
        </w:tc>
      </w:tr>
      <w:tr w:rsidR="006928F0" w14:paraId="6D4C85FD"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25051E27" w14:textId="77777777" w:rsidR="006928F0" w:rsidRDefault="00000000">
            <w:r>
              <w:rPr>
                <w:b/>
                <w:bCs/>
                <w:sz w:val="19"/>
                <w:szCs w:val="19"/>
              </w:rPr>
              <w:t>Availability</w:t>
            </w:r>
          </w:p>
        </w:tc>
        <w:tc>
          <w:tcPr>
            <w:tcW w:w="2500" w:type="pct"/>
            <w:shd w:val="clear" w:color="auto" w:fill="EAF1FB"/>
            <w:tcMar>
              <w:top w:w="80" w:type="dxa"/>
              <w:left w:w="100" w:type="dxa"/>
              <w:bottom w:w="80" w:type="dxa"/>
              <w:right w:w="100" w:type="dxa"/>
            </w:tcMar>
            <w:vAlign w:val="center"/>
          </w:tcPr>
          <w:p w14:paraId="50627C6F" w14:textId="77777777" w:rsidR="006928F0" w:rsidRDefault="00000000">
            <w:r>
              <w:rPr>
                <w:sz w:val="19"/>
                <w:szCs w:val="19"/>
              </w:rPr>
              <w:t>Core services (classification, sorting control) should target high availability (24x7 operation with minimal downtime).</w:t>
            </w:r>
          </w:p>
        </w:tc>
      </w:tr>
      <w:tr w:rsidR="006928F0" w14:paraId="16087E6A" w14:textId="77777777">
        <w:tblPrEx>
          <w:tblCellMar>
            <w:top w:w="0" w:type="dxa"/>
            <w:bottom w:w="0" w:type="dxa"/>
          </w:tblCellMar>
        </w:tblPrEx>
        <w:tc>
          <w:tcPr>
            <w:tcW w:w="2500" w:type="pct"/>
            <w:tcMar>
              <w:top w:w="80" w:type="dxa"/>
              <w:left w:w="100" w:type="dxa"/>
              <w:bottom w:w="80" w:type="dxa"/>
              <w:right w:w="100" w:type="dxa"/>
            </w:tcMar>
            <w:vAlign w:val="center"/>
          </w:tcPr>
          <w:p w14:paraId="2BBD28AF" w14:textId="77777777" w:rsidR="006928F0" w:rsidRDefault="00000000">
            <w:r>
              <w:rPr>
                <w:b/>
                <w:bCs/>
                <w:sz w:val="19"/>
                <w:szCs w:val="19"/>
              </w:rPr>
              <w:t>Maintainability</w:t>
            </w:r>
          </w:p>
        </w:tc>
        <w:tc>
          <w:tcPr>
            <w:tcW w:w="2500" w:type="pct"/>
            <w:tcMar>
              <w:top w:w="80" w:type="dxa"/>
              <w:left w:w="100" w:type="dxa"/>
              <w:bottom w:w="80" w:type="dxa"/>
              <w:right w:w="100" w:type="dxa"/>
            </w:tcMar>
            <w:vAlign w:val="center"/>
          </w:tcPr>
          <w:p w14:paraId="12CE7919" w14:textId="77777777" w:rsidR="006928F0" w:rsidRDefault="00000000">
            <w:r>
              <w:rPr>
                <w:sz w:val="19"/>
                <w:szCs w:val="19"/>
              </w:rPr>
              <w:t>Individual components (e.g., the AI model) must be upgradable independently without redeploying the whole system.</w:t>
            </w:r>
          </w:p>
        </w:tc>
      </w:tr>
      <w:tr w:rsidR="006928F0" w14:paraId="5207873C"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5EE6632D" w14:textId="77777777" w:rsidR="006928F0" w:rsidRDefault="00000000">
            <w:r>
              <w:rPr>
                <w:b/>
                <w:bCs/>
                <w:sz w:val="19"/>
                <w:szCs w:val="19"/>
              </w:rPr>
              <w:t>Security</w:t>
            </w:r>
          </w:p>
        </w:tc>
        <w:tc>
          <w:tcPr>
            <w:tcW w:w="2500" w:type="pct"/>
            <w:shd w:val="clear" w:color="auto" w:fill="EAF1FB"/>
            <w:tcMar>
              <w:top w:w="80" w:type="dxa"/>
              <w:left w:w="100" w:type="dxa"/>
              <w:bottom w:w="80" w:type="dxa"/>
              <w:right w:w="100" w:type="dxa"/>
            </w:tcMar>
            <w:vAlign w:val="center"/>
          </w:tcPr>
          <w:p w14:paraId="477797CE" w14:textId="77777777" w:rsidR="006928F0" w:rsidRDefault="00000000">
            <w:r>
              <w:rPr>
                <w:sz w:val="19"/>
                <w:szCs w:val="19"/>
              </w:rPr>
              <w:t>Device authentication, encrypted communication, and role-based access to dashboards/reports are required.</w:t>
            </w:r>
          </w:p>
        </w:tc>
      </w:tr>
      <w:tr w:rsidR="006928F0" w14:paraId="0BCD4453" w14:textId="77777777">
        <w:tblPrEx>
          <w:tblCellMar>
            <w:top w:w="0" w:type="dxa"/>
            <w:bottom w:w="0" w:type="dxa"/>
          </w:tblCellMar>
        </w:tblPrEx>
        <w:tc>
          <w:tcPr>
            <w:tcW w:w="2500" w:type="pct"/>
            <w:tcMar>
              <w:top w:w="80" w:type="dxa"/>
              <w:left w:w="100" w:type="dxa"/>
              <w:bottom w:w="80" w:type="dxa"/>
              <w:right w:w="100" w:type="dxa"/>
            </w:tcMar>
            <w:vAlign w:val="center"/>
          </w:tcPr>
          <w:p w14:paraId="05DBFAFE" w14:textId="77777777" w:rsidR="006928F0" w:rsidRDefault="00000000">
            <w:r>
              <w:rPr>
                <w:b/>
                <w:bCs/>
                <w:sz w:val="19"/>
                <w:szCs w:val="19"/>
              </w:rPr>
              <w:t>Interoperability</w:t>
            </w:r>
          </w:p>
        </w:tc>
        <w:tc>
          <w:tcPr>
            <w:tcW w:w="2500" w:type="pct"/>
            <w:tcMar>
              <w:top w:w="80" w:type="dxa"/>
              <w:left w:w="100" w:type="dxa"/>
              <w:bottom w:w="80" w:type="dxa"/>
              <w:right w:w="100" w:type="dxa"/>
            </w:tcMar>
            <w:vAlign w:val="center"/>
          </w:tcPr>
          <w:p w14:paraId="63388EDB" w14:textId="77777777" w:rsidR="006928F0" w:rsidRDefault="00000000">
            <w:r>
              <w:rPr>
                <w:sz w:val="19"/>
                <w:szCs w:val="19"/>
              </w:rPr>
              <w:t>The system must integrate with existing municipal IoT sensors, ERP/reporting tools, and third-party recycling databases.</w:t>
            </w:r>
          </w:p>
        </w:tc>
      </w:tr>
    </w:tbl>
    <w:p w14:paraId="5CC2D2AE" w14:textId="77777777" w:rsidR="006928F0" w:rsidRDefault="00000000">
      <w:r>
        <w:br w:type="page"/>
      </w:r>
    </w:p>
    <w:p w14:paraId="391955B2" w14:textId="77777777" w:rsidR="006928F0" w:rsidRDefault="00000000">
      <w:pPr>
        <w:pStyle w:val="Heading1"/>
        <w:spacing w:before="360" w:after="160"/>
      </w:pPr>
      <w:r>
        <w:rPr>
          <w:b/>
          <w:bCs/>
          <w:color w:val="1F3864"/>
        </w:rPr>
        <w:lastRenderedPageBreak/>
        <w:t>2. Selection of Suitable Software Architecture</w:t>
      </w:r>
    </w:p>
    <w:p w14:paraId="1BF96A81" w14:textId="77777777" w:rsidR="006928F0" w:rsidRDefault="00000000">
      <w:pPr>
        <w:pStyle w:val="Heading2"/>
        <w:spacing w:before="260" w:after="120"/>
      </w:pPr>
      <w:r>
        <w:rPr>
          <w:b/>
          <w:bCs/>
          <w:color w:val="2E7D32"/>
        </w:rPr>
        <w:t>2.1 Recommended Architectural Style</w:t>
      </w:r>
    </w:p>
    <w:p w14:paraId="4A778C5D" w14:textId="77777777" w:rsidR="006928F0" w:rsidRDefault="00000000">
      <w:pPr>
        <w:spacing w:after="160" w:line="276" w:lineRule="auto"/>
        <w:jc w:val="both"/>
      </w:pPr>
      <w:r>
        <w:t>A Hybrid Architecture combining Event-Driven Architecture (EDA) with Microservices, supported by an Edge Computing layer, is recommended for this system. IoT sensors, cameras, and robotic controllers at the facility generate continuous streams of events (image captured, item classified, item sorted). These events are best handled asynchronously through a message broker (e.g., MQTT for device-to-cloud telemetry, Kafka for internal event streaming), while the core business capabilities — classification, sorting control, analytics, and reporting — are implemented as independently deployable microservices.</w:t>
      </w:r>
    </w:p>
    <w:p w14:paraId="675099C9" w14:textId="77777777" w:rsidR="006928F0" w:rsidRDefault="00000000">
      <w:pPr>
        <w:pStyle w:val="Heading2"/>
        <w:spacing w:before="260" w:after="120"/>
      </w:pPr>
      <w:r>
        <w:rPr>
          <w:b/>
          <w:bCs/>
          <w:color w:val="2E7D32"/>
        </w:rPr>
        <w:t>2.2 Comparison of Candidate Architectural Styles</w:t>
      </w:r>
    </w:p>
    <w:tbl>
      <w:tblPr>
        <w:tblW w:w="5000" w:type="pct"/>
        <w:tblBorders>
          <w:top w:val="single" w:sz="4" w:space="0" w:color="B0BEC5"/>
          <w:left w:val="single" w:sz="4" w:space="0" w:color="B0BEC5"/>
          <w:bottom w:val="single" w:sz="4" w:space="0" w:color="B0BEC5"/>
          <w:right w:val="single" w:sz="4" w:space="0" w:color="B0BEC5"/>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4868"/>
        <w:gridCol w:w="4868"/>
      </w:tblGrid>
      <w:tr w:rsidR="006928F0" w14:paraId="55EBF7B0" w14:textId="77777777">
        <w:tblPrEx>
          <w:tblCellMar>
            <w:top w:w="0" w:type="dxa"/>
            <w:bottom w:w="0" w:type="dxa"/>
          </w:tblCellMar>
        </w:tblPrEx>
        <w:trPr>
          <w:tblHeader/>
        </w:trPr>
        <w:tc>
          <w:tcPr>
            <w:tcW w:w="2500" w:type="pct"/>
            <w:shd w:val="clear" w:color="auto" w:fill="1F3864"/>
            <w:tcMar>
              <w:top w:w="80" w:type="dxa"/>
              <w:left w:w="100" w:type="dxa"/>
              <w:bottom w:w="80" w:type="dxa"/>
              <w:right w:w="100" w:type="dxa"/>
            </w:tcMar>
            <w:vAlign w:val="center"/>
          </w:tcPr>
          <w:p w14:paraId="1A28913C" w14:textId="77777777" w:rsidR="006928F0" w:rsidRDefault="00000000">
            <w:r>
              <w:rPr>
                <w:b/>
                <w:bCs/>
                <w:color w:val="FFFFFF"/>
                <w:sz w:val="20"/>
                <w:szCs w:val="20"/>
              </w:rPr>
              <w:t>Architectural Style</w:t>
            </w:r>
          </w:p>
        </w:tc>
        <w:tc>
          <w:tcPr>
            <w:tcW w:w="2500" w:type="pct"/>
            <w:shd w:val="clear" w:color="auto" w:fill="1F3864"/>
            <w:tcMar>
              <w:top w:w="80" w:type="dxa"/>
              <w:left w:w="100" w:type="dxa"/>
              <w:bottom w:w="80" w:type="dxa"/>
              <w:right w:w="100" w:type="dxa"/>
            </w:tcMar>
            <w:vAlign w:val="center"/>
          </w:tcPr>
          <w:p w14:paraId="21585CC7" w14:textId="77777777" w:rsidR="006928F0" w:rsidRDefault="00000000">
            <w:r>
              <w:rPr>
                <w:b/>
                <w:bCs/>
                <w:color w:val="FFFFFF"/>
                <w:sz w:val="20"/>
                <w:szCs w:val="20"/>
              </w:rPr>
              <w:t>Suitability for this System</w:t>
            </w:r>
          </w:p>
        </w:tc>
      </w:tr>
      <w:tr w:rsidR="006928F0" w14:paraId="5E969C77" w14:textId="77777777">
        <w:tblPrEx>
          <w:tblCellMar>
            <w:top w:w="0" w:type="dxa"/>
            <w:bottom w:w="0" w:type="dxa"/>
          </w:tblCellMar>
        </w:tblPrEx>
        <w:tc>
          <w:tcPr>
            <w:tcW w:w="2500" w:type="pct"/>
            <w:tcMar>
              <w:top w:w="80" w:type="dxa"/>
              <w:left w:w="100" w:type="dxa"/>
              <w:bottom w:w="80" w:type="dxa"/>
              <w:right w:w="100" w:type="dxa"/>
            </w:tcMar>
            <w:vAlign w:val="center"/>
          </w:tcPr>
          <w:p w14:paraId="5889FA05" w14:textId="77777777" w:rsidR="006928F0" w:rsidRDefault="00000000">
            <w:r>
              <w:rPr>
                <w:b/>
                <w:bCs/>
                <w:sz w:val="19"/>
                <w:szCs w:val="19"/>
              </w:rPr>
              <w:t>Layered (Monolithic)</w:t>
            </w:r>
          </w:p>
        </w:tc>
        <w:tc>
          <w:tcPr>
            <w:tcW w:w="2500" w:type="pct"/>
            <w:tcMar>
              <w:top w:w="80" w:type="dxa"/>
              <w:left w:w="100" w:type="dxa"/>
              <w:bottom w:w="80" w:type="dxa"/>
              <w:right w:w="100" w:type="dxa"/>
            </w:tcMar>
            <w:vAlign w:val="center"/>
          </w:tcPr>
          <w:p w14:paraId="40497EEA" w14:textId="77777777" w:rsidR="006928F0" w:rsidRDefault="00000000">
            <w:r>
              <w:rPr>
                <w:sz w:val="19"/>
                <w:szCs w:val="19"/>
              </w:rPr>
              <w:t>Simple to build but a single AI/sorting bottleneck cannot scale independently; a fault in one layer risks the whole system. Not suitable for real-time multi-sensor facility operation.</w:t>
            </w:r>
          </w:p>
        </w:tc>
      </w:tr>
      <w:tr w:rsidR="006928F0" w14:paraId="570E00AF"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52FD69AE" w14:textId="77777777" w:rsidR="006928F0" w:rsidRDefault="00000000">
            <w:r>
              <w:rPr>
                <w:b/>
                <w:bCs/>
                <w:sz w:val="19"/>
                <w:szCs w:val="19"/>
              </w:rPr>
              <w:t>Client-Server</w:t>
            </w:r>
          </w:p>
        </w:tc>
        <w:tc>
          <w:tcPr>
            <w:tcW w:w="2500" w:type="pct"/>
            <w:shd w:val="clear" w:color="auto" w:fill="EAF1FB"/>
            <w:tcMar>
              <w:top w:w="80" w:type="dxa"/>
              <w:left w:w="100" w:type="dxa"/>
              <w:bottom w:w="80" w:type="dxa"/>
              <w:right w:w="100" w:type="dxa"/>
            </w:tcMar>
            <w:vAlign w:val="center"/>
          </w:tcPr>
          <w:p w14:paraId="5ECC19FE" w14:textId="77777777" w:rsidR="006928F0" w:rsidRDefault="00000000">
            <w:r>
              <w:rPr>
                <w:sz w:val="19"/>
                <w:szCs w:val="19"/>
              </w:rPr>
              <w:t>Adequate for the dashboard but does not naturally model continuous sensor/robot event streams or distributed facilities.</w:t>
            </w:r>
          </w:p>
        </w:tc>
      </w:tr>
      <w:tr w:rsidR="006928F0" w14:paraId="5EEB736C" w14:textId="77777777">
        <w:tblPrEx>
          <w:tblCellMar>
            <w:top w:w="0" w:type="dxa"/>
            <w:bottom w:w="0" w:type="dxa"/>
          </w:tblCellMar>
        </w:tblPrEx>
        <w:tc>
          <w:tcPr>
            <w:tcW w:w="2500" w:type="pct"/>
            <w:tcMar>
              <w:top w:w="80" w:type="dxa"/>
              <w:left w:w="100" w:type="dxa"/>
              <w:bottom w:w="80" w:type="dxa"/>
              <w:right w:w="100" w:type="dxa"/>
            </w:tcMar>
            <w:vAlign w:val="center"/>
          </w:tcPr>
          <w:p w14:paraId="4F3D2A7E" w14:textId="77777777" w:rsidR="006928F0" w:rsidRDefault="00000000">
            <w:r>
              <w:rPr>
                <w:b/>
                <w:bCs/>
                <w:sz w:val="19"/>
                <w:szCs w:val="19"/>
              </w:rPr>
              <w:t>Pure Microservices (no eventing)</w:t>
            </w:r>
          </w:p>
        </w:tc>
        <w:tc>
          <w:tcPr>
            <w:tcW w:w="2500" w:type="pct"/>
            <w:tcMar>
              <w:top w:w="80" w:type="dxa"/>
              <w:left w:w="100" w:type="dxa"/>
              <w:bottom w:w="80" w:type="dxa"/>
              <w:right w:w="100" w:type="dxa"/>
            </w:tcMar>
            <w:vAlign w:val="center"/>
          </w:tcPr>
          <w:p w14:paraId="7893F358" w14:textId="77777777" w:rsidR="006928F0" w:rsidRDefault="00000000">
            <w:r>
              <w:rPr>
                <w:sz w:val="19"/>
                <w:szCs w:val="19"/>
              </w:rPr>
              <w:t>Improves modularity but synchronous REST calls between sensor pipeline and services introduce latency unsuited to real-time sorting decisions.</w:t>
            </w:r>
          </w:p>
        </w:tc>
      </w:tr>
      <w:tr w:rsidR="006928F0" w14:paraId="3883AF36"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09B7EB33" w14:textId="77777777" w:rsidR="006928F0" w:rsidRDefault="00000000">
            <w:r>
              <w:rPr>
                <w:b/>
                <w:bCs/>
                <w:sz w:val="19"/>
                <w:szCs w:val="19"/>
              </w:rPr>
              <w:t>Event-Driven + Microservices + Edge (Selected)</w:t>
            </w:r>
          </w:p>
        </w:tc>
        <w:tc>
          <w:tcPr>
            <w:tcW w:w="2500" w:type="pct"/>
            <w:shd w:val="clear" w:color="auto" w:fill="EAF1FB"/>
            <w:tcMar>
              <w:top w:w="80" w:type="dxa"/>
              <w:left w:w="100" w:type="dxa"/>
              <w:bottom w:w="80" w:type="dxa"/>
              <w:right w:w="100" w:type="dxa"/>
            </w:tcMar>
            <w:vAlign w:val="center"/>
          </w:tcPr>
          <w:p w14:paraId="6FC6CBC1" w14:textId="77777777" w:rsidR="006928F0" w:rsidRDefault="00000000">
            <w:r>
              <w:rPr>
                <w:sz w:val="19"/>
                <w:szCs w:val="19"/>
              </w:rPr>
              <w:t>Matches the real-time, high-throughput, distributed nature of the problem: edge inference reduces latency, the event bus decouples devices from services, and microservices allow independent scaling and upgrades.</w:t>
            </w:r>
          </w:p>
        </w:tc>
      </w:tr>
      <w:tr w:rsidR="006928F0" w14:paraId="6820909D" w14:textId="77777777">
        <w:tblPrEx>
          <w:tblCellMar>
            <w:top w:w="0" w:type="dxa"/>
            <w:bottom w:w="0" w:type="dxa"/>
          </w:tblCellMar>
        </w:tblPrEx>
        <w:tc>
          <w:tcPr>
            <w:tcW w:w="2500" w:type="pct"/>
            <w:tcMar>
              <w:top w:w="80" w:type="dxa"/>
              <w:left w:w="100" w:type="dxa"/>
              <w:bottom w:w="80" w:type="dxa"/>
              <w:right w:w="100" w:type="dxa"/>
            </w:tcMar>
            <w:vAlign w:val="center"/>
          </w:tcPr>
          <w:p w14:paraId="2EE58D73" w14:textId="77777777" w:rsidR="006928F0" w:rsidRDefault="00000000">
            <w:r>
              <w:rPr>
                <w:b/>
                <w:bCs/>
                <w:sz w:val="19"/>
                <w:szCs w:val="19"/>
              </w:rPr>
              <w:t>Serverless (pure)</w:t>
            </w:r>
          </w:p>
        </w:tc>
        <w:tc>
          <w:tcPr>
            <w:tcW w:w="2500" w:type="pct"/>
            <w:tcMar>
              <w:top w:w="80" w:type="dxa"/>
              <w:left w:w="100" w:type="dxa"/>
              <w:bottom w:w="80" w:type="dxa"/>
              <w:right w:w="100" w:type="dxa"/>
            </w:tcMar>
            <w:vAlign w:val="center"/>
          </w:tcPr>
          <w:p w14:paraId="37703EA8" w14:textId="77777777" w:rsidR="006928F0" w:rsidRDefault="00000000">
            <w:r>
              <w:rPr>
                <w:sz w:val="19"/>
                <w:szCs w:val="19"/>
              </w:rPr>
              <w:t>Useful for bursty reporting/analytics workloads but cold-start latency is unacceptable for the millisecond-level sort-decision path.</w:t>
            </w:r>
          </w:p>
        </w:tc>
      </w:tr>
    </w:tbl>
    <w:p w14:paraId="4458D238" w14:textId="77777777" w:rsidR="006928F0" w:rsidRDefault="00000000">
      <w:pPr>
        <w:pStyle w:val="Heading2"/>
        <w:spacing w:before="260" w:after="120"/>
      </w:pPr>
      <w:r>
        <w:rPr>
          <w:b/>
          <w:bCs/>
          <w:color w:val="2E7D32"/>
        </w:rPr>
        <w:t>2.3 Justification</w:t>
      </w:r>
    </w:p>
    <w:p w14:paraId="1E857980" w14:textId="77777777" w:rsidR="006928F0" w:rsidRDefault="00000000">
      <w:pPr>
        <w:pStyle w:val="ListParagraph"/>
        <w:numPr>
          <w:ilvl w:val="0"/>
          <w:numId w:val="1"/>
        </w:numPr>
        <w:spacing w:after="90"/>
      </w:pPr>
      <w:r>
        <w:t>Real-time responsiveness: Edge AI inference at the facility avoids round-trip latency to the cloud, meeting the sub-second sort-decision requirement (FR-2, FR-3).</w:t>
      </w:r>
    </w:p>
    <w:p w14:paraId="0192DE19" w14:textId="77777777" w:rsidR="006928F0" w:rsidRDefault="00000000">
      <w:pPr>
        <w:pStyle w:val="ListParagraph"/>
        <w:numPr>
          <w:ilvl w:val="0"/>
          <w:numId w:val="1"/>
        </w:numPr>
        <w:spacing w:after="90"/>
      </w:pPr>
      <w:r>
        <w:t>Loose coupling via events: The message broker decouples IoT devices, the AI module, and robotic controllers from downstream services, so a slow analytics service never blocks the physical sorting line.</w:t>
      </w:r>
    </w:p>
    <w:p w14:paraId="7A5F1A34" w14:textId="77777777" w:rsidR="006928F0" w:rsidRDefault="00000000">
      <w:pPr>
        <w:pStyle w:val="ListParagraph"/>
        <w:numPr>
          <w:ilvl w:val="0"/>
          <w:numId w:val="1"/>
        </w:numPr>
        <w:spacing w:after="90"/>
      </w:pPr>
      <w:r>
        <w:t>Independent scalability: Each microservice (classification, sorting control, analytics, reporting) can be scaled horizontally based on its own load — e.g. analytics can scale during month-end reporting without touching the sorting pipeline.</w:t>
      </w:r>
    </w:p>
    <w:p w14:paraId="2D7D34C7" w14:textId="77777777" w:rsidR="006928F0" w:rsidRDefault="00000000">
      <w:pPr>
        <w:pStyle w:val="ListParagraph"/>
        <w:numPr>
          <w:ilvl w:val="0"/>
          <w:numId w:val="1"/>
        </w:numPr>
        <w:spacing w:after="90"/>
      </w:pPr>
      <w:r>
        <w:t>Independent maintainability: The AI classification model can be retrained and redeployed as its own service without redeploying the robotic control logic.</w:t>
      </w:r>
    </w:p>
    <w:p w14:paraId="375E8D49" w14:textId="77777777" w:rsidR="006928F0" w:rsidRDefault="00000000">
      <w:pPr>
        <w:pStyle w:val="ListParagraph"/>
        <w:numPr>
          <w:ilvl w:val="0"/>
          <w:numId w:val="1"/>
        </w:numPr>
        <w:spacing w:after="90"/>
      </w:pPr>
      <w:r>
        <w:t xml:space="preserve">Multi-facility support: The same event-driven backbone can onboard </w:t>
      </w:r>
      <w:proofErr w:type="gramStart"/>
      <w:r>
        <w:t>additional</w:t>
      </w:r>
      <w:proofErr w:type="gramEnd"/>
      <w:r>
        <w:t xml:space="preserve"> processing facilities simply by connecting new edge gateways, directly supporting the scalability objective.</w:t>
      </w:r>
    </w:p>
    <w:p w14:paraId="415EFEF0" w14:textId="77777777" w:rsidR="006928F0" w:rsidRDefault="00000000">
      <w:r>
        <w:br w:type="page"/>
      </w:r>
    </w:p>
    <w:p w14:paraId="746719B9" w14:textId="77777777" w:rsidR="006928F0" w:rsidRDefault="00000000">
      <w:pPr>
        <w:pStyle w:val="Heading1"/>
        <w:spacing w:before="360" w:after="160"/>
      </w:pPr>
      <w:r>
        <w:rPr>
          <w:b/>
          <w:bCs/>
          <w:color w:val="1F3864"/>
        </w:rPr>
        <w:lastRenderedPageBreak/>
        <w:t>3. Software Architecture Diagram</w:t>
      </w:r>
    </w:p>
    <w:p w14:paraId="3252B48F" w14:textId="77777777" w:rsidR="006928F0" w:rsidRDefault="00000000">
      <w:pPr>
        <w:spacing w:after="160" w:line="276" w:lineRule="auto"/>
        <w:jc w:val="both"/>
      </w:pPr>
      <w:r>
        <w:t>The diagram below illustrates the five logical layers of the proposed system: the physical/edge layer at the facility, the communication layer that carries events, the microservices application layer, the data layer, and the presentation/cloud layer used by municipal staff.</w:t>
      </w:r>
    </w:p>
    <w:p w14:paraId="0BE55290" w14:textId="77777777" w:rsidR="00B31DB9" w:rsidRPr="00B31DB9" w:rsidRDefault="00B31DB9" w:rsidP="00B31DB9">
      <w:pPr>
        <w:spacing w:after="160" w:line="276" w:lineRule="auto"/>
        <w:jc w:val="both"/>
      </w:pPr>
      <w:r w:rsidRPr="00B31DB9">
        <w:t xml:space="preserve">The proposed system uses a </w:t>
      </w:r>
      <w:r w:rsidRPr="00B31DB9">
        <w:rPr>
          <w:b/>
          <w:bCs/>
        </w:rPr>
        <w:t>five-layer architecture</w:t>
      </w:r>
      <w:r w:rsidRPr="00B31DB9">
        <w:t xml:space="preserve"> to perform AI-based waste segregation efficiently.</w:t>
      </w:r>
    </w:p>
    <w:p w14:paraId="779D2112" w14:textId="77777777" w:rsidR="00B31DB9" w:rsidRPr="00B31DB9" w:rsidRDefault="00B31DB9" w:rsidP="00B31DB9">
      <w:pPr>
        <w:numPr>
          <w:ilvl w:val="0"/>
          <w:numId w:val="3"/>
        </w:numPr>
        <w:spacing w:after="160" w:line="276" w:lineRule="auto"/>
        <w:jc w:val="both"/>
      </w:pPr>
      <w:r w:rsidRPr="00B31DB9">
        <w:rPr>
          <w:b/>
          <w:bCs/>
        </w:rPr>
        <w:t>Physical &amp; Edge Layer:</w:t>
      </w:r>
      <w:r w:rsidRPr="00B31DB9">
        <w:t xml:space="preserve"> Uses IoT sensors, cameras, Edge AI, and robotic arms to detect and sort waste. </w:t>
      </w:r>
    </w:p>
    <w:p w14:paraId="620AA9AC" w14:textId="77777777" w:rsidR="00B31DB9" w:rsidRPr="00B31DB9" w:rsidRDefault="00B31DB9" w:rsidP="00B31DB9">
      <w:pPr>
        <w:numPr>
          <w:ilvl w:val="0"/>
          <w:numId w:val="3"/>
        </w:numPr>
        <w:spacing w:after="160" w:line="276" w:lineRule="auto"/>
        <w:jc w:val="both"/>
      </w:pPr>
      <w:r w:rsidRPr="00B31DB9">
        <w:rPr>
          <w:b/>
          <w:bCs/>
        </w:rPr>
        <w:t>Communication Layer:</w:t>
      </w:r>
      <w:r w:rsidRPr="00B31DB9">
        <w:t xml:space="preserve"> IoT Gateway and MQTT/Kafka transfer data between devices and services. </w:t>
      </w:r>
    </w:p>
    <w:p w14:paraId="4E1C0852" w14:textId="77777777" w:rsidR="00B31DB9" w:rsidRPr="00B31DB9" w:rsidRDefault="00B31DB9" w:rsidP="00B31DB9">
      <w:pPr>
        <w:numPr>
          <w:ilvl w:val="0"/>
          <w:numId w:val="3"/>
        </w:numPr>
        <w:spacing w:after="160" w:line="276" w:lineRule="auto"/>
        <w:jc w:val="both"/>
      </w:pPr>
      <w:r w:rsidRPr="00B31DB9">
        <w:rPr>
          <w:b/>
          <w:bCs/>
        </w:rPr>
        <w:t>Application Layer:</w:t>
      </w:r>
      <w:r w:rsidRPr="00B31DB9">
        <w:t xml:space="preserve"> Microservices handle waste classification, robotic control, analytics, reporting, and API communication. </w:t>
      </w:r>
    </w:p>
    <w:p w14:paraId="24780DA7" w14:textId="77777777" w:rsidR="00B31DB9" w:rsidRPr="00B31DB9" w:rsidRDefault="00B31DB9" w:rsidP="00B31DB9">
      <w:pPr>
        <w:numPr>
          <w:ilvl w:val="0"/>
          <w:numId w:val="3"/>
        </w:numPr>
        <w:spacing w:after="160" w:line="276" w:lineRule="auto"/>
        <w:jc w:val="both"/>
      </w:pPr>
      <w:r w:rsidRPr="00B31DB9">
        <w:rPr>
          <w:b/>
          <w:bCs/>
        </w:rPr>
        <w:t>Data Layer:</w:t>
      </w:r>
      <w:r w:rsidRPr="00B31DB9">
        <w:t xml:space="preserve"> Stores operational data, waste images, AI models, analytics, and real-time system information. </w:t>
      </w:r>
    </w:p>
    <w:p w14:paraId="2CB08DAB" w14:textId="77777777" w:rsidR="00B31DB9" w:rsidRPr="00B31DB9" w:rsidRDefault="00B31DB9" w:rsidP="00B31DB9">
      <w:pPr>
        <w:numPr>
          <w:ilvl w:val="0"/>
          <w:numId w:val="3"/>
        </w:numPr>
        <w:spacing w:after="160" w:line="276" w:lineRule="auto"/>
        <w:jc w:val="both"/>
      </w:pPr>
      <w:r w:rsidRPr="00B31DB9">
        <w:rPr>
          <w:b/>
          <w:bCs/>
        </w:rPr>
        <w:t>Presentation &amp; Cloud Layer:</w:t>
      </w:r>
      <w:r w:rsidRPr="00B31DB9">
        <w:t xml:space="preserve"> Provides a web dashboard, mobile app, and cloud infrastructure for monitoring and management.</w:t>
      </w:r>
    </w:p>
    <w:p w14:paraId="1DF7181C" w14:textId="77777777" w:rsidR="00B31DB9" w:rsidRDefault="00B31DB9" w:rsidP="00B31DB9"/>
    <w:p w14:paraId="29E5B096" w14:textId="77777777" w:rsidR="006928F0" w:rsidRDefault="00000000">
      <w:pPr>
        <w:spacing w:before="200"/>
        <w:jc w:val="center"/>
      </w:pPr>
      <w:r>
        <w:rPr>
          <w:noProof/>
        </w:rPr>
        <w:drawing>
          <wp:inline distT="0" distB="0" distL="0" distR="0" wp14:anchorId="002D9746" wp14:editId="59F0FD4D">
            <wp:extent cx="6375293" cy="4973782"/>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91919" cy="4986753"/>
                    </a:xfrm>
                    <a:prstGeom prst="rect">
                      <a:avLst/>
                    </a:prstGeom>
                  </pic:spPr>
                </pic:pic>
              </a:graphicData>
            </a:graphic>
          </wp:inline>
        </w:drawing>
      </w:r>
    </w:p>
    <w:p w14:paraId="6BB42DC7" w14:textId="77777777" w:rsidR="006928F0" w:rsidRDefault="00000000">
      <w:pPr>
        <w:spacing w:before="100" w:after="300"/>
        <w:jc w:val="center"/>
      </w:pPr>
      <w:r>
        <w:rPr>
          <w:i/>
          <w:iCs/>
          <w:color w:val="555555"/>
          <w:sz w:val="20"/>
          <w:szCs w:val="20"/>
        </w:rPr>
        <w:t>Fig. 1 — Layered / Event-Driven Microservices Architecture for the Smart Waste Segregation System</w:t>
      </w:r>
    </w:p>
    <w:p w14:paraId="7A4D0979" w14:textId="77777777" w:rsidR="006928F0" w:rsidRDefault="00000000">
      <w:r>
        <w:br w:type="page"/>
      </w:r>
    </w:p>
    <w:p w14:paraId="78717398" w14:textId="77777777" w:rsidR="006928F0" w:rsidRDefault="00000000">
      <w:pPr>
        <w:pStyle w:val="Heading1"/>
        <w:spacing w:before="360" w:after="160"/>
      </w:pPr>
      <w:r>
        <w:rPr>
          <w:b/>
          <w:bCs/>
          <w:color w:val="1F3864"/>
        </w:rPr>
        <w:lastRenderedPageBreak/>
        <w:t>4. Components, Responsibilities, and Interactions</w:t>
      </w:r>
    </w:p>
    <w:p w14:paraId="336C8C2D" w14:textId="77777777" w:rsidR="006928F0" w:rsidRDefault="00000000">
      <w:pPr>
        <w:pStyle w:val="Heading2"/>
        <w:spacing w:before="260" w:after="120"/>
      </w:pPr>
      <w:r>
        <w:rPr>
          <w:b/>
          <w:bCs/>
          <w:color w:val="2E7D32"/>
        </w:rPr>
        <w:t>4.1 Component Responsibilities</w:t>
      </w:r>
    </w:p>
    <w:tbl>
      <w:tblPr>
        <w:tblW w:w="5000" w:type="pct"/>
        <w:tblBorders>
          <w:top w:val="single" w:sz="4" w:space="0" w:color="B0BEC5"/>
          <w:left w:val="single" w:sz="4" w:space="0" w:color="B0BEC5"/>
          <w:bottom w:val="single" w:sz="4" w:space="0" w:color="B0BEC5"/>
          <w:right w:val="single" w:sz="4" w:space="0" w:color="B0BEC5"/>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4868"/>
        <w:gridCol w:w="4868"/>
      </w:tblGrid>
      <w:tr w:rsidR="006928F0" w14:paraId="24E96785" w14:textId="77777777">
        <w:tblPrEx>
          <w:tblCellMar>
            <w:top w:w="0" w:type="dxa"/>
            <w:bottom w:w="0" w:type="dxa"/>
          </w:tblCellMar>
        </w:tblPrEx>
        <w:trPr>
          <w:tblHeader/>
        </w:trPr>
        <w:tc>
          <w:tcPr>
            <w:tcW w:w="2500" w:type="pct"/>
            <w:shd w:val="clear" w:color="auto" w:fill="1F3864"/>
            <w:tcMar>
              <w:top w:w="80" w:type="dxa"/>
              <w:left w:w="100" w:type="dxa"/>
              <w:bottom w:w="80" w:type="dxa"/>
              <w:right w:w="100" w:type="dxa"/>
            </w:tcMar>
            <w:vAlign w:val="center"/>
          </w:tcPr>
          <w:p w14:paraId="664A5ADC" w14:textId="77777777" w:rsidR="006928F0" w:rsidRDefault="00000000">
            <w:r>
              <w:rPr>
                <w:b/>
                <w:bCs/>
                <w:color w:val="FFFFFF"/>
                <w:sz w:val="20"/>
                <w:szCs w:val="20"/>
              </w:rPr>
              <w:t>Component</w:t>
            </w:r>
          </w:p>
        </w:tc>
        <w:tc>
          <w:tcPr>
            <w:tcW w:w="2500" w:type="pct"/>
            <w:shd w:val="clear" w:color="auto" w:fill="1F3864"/>
            <w:tcMar>
              <w:top w:w="80" w:type="dxa"/>
              <w:left w:w="100" w:type="dxa"/>
              <w:bottom w:w="80" w:type="dxa"/>
              <w:right w:w="100" w:type="dxa"/>
            </w:tcMar>
            <w:vAlign w:val="center"/>
          </w:tcPr>
          <w:p w14:paraId="4D8C92D2" w14:textId="77777777" w:rsidR="006928F0" w:rsidRDefault="00000000">
            <w:r>
              <w:rPr>
                <w:b/>
                <w:bCs/>
                <w:color w:val="FFFFFF"/>
                <w:sz w:val="20"/>
                <w:szCs w:val="20"/>
              </w:rPr>
              <w:t>Responsibility</w:t>
            </w:r>
          </w:p>
        </w:tc>
      </w:tr>
      <w:tr w:rsidR="006928F0" w14:paraId="4F386F11" w14:textId="77777777">
        <w:tblPrEx>
          <w:tblCellMar>
            <w:top w:w="0" w:type="dxa"/>
            <w:bottom w:w="0" w:type="dxa"/>
          </w:tblCellMar>
        </w:tblPrEx>
        <w:tc>
          <w:tcPr>
            <w:tcW w:w="2500" w:type="pct"/>
            <w:tcMar>
              <w:top w:w="80" w:type="dxa"/>
              <w:left w:w="100" w:type="dxa"/>
              <w:bottom w:w="80" w:type="dxa"/>
              <w:right w:w="100" w:type="dxa"/>
            </w:tcMar>
            <w:vAlign w:val="center"/>
          </w:tcPr>
          <w:p w14:paraId="29351C01" w14:textId="77777777" w:rsidR="006928F0" w:rsidRDefault="00000000">
            <w:r>
              <w:rPr>
                <w:b/>
                <w:bCs/>
                <w:sz w:val="19"/>
                <w:szCs w:val="19"/>
              </w:rPr>
              <w:t>IoT Sensors &amp; Cameras</w:t>
            </w:r>
          </w:p>
        </w:tc>
        <w:tc>
          <w:tcPr>
            <w:tcW w:w="2500" w:type="pct"/>
            <w:tcMar>
              <w:top w:w="80" w:type="dxa"/>
              <w:left w:w="100" w:type="dxa"/>
              <w:bottom w:w="80" w:type="dxa"/>
              <w:right w:w="100" w:type="dxa"/>
            </w:tcMar>
            <w:vAlign w:val="center"/>
          </w:tcPr>
          <w:p w14:paraId="75801F29" w14:textId="77777777" w:rsidR="006928F0" w:rsidRDefault="00000000">
            <w:r>
              <w:rPr>
                <w:sz w:val="19"/>
                <w:szCs w:val="19"/>
              </w:rPr>
              <w:t>Capture weight, proximity and high-resolution image/depth data for each waste item on the conveyor.</w:t>
            </w:r>
          </w:p>
        </w:tc>
      </w:tr>
      <w:tr w:rsidR="006928F0" w14:paraId="1EEEEEF3"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4309ACBA" w14:textId="77777777" w:rsidR="006928F0" w:rsidRDefault="00000000">
            <w:r>
              <w:rPr>
                <w:b/>
                <w:bCs/>
                <w:sz w:val="19"/>
                <w:szCs w:val="19"/>
              </w:rPr>
              <w:t>Edge AI Inference Module</w:t>
            </w:r>
          </w:p>
        </w:tc>
        <w:tc>
          <w:tcPr>
            <w:tcW w:w="2500" w:type="pct"/>
            <w:shd w:val="clear" w:color="auto" w:fill="EAF1FB"/>
            <w:tcMar>
              <w:top w:w="80" w:type="dxa"/>
              <w:left w:w="100" w:type="dxa"/>
              <w:bottom w:w="80" w:type="dxa"/>
              <w:right w:w="100" w:type="dxa"/>
            </w:tcMar>
            <w:vAlign w:val="center"/>
          </w:tcPr>
          <w:p w14:paraId="65343555" w14:textId="77777777" w:rsidR="006928F0" w:rsidRDefault="00000000">
            <w:r>
              <w:rPr>
                <w:sz w:val="19"/>
                <w:szCs w:val="19"/>
              </w:rPr>
              <w:t>Runs a CNN-based classifier locally at the facility to categorize waste with minimal latency.</w:t>
            </w:r>
          </w:p>
        </w:tc>
      </w:tr>
      <w:tr w:rsidR="006928F0" w14:paraId="7470510C" w14:textId="77777777">
        <w:tblPrEx>
          <w:tblCellMar>
            <w:top w:w="0" w:type="dxa"/>
            <w:bottom w:w="0" w:type="dxa"/>
          </w:tblCellMar>
        </w:tblPrEx>
        <w:tc>
          <w:tcPr>
            <w:tcW w:w="2500" w:type="pct"/>
            <w:tcMar>
              <w:top w:w="80" w:type="dxa"/>
              <w:left w:w="100" w:type="dxa"/>
              <w:bottom w:w="80" w:type="dxa"/>
              <w:right w:w="100" w:type="dxa"/>
            </w:tcMar>
            <w:vAlign w:val="center"/>
          </w:tcPr>
          <w:p w14:paraId="4F51976D" w14:textId="77777777" w:rsidR="006928F0" w:rsidRDefault="00000000">
            <w:r>
              <w:rPr>
                <w:b/>
                <w:bCs/>
                <w:sz w:val="19"/>
                <w:szCs w:val="19"/>
              </w:rPr>
              <w:t>Robotic Sorting Arms / Actuators</w:t>
            </w:r>
          </w:p>
        </w:tc>
        <w:tc>
          <w:tcPr>
            <w:tcW w:w="2500" w:type="pct"/>
            <w:tcMar>
              <w:top w:w="80" w:type="dxa"/>
              <w:left w:w="100" w:type="dxa"/>
              <w:bottom w:w="80" w:type="dxa"/>
              <w:right w:w="100" w:type="dxa"/>
            </w:tcMar>
            <w:vAlign w:val="center"/>
          </w:tcPr>
          <w:p w14:paraId="082AFE74" w14:textId="77777777" w:rsidR="006928F0" w:rsidRDefault="00000000">
            <w:r>
              <w:rPr>
                <w:sz w:val="19"/>
                <w:szCs w:val="19"/>
              </w:rPr>
              <w:t>Physically divert each classified item into the correct bin based on control commands.</w:t>
            </w:r>
          </w:p>
        </w:tc>
      </w:tr>
      <w:tr w:rsidR="006928F0" w14:paraId="7E2728F7"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13E2404F" w14:textId="77777777" w:rsidR="006928F0" w:rsidRDefault="00000000">
            <w:r>
              <w:rPr>
                <w:b/>
                <w:bCs/>
                <w:sz w:val="19"/>
                <w:szCs w:val="19"/>
              </w:rPr>
              <w:t>IoT Gateway / Message Broker</w:t>
            </w:r>
          </w:p>
        </w:tc>
        <w:tc>
          <w:tcPr>
            <w:tcW w:w="2500" w:type="pct"/>
            <w:shd w:val="clear" w:color="auto" w:fill="EAF1FB"/>
            <w:tcMar>
              <w:top w:w="80" w:type="dxa"/>
              <w:left w:w="100" w:type="dxa"/>
              <w:bottom w:w="80" w:type="dxa"/>
              <w:right w:w="100" w:type="dxa"/>
            </w:tcMar>
            <w:vAlign w:val="center"/>
          </w:tcPr>
          <w:p w14:paraId="69C9CF6B" w14:textId="77777777" w:rsidR="006928F0" w:rsidRDefault="00000000">
            <w:r>
              <w:rPr>
                <w:sz w:val="19"/>
                <w:szCs w:val="19"/>
              </w:rPr>
              <w:t>Aggregates device telemetry and publishes/subscribes classification and sort events (MQTT/Kafka) between edge devices and cloud services.</w:t>
            </w:r>
          </w:p>
        </w:tc>
      </w:tr>
      <w:tr w:rsidR="006928F0" w14:paraId="12883C24" w14:textId="77777777">
        <w:tblPrEx>
          <w:tblCellMar>
            <w:top w:w="0" w:type="dxa"/>
            <w:bottom w:w="0" w:type="dxa"/>
          </w:tblCellMar>
        </w:tblPrEx>
        <w:tc>
          <w:tcPr>
            <w:tcW w:w="2500" w:type="pct"/>
            <w:tcMar>
              <w:top w:w="80" w:type="dxa"/>
              <w:left w:w="100" w:type="dxa"/>
              <w:bottom w:w="80" w:type="dxa"/>
              <w:right w:w="100" w:type="dxa"/>
            </w:tcMar>
            <w:vAlign w:val="center"/>
          </w:tcPr>
          <w:p w14:paraId="3F5B778D" w14:textId="77777777" w:rsidR="006928F0" w:rsidRDefault="00000000">
            <w:r>
              <w:rPr>
                <w:b/>
                <w:bCs/>
                <w:sz w:val="19"/>
                <w:szCs w:val="19"/>
              </w:rPr>
              <w:t>Waste Classification Service</w:t>
            </w:r>
          </w:p>
        </w:tc>
        <w:tc>
          <w:tcPr>
            <w:tcW w:w="2500" w:type="pct"/>
            <w:tcMar>
              <w:top w:w="80" w:type="dxa"/>
              <w:left w:w="100" w:type="dxa"/>
              <w:bottom w:w="80" w:type="dxa"/>
              <w:right w:w="100" w:type="dxa"/>
            </w:tcMar>
            <w:vAlign w:val="center"/>
          </w:tcPr>
          <w:p w14:paraId="330644C0" w14:textId="77777777" w:rsidR="006928F0" w:rsidRDefault="00000000">
            <w:r>
              <w:rPr>
                <w:sz w:val="19"/>
                <w:szCs w:val="19"/>
              </w:rPr>
              <w:t>Cloud-side service that validates/logs classification results and manages the AI model lifecycle.</w:t>
            </w:r>
          </w:p>
        </w:tc>
      </w:tr>
      <w:tr w:rsidR="006928F0" w14:paraId="254BC616"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0F77E202" w14:textId="77777777" w:rsidR="006928F0" w:rsidRDefault="00000000">
            <w:r>
              <w:rPr>
                <w:b/>
                <w:bCs/>
                <w:sz w:val="19"/>
                <w:szCs w:val="19"/>
              </w:rPr>
              <w:t>Sorting &amp; Robotics Control Service</w:t>
            </w:r>
          </w:p>
        </w:tc>
        <w:tc>
          <w:tcPr>
            <w:tcW w:w="2500" w:type="pct"/>
            <w:shd w:val="clear" w:color="auto" w:fill="EAF1FB"/>
            <w:tcMar>
              <w:top w:w="80" w:type="dxa"/>
              <w:left w:w="100" w:type="dxa"/>
              <w:bottom w:w="80" w:type="dxa"/>
              <w:right w:w="100" w:type="dxa"/>
            </w:tcMar>
            <w:vAlign w:val="center"/>
          </w:tcPr>
          <w:p w14:paraId="052631A9" w14:textId="77777777" w:rsidR="006928F0" w:rsidRDefault="00000000">
            <w:r>
              <w:rPr>
                <w:sz w:val="19"/>
                <w:szCs w:val="19"/>
              </w:rPr>
              <w:t>Issues and tracks sort commands, monitors actuator health, and manages the manual-review queue.</w:t>
            </w:r>
          </w:p>
        </w:tc>
      </w:tr>
      <w:tr w:rsidR="006928F0" w14:paraId="0421F1A7" w14:textId="77777777">
        <w:tblPrEx>
          <w:tblCellMar>
            <w:top w:w="0" w:type="dxa"/>
            <w:bottom w:w="0" w:type="dxa"/>
          </w:tblCellMar>
        </w:tblPrEx>
        <w:tc>
          <w:tcPr>
            <w:tcW w:w="2500" w:type="pct"/>
            <w:tcMar>
              <w:top w:w="80" w:type="dxa"/>
              <w:left w:w="100" w:type="dxa"/>
              <w:bottom w:w="80" w:type="dxa"/>
              <w:right w:w="100" w:type="dxa"/>
            </w:tcMar>
            <w:vAlign w:val="center"/>
          </w:tcPr>
          <w:p w14:paraId="66FAFB7A" w14:textId="77777777" w:rsidR="006928F0" w:rsidRDefault="00000000">
            <w:r>
              <w:rPr>
                <w:b/>
                <w:bCs/>
                <w:sz w:val="19"/>
                <w:szCs w:val="19"/>
              </w:rPr>
              <w:t>Recycling Analytics Service</w:t>
            </w:r>
          </w:p>
        </w:tc>
        <w:tc>
          <w:tcPr>
            <w:tcW w:w="2500" w:type="pct"/>
            <w:tcMar>
              <w:top w:w="80" w:type="dxa"/>
              <w:left w:w="100" w:type="dxa"/>
              <w:bottom w:w="80" w:type="dxa"/>
              <w:right w:w="100" w:type="dxa"/>
            </w:tcMar>
            <w:vAlign w:val="center"/>
          </w:tcPr>
          <w:p w14:paraId="458E6E15" w14:textId="77777777" w:rsidR="006928F0" w:rsidRDefault="00000000">
            <w:r>
              <w:rPr>
                <w:sz w:val="19"/>
                <w:szCs w:val="19"/>
              </w:rPr>
              <w:t>Aggregates processed-item data to compute recycling rate, contamination rate and throughput.</w:t>
            </w:r>
          </w:p>
        </w:tc>
      </w:tr>
      <w:tr w:rsidR="006928F0" w14:paraId="3C50CC9A"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254034DD" w14:textId="77777777" w:rsidR="006928F0" w:rsidRDefault="00000000">
            <w:r>
              <w:rPr>
                <w:b/>
                <w:bCs/>
                <w:sz w:val="19"/>
                <w:szCs w:val="19"/>
              </w:rPr>
              <w:t>Reporting &amp; Alert Service</w:t>
            </w:r>
          </w:p>
        </w:tc>
        <w:tc>
          <w:tcPr>
            <w:tcW w:w="2500" w:type="pct"/>
            <w:shd w:val="clear" w:color="auto" w:fill="EAF1FB"/>
            <w:tcMar>
              <w:top w:w="80" w:type="dxa"/>
              <w:left w:w="100" w:type="dxa"/>
              <w:bottom w:w="80" w:type="dxa"/>
              <w:right w:w="100" w:type="dxa"/>
            </w:tcMar>
            <w:vAlign w:val="center"/>
          </w:tcPr>
          <w:p w14:paraId="2B38C7AC" w14:textId="77777777" w:rsidR="006928F0" w:rsidRDefault="00000000">
            <w:r>
              <w:rPr>
                <w:sz w:val="19"/>
                <w:szCs w:val="19"/>
              </w:rPr>
              <w:t>Generates scheduled/on-demand reports and pushes real-time alerts (e.g., bin full, device offline).</w:t>
            </w:r>
          </w:p>
        </w:tc>
      </w:tr>
      <w:tr w:rsidR="006928F0" w14:paraId="4CCB3917" w14:textId="77777777">
        <w:tblPrEx>
          <w:tblCellMar>
            <w:top w:w="0" w:type="dxa"/>
            <w:bottom w:w="0" w:type="dxa"/>
          </w:tblCellMar>
        </w:tblPrEx>
        <w:tc>
          <w:tcPr>
            <w:tcW w:w="2500" w:type="pct"/>
            <w:tcMar>
              <w:top w:w="80" w:type="dxa"/>
              <w:left w:w="100" w:type="dxa"/>
              <w:bottom w:w="80" w:type="dxa"/>
              <w:right w:w="100" w:type="dxa"/>
            </w:tcMar>
            <w:vAlign w:val="center"/>
          </w:tcPr>
          <w:p w14:paraId="02C615DA" w14:textId="77777777" w:rsidR="006928F0" w:rsidRDefault="00000000">
            <w:r>
              <w:rPr>
                <w:b/>
                <w:bCs/>
                <w:sz w:val="19"/>
                <w:szCs w:val="19"/>
              </w:rPr>
              <w:t>Data Layer (Operational DB, Object Storage, Data Warehouse, Cache)</w:t>
            </w:r>
          </w:p>
        </w:tc>
        <w:tc>
          <w:tcPr>
            <w:tcW w:w="2500" w:type="pct"/>
            <w:tcMar>
              <w:top w:w="80" w:type="dxa"/>
              <w:left w:w="100" w:type="dxa"/>
              <w:bottom w:w="80" w:type="dxa"/>
              <w:right w:w="100" w:type="dxa"/>
            </w:tcMar>
            <w:vAlign w:val="center"/>
          </w:tcPr>
          <w:p w14:paraId="044100E0" w14:textId="77777777" w:rsidR="006928F0" w:rsidRDefault="00000000">
            <w:r>
              <w:rPr>
                <w:sz w:val="19"/>
                <w:szCs w:val="19"/>
              </w:rPr>
              <w:t>Persists transactional records, waste images/model artifacts, historical analytics, and low-latency runtime state respectively.</w:t>
            </w:r>
          </w:p>
        </w:tc>
      </w:tr>
      <w:tr w:rsidR="006928F0" w14:paraId="4677CF45"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2B59FC2B" w14:textId="77777777" w:rsidR="006928F0" w:rsidRDefault="00000000">
            <w:r>
              <w:rPr>
                <w:b/>
                <w:bCs/>
                <w:sz w:val="19"/>
                <w:szCs w:val="19"/>
              </w:rPr>
              <w:t>Admin Dashboard &amp; Mobile App</w:t>
            </w:r>
          </w:p>
        </w:tc>
        <w:tc>
          <w:tcPr>
            <w:tcW w:w="2500" w:type="pct"/>
            <w:shd w:val="clear" w:color="auto" w:fill="EAF1FB"/>
            <w:tcMar>
              <w:top w:w="80" w:type="dxa"/>
              <w:left w:w="100" w:type="dxa"/>
              <w:bottom w:w="80" w:type="dxa"/>
              <w:right w:w="100" w:type="dxa"/>
            </w:tcMar>
            <w:vAlign w:val="center"/>
          </w:tcPr>
          <w:p w14:paraId="362BB97D" w14:textId="77777777" w:rsidR="006928F0" w:rsidRDefault="00000000">
            <w:r>
              <w:rPr>
                <w:sz w:val="19"/>
                <w:szCs w:val="19"/>
              </w:rPr>
              <w:t>Presentation layer for municipal staff and field operators to view reports, alerts, and facility status.</w:t>
            </w:r>
          </w:p>
        </w:tc>
      </w:tr>
    </w:tbl>
    <w:p w14:paraId="5FB38279" w14:textId="77777777" w:rsidR="00B31DB9" w:rsidRDefault="00B31DB9">
      <w:pPr>
        <w:pStyle w:val="Heading2"/>
        <w:spacing w:before="260" w:after="120"/>
        <w:rPr>
          <w:b/>
          <w:bCs/>
          <w:color w:val="2E7D32"/>
        </w:rPr>
      </w:pPr>
    </w:p>
    <w:p w14:paraId="38125F5A" w14:textId="77777777" w:rsidR="00B31DB9" w:rsidRDefault="00B31DB9">
      <w:pPr>
        <w:pStyle w:val="Heading2"/>
        <w:spacing w:before="260" w:after="120"/>
        <w:rPr>
          <w:b/>
          <w:bCs/>
          <w:color w:val="2E7D32"/>
        </w:rPr>
      </w:pPr>
    </w:p>
    <w:p w14:paraId="5103D11A" w14:textId="77777777" w:rsidR="00B31DB9" w:rsidRDefault="00B31DB9">
      <w:pPr>
        <w:pStyle w:val="Heading2"/>
        <w:spacing w:before="260" w:after="120"/>
        <w:rPr>
          <w:b/>
          <w:bCs/>
          <w:color w:val="2E7D32"/>
        </w:rPr>
      </w:pPr>
    </w:p>
    <w:p w14:paraId="478B8CEF" w14:textId="77777777" w:rsidR="00B31DB9" w:rsidRDefault="00B31DB9">
      <w:pPr>
        <w:pStyle w:val="Heading2"/>
        <w:spacing w:before="260" w:after="120"/>
        <w:rPr>
          <w:b/>
          <w:bCs/>
          <w:color w:val="2E7D32"/>
        </w:rPr>
      </w:pPr>
    </w:p>
    <w:p w14:paraId="5D55E9E9" w14:textId="77777777" w:rsidR="00B31DB9" w:rsidRDefault="00B31DB9">
      <w:pPr>
        <w:pStyle w:val="Heading2"/>
        <w:spacing w:before="260" w:after="120"/>
        <w:rPr>
          <w:b/>
          <w:bCs/>
          <w:color w:val="2E7D32"/>
        </w:rPr>
      </w:pPr>
    </w:p>
    <w:p w14:paraId="1F9A4541" w14:textId="77777777" w:rsidR="00B31DB9" w:rsidRDefault="00B31DB9">
      <w:pPr>
        <w:pStyle w:val="Heading2"/>
        <w:spacing w:before="260" w:after="120"/>
        <w:rPr>
          <w:b/>
          <w:bCs/>
          <w:color w:val="2E7D32"/>
        </w:rPr>
      </w:pPr>
    </w:p>
    <w:p w14:paraId="7A9AD528" w14:textId="77777777" w:rsidR="00B31DB9" w:rsidRDefault="00B31DB9">
      <w:pPr>
        <w:pStyle w:val="Heading2"/>
        <w:spacing w:before="260" w:after="120"/>
        <w:rPr>
          <w:b/>
          <w:bCs/>
          <w:color w:val="2E7D32"/>
        </w:rPr>
      </w:pPr>
    </w:p>
    <w:p w14:paraId="40DA7DF1" w14:textId="77777777" w:rsidR="00B31DB9" w:rsidRDefault="00B31DB9">
      <w:pPr>
        <w:pStyle w:val="Heading2"/>
        <w:spacing w:before="260" w:after="120"/>
        <w:rPr>
          <w:b/>
          <w:bCs/>
          <w:color w:val="2E7D32"/>
        </w:rPr>
      </w:pPr>
    </w:p>
    <w:p w14:paraId="3B0BE908" w14:textId="77777777" w:rsidR="00B31DB9" w:rsidRDefault="00B31DB9">
      <w:pPr>
        <w:pStyle w:val="Heading2"/>
        <w:spacing w:before="260" w:after="120"/>
        <w:rPr>
          <w:b/>
          <w:bCs/>
          <w:color w:val="2E7D32"/>
        </w:rPr>
      </w:pPr>
    </w:p>
    <w:p w14:paraId="0031C32E" w14:textId="77777777" w:rsidR="00B31DB9" w:rsidRDefault="00B31DB9">
      <w:pPr>
        <w:pStyle w:val="Heading2"/>
        <w:spacing w:before="260" w:after="120"/>
        <w:rPr>
          <w:b/>
          <w:bCs/>
          <w:color w:val="2E7D32"/>
        </w:rPr>
      </w:pPr>
    </w:p>
    <w:p w14:paraId="39C00224" w14:textId="77777777" w:rsidR="00B31DB9" w:rsidRDefault="00B31DB9">
      <w:pPr>
        <w:pStyle w:val="Heading2"/>
        <w:spacing w:before="260" w:after="120"/>
        <w:rPr>
          <w:b/>
          <w:bCs/>
          <w:color w:val="2E7D32"/>
        </w:rPr>
      </w:pPr>
    </w:p>
    <w:p w14:paraId="7D576241" w14:textId="10196839" w:rsidR="006928F0" w:rsidRDefault="00000000">
      <w:pPr>
        <w:pStyle w:val="Heading2"/>
        <w:spacing w:before="260" w:after="120"/>
      </w:pPr>
      <w:r>
        <w:rPr>
          <w:b/>
          <w:bCs/>
          <w:color w:val="2E7D32"/>
        </w:rPr>
        <w:lastRenderedPageBreak/>
        <w:t>4.2 Interaction and Workflow</w:t>
      </w:r>
    </w:p>
    <w:p w14:paraId="1C614FCD" w14:textId="77777777" w:rsidR="006928F0" w:rsidRDefault="00000000">
      <w:pPr>
        <w:spacing w:after="160" w:line="276" w:lineRule="auto"/>
        <w:jc w:val="both"/>
      </w:pPr>
      <w:r>
        <w:t>Components communicate primarily through asynchronous publish/subscribe messaging: edge devices publish sensor and classification events to the broker, and interested microservices subscribe to the relevant topics. Synchronous REST/</w:t>
      </w:r>
      <w:proofErr w:type="spellStart"/>
      <w:r>
        <w:t>gRPC</w:t>
      </w:r>
      <w:proofErr w:type="spellEnd"/>
      <w:r>
        <w:t xml:space="preserve"> calls via an API gateway are used only where an immediate response is required, such as the dashboard querying current facility status. This keeps the physical sorting path fast and decoupled from slower analytical and reporting workloads. The end-to-end workflow for a single waste item is shown below.</w:t>
      </w:r>
    </w:p>
    <w:p w14:paraId="3987F3E7" w14:textId="77777777" w:rsidR="00B31DB9" w:rsidRDefault="00B31DB9">
      <w:pPr>
        <w:spacing w:after="160" w:line="276" w:lineRule="auto"/>
        <w:jc w:val="both"/>
      </w:pPr>
    </w:p>
    <w:p w14:paraId="5C03837F" w14:textId="77777777" w:rsidR="00B31DB9" w:rsidRDefault="00B31DB9">
      <w:pPr>
        <w:spacing w:after="160" w:line="276" w:lineRule="auto"/>
        <w:jc w:val="both"/>
      </w:pPr>
    </w:p>
    <w:p w14:paraId="5C3F2C6F" w14:textId="77777777" w:rsidR="006928F0" w:rsidRDefault="00000000">
      <w:pPr>
        <w:spacing w:before="200"/>
        <w:jc w:val="center"/>
      </w:pPr>
      <w:r>
        <w:rPr>
          <w:noProof/>
        </w:rPr>
        <w:drawing>
          <wp:inline distT="0" distB="0" distL="0" distR="0" wp14:anchorId="57000C1A" wp14:editId="37DD3210">
            <wp:extent cx="3381375" cy="5200650"/>
            <wp:effectExtent l="0" t="0" r="0" b="0"/>
            <wp:docPr id="386181122" name="Picture 38618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81375" cy="5200650"/>
                    </a:xfrm>
                    <a:prstGeom prst="rect">
                      <a:avLst/>
                    </a:prstGeom>
                  </pic:spPr>
                </pic:pic>
              </a:graphicData>
            </a:graphic>
          </wp:inline>
        </w:drawing>
      </w:r>
    </w:p>
    <w:p w14:paraId="7E988AAB" w14:textId="77777777" w:rsidR="006928F0" w:rsidRDefault="00000000">
      <w:pPr>
        <w:spacing w:before="100" w:after="300"/>
        <w:jc w:val="center"/>
      </w:pPr>
      <w:r>
        <w:rPr>
          <w:i/>
          <w:iCs/>
          <w:color w:val="555555"/>
          <w:sz w:val="20"/>
          <w:szCs w:val="20"/>
        </w:rPr>
        <w:t>Fig. 2 — Waste Segregation Process Workflow (per item)</w:t>
      </w:r>
    </w:p>
    <w:p w14:paraId="3D0CB4FD" w14:textId="77777777" w:rsidR="006928F0" w:rsidRDefault="00000000">
      <w:r>
        <w:br w:type="page"/>
      </w:r>
    </w:p>
    <w:p w14:paraId="2B8812EC" w14:textId="77777777" w:rsidR="006928F0" w:rsidRDefault="00000000">
      <w:pPr>
        <w:pStyle w:val="Heading1"/>
        <w:spacing w:before="360" w:after="160"/>
      </w:pPr>
      <w:r>
        <w:rPr>
          <w:b/>
          <w:bCs/>
          <w:color w:val="1F3864"/>
        </w:rPr>
        <w:lastRenderedPageBreak/>
        <w:t>5. Discussion of Quality Attributes</w:t>
      </w:r>
    </w:p>
    <w:p w14:paraId="1E4AA660" w14:textId="77777777" w:rsidR="006928F0" w:rsidRDefault="00000000">
      <w:pPr>
        <w:spacing w:after="160" w:line="276" w:lineRule="auto"/>
        <w:jc w:val="both"/>
      </w:pPr>
      <w:r>
        <w:t>The selected event-driven microservices-with-edge architecture directly addresses the six key quality attributes identified in Section 1.4:</w:t>
      </w:r>
    </w:p>
    <w:p w14:paraId="30DD8505" w14:textId="77777777" w:rsidR="006928F0" w:rsidRDefault="00000000">
      <w:pPr>
        <w:spacing w:after="140"/>
      </w:pPr>
      <w:r>
        <w:rPr>
          <w:b/>
          <w:bCs/>
          <w:color w:val="2E7D32"/>
        </w:rPr>
        <w:t xml:space="preserve">Scalability: </w:t>
      </w:r>
      <w:r>
        <w:t>Each microservice and edge node scales independently; new facilities are onboarded by adding gateways to the event bus without re-architecting the system.</w:t>
      </w:r>
    </w:p>
    <w:p w14:paraId="3D44E9FB" w14:textId="77777777" w:rsidR="006928F0" w:rsidRDefault="00000000">
      <w:pPr>
        <w:spacing w:after="140"/>
      </w:pPr>
      <w:r>
        <w:rPr>
          <w:b/>
          <w:bCs/>
          <w:color w:val="2E7D32"/>
        </w:rPr>
        <w:t xml:space="preserve">Security: </w:t>
      </w:r>
      <w:r>
        <w:t>Devices authenticate to the gateway using certificates/tokens, all broker and API traffic is TLS-encrypted, and dashboard access is role-based (admin vs. field operator).</w:t>
      </w:r>
    </w:p>
    <w:p w14:paraId="17D121DF" w14:textId="77777777" w:rsidR="006928F0" w:rsidRDefault="00000000">
      <w:pPr>
        <w:spacing w:after="140"/>
      </w:pPr>
      <w:r>
        <w:rPr>
          <w:b/>
          <w:bCs/>
          <w:color w:val="2E7D32"/>
        </w:rPr>
        <w:t xml:space="preserve">Performance: </w:t>
      </w:r>
      <w:r>
        <w:t>Edge inference removes cloud round-trip latency from the sort-decision path, and the event bus buffers bursts of sensor traffic without blocking downstream services.</w:t>
      </w:r>
    </w:p>
    <w:p w14:paraId="4D0D19C3" w14:textId="77777777" w:rsidR="006928F0" w:rsidRDefault="00000000">
      <w:pPr>
        <w:spacing w:after="140"/>
      </w:pPr>
      <w:r>
        <w:rPr>
          <w:b/>
          <w:bCs/>
          <w:color w:val="2E7D32"/>
        </w:rPr>
        <w:t xml:space="preserve">Reliability: </w:t>
      </w:r>
      <w:r>
        <w:t>The broker persists undelivered messages during transient network loss, and the manual-review path acts as a fallback for low-confidence classifications, preventing miscategorized recyclables.</w:t>
      </w:r>
    </w:p>
    <w:p w14:paraId="0AA23F0F" w14:textId="77777777" w:rsidR="006928F0" w:rsidRDefault="00000000">
      <w:pPr>
        <w:spacing w:after="140"/>
      </w:pPr>
      <w:r>
        <w:rPr>
          <w:b/>
          <w:bCs/>
          <w:color w:val="2E7D32"/>
        </w:rPr>
        <w:t xml:space="preserve">Maintainability: </w:t>
      </w:r>
      <w:r>
        <w:t>Independently deployable services (e.g., the AI classifier) can be updated, retrained, or rolled back without redeploying the robotic control or analytics services.</w:t>
      </w:r>
    </w:p>
    <w:p w14:paraId="0D59E789" w14:textId="77777777" w:rsidR="006928F0" w:rsidRDefault="00000000">
      <w:pPr>
        <w:spacing w:after="140"/>
      </w:pPr>
      <w:r>
        <w:rPr>
          <w:b/>
          <w:bCs/>
          <w:color w:val="2E7D32"/>
        </w:rPr>
        <w:t xml:space="preserve">Availability: </w:t>
      </w:r>
      <w:r>
        <w:t>Stateless microservices behind the API gateway can be replicated across containers/nodes, and the cache layer keeps recent state available even during a database failover.</w:t>
      </w:r>
    </w:p>
    <w:p w14:paraId="4D143861" w14:textId="77777777" w:rsidR="006928F0" w:rsidRDefault="00000000">
      <w:pPr>
        <w:pStyle w:val="Heading2"/>
        <w:spacing w:before="260" w:after="120"/>
      </w:pPr>
      <w:r>
        <w:rPr>
          <w:b/>
          <w:bCs/>
          <w:color w:val="2E7D32"/>
        </w:rPr>
        <w:t>5.1 Supporting Data: Sorting Accuracy Improvement</w:t>
      </w:r>
    </w:p>
    <w:p w14:paraId="1BC3B144" w14:textId="77777777" w:rsidR="006928F0" w:rsidRDefault="00000000">
      <w:pPr>
        <w:spacing w:after="160" w:line="276" w:lineRule="auto"/>
        <w:jc w:val="both"/>
      </w:pPr>
      <w:r>
        <w:t>Automated AI-based sorting is expected to substantially outperform manual sorting on classification accuracy across all major waste categories, which is a key driver of the system's performance and reliability targets.</w:t>
      </w:r>
    </w:p>
    <w:p w14:paraId="3D7430E1" w14:textId="77777777" w:rsidR="006928F0" w:rsidRDefault="00000000">
      <w:pPr>
        <w:spacing w:before="200"/>
        <w:jc w:val="center"/>
      </w:pPr>
      <w:r>
        <w:rPr>
          <w:noProof/>
        </w:rPr>
        <w:drawing>
          <wp:inline distT="0" distB="0" distL="0" distR="0" wp14:anchorId="3BD669E0" wp14:editId="2BA89CF4">
            <wp:extent cx="5667375" cy="3400425"/>
            <wp:effectExtent l="0" t="0" r="0" b="0"/>
            <wp:docPr id="1315224139" name="Picture 131522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400425"/>
                    </a:xfrm>
                    <a:prstGeom prst="rect">
                      <a:avLst/>
                    </a:prstGeom>
                  </pic:spPr>
                </pic:pic>
              </a:graphicData>
            </a:graphic>
          </wp:inline>
        </w:drawing>
      </w:r>
    </w:p>
    <w:p w14:paraId="2D8403E7" w14:textId="77777777" w:rsidR="006928F0" w:rsidRDefault="00000000">
      <w:pPr>
        <w:spacing w:before="100" w:after="300"/>
        <w:jc w:val="center"/>
      </w:pPr>
      <w:r>
        <w:rPr>
          <w:i/>
          <w:iCs/>
          <w:color w:val="555555"/>
          <w:sz w:val="20"/>
          <w:szCs w:val="20"/>
        </w:rPr>
        <w:t>Fig. 3 — Projected Sorting Accuracy: Manual vs. AI-Based System, by Waste Category</w:t>
      </w:r>
    </w:p>
    <w:p w14:paraId="44E51DA6" w14:textId="77777777" w:rsidR="00B31DB9" w:rsidRDefault="00B31DB9">
      <w:pPr>
        <w:pStyle w:val="Heading2"/>
        <w:spacing w:before="260" w:after="120"/>
        <w:rPr>
          <w:b/>
          <w:bCs/>
          <w:color w:val="2E7D32"/>
        </w:rPr>
      </w:pPr>
    </w:p>
    <w:p w14:paraId="7087CCF1" w14:textId="77777777" w:rsidR="00B31DB9" w:rsidRDefault="00B31DB9">
      <w:pPr>
        <w:pStyle w:val="Heading2"/>
        <w:spacing w:before="260" w:after="120"/>
        <w:rPr>
          <w:b/>
          <w:bCs/>
          <w:color w:val="2E7D32"/>
        </w:rPr>
      </w:pPr>
    </w:p>
    <w:p w14:paraId="14514C78" w14:textId="77777777" w:rsidR="00B31DB9" w:rsidRDefault="00B31DB9">
      <w:pPr>
        <w:pStyle w:val="Heading2"/>
        <w:spacing w:before="260" w:after="120"/>
        <w:rPr>
          <w:b/>
          <w:bCs/>
          <w:color w:val="2E7D32"/>
        </w:rPr>
      </w:pPr>
    </w:p>
    <w:p w14:paraId="32A6861D" w14:textId="77777777" w:rsidR="00B31DB9" w:rsidRDefault="00B31DB9">
      <w:pPr>
        <w:pStyle w:val="Heading2"/>
        <w:spacing w:before="260" w:after="120"/>
        <w:rPr>
          <w:b/>
          <w:bCs/>
          <w:color w:val="2E7D32"/>
        </w:rPr>
      </w:pPr>
    </w:p>
    <w:p w14:paraId="3C96786E" w14:textId="0DEF5BEF" w:rsidR="006928F0" w:rsidRDefault="00000000">
      <w:pPr>
        <w:pStyle w:val="Heading2"/>
        <w:spacing w:before="260" w:after="120"/>
      </w:pPr>
      <w:r>
        <w:rPr>
          <w:b/>
          <w:bCs/>
          <w:color w:val="2E7D32"/>
        </w:rPr>
        <w:lastRenderedPageBreak/>
        <w:t>5.2 Supporting Data: Waste Composition (Capacity Planning Input)</w:t>
      </w:r>
    </w:p>
    <w:p w14:paraId="7396E0AF" w14:textId="77777777" w:rsidR="006928F0" w:rsidRDefault="00000000">
      <w:pPr>
        <w:spacing w:after="160" w:line="276" w:lineRule="auto"/>
        <w:jc w:val="both"/>
      </w:pPr>
      <w:r>
        <w:t>Understanding the typical composition of incoming municipal waste informs capacity planning and scalability decisions — for example, sizing the organic and plastic processing lines, which together account for the majority of throughput.</w:t>
      </w:r>
    </w:p>
    <w:p w14:paraId="2C684093" w14:textId="0CA79D7D" w:rsidR="00B31DB9" w:rsidRDefault="00B31DB9">
      <w:pPr>
        <w:spacing w:after="160" w:line="276" w:lineRule="auto"/>
        <w:jc w:val="both"/>
      </w:pPr>
      <w:r w:rsidRPr="00B31DB9">
        <w:t xml:space="preserve">The pie chart shows the typical composition of municipal waste. </w:t>
      </w:r>
      <w:r w:rsidRPr="00B31DB9">
        <w:rPr>
          <w:b/>
          <w:bCs/>
        </w:rPr>
        <w:t>Organic waste (40%)</w:t>
      </w:r>
      <w:r w:rsidRPr="00B31DB9">
        <w:t xml:space="preserve"> forms the largest portion, followed by </w:t>
      </w:r>
      <w:r w:rsidRPr="00B31DB9">
        <w:rPr>
          <w:b/>
          <w:bCs/>
        </w:rPr>
        <w:t>Plastic (22%)</w:t>
      </w:r>
      <w:r w:rsidRPr="00B31DB9">
        <w:t xml:space="preserve">, </w:t>
      </w:r>
      <w:r w:rsidRPr="00B31DB9">
        <w:rPr>
          <w:b/>
          <w:bCs/>
        </w:rPr>
        <w:t>Paper &amp; Cardboard (17%)</w:t>
      </w:r>
      <w:r w:rsidRPr="00B31DB9">
        <w:t xml:space="preserve">, </w:t>
      </w:r>
      <w:r w:rsidRPr="00B31DB9">
        <w:rPr>
          <w:b/>
          <w:bCs/>
        </w:rPr>
        <w:t>Metal (8%)</w:t>
      </w:r>
      <w:r w:rsidRPr="00B31DB9">
        <w:t xml:space="preserve">, </w:t>
      </w:r>
      <w:r w:rsidRPr="00B31DB9">
        <w:rPr>
          <w:b/>
          <w:bCs/>
        </w:rPr>
        <w:t>Others (7%)</w:t>
      </w:r>
      <w:r w:rsidRPr="00B31DB9">
        <w:t xml:space="preserve">, and </w:t>
      </w:r>
      <w:r w:rsidRPr="00B31DB9">
        <w:rPr>
          <w:b/>
          <w:bCs/>
        </w:rPr>
        <w:t>Glass (6%)</w:t>
      </w:r>
      <w:r w:rsidRPr="00B31DB9">
        <w:t>. This data helps plan recycling capacity, allocate resources, and improve the efficiency of the AI-based waste segregation system.</w:t>
      </w:r>
    </w:p>
    <w:p w14:paraId="7E3699C6" w14:textId="77777777" w:rsidR="006928F0" w:rsidRDefault="00000000">
      <w:pPr>
        <w:spacing w:before="200"/>
        <w:jc w:val="center"/>
      </w:pPr>
      <w:r>
        <w:rPr>
          <w:noProof/>
        </w:rPr>
        <w:drawing>
          <wp:inline distT="0" distB="0" distL="0" distR="0" wp14:anchorId="7E9A09AA" wp14:editId="7671B478">
            <wp:extent cx="4933950" cy="4114800"/>
            <wp:effectExtent l="0" t="0" r="0" b="0"/>
            <wp:docPr id="1713764827" name="Picture 171376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4114800"/>
                    </a:xfrm>
                    <a:prstGeom prst="rect">
                      <a:avLst/>
                    </a:prstGeom>
                  </pic:spPr>
                </pic:pic>
              </a:graphicData>
            </a:graphic>
          </wp:inline>
        </w:drawing>
      </w:r>
    </w:p>
    <w:p w14:paraId="0FB6390B" w14:textId="77777777" w:rsidR="006928F0" w:rsidRDefault="00000000">
      <w:pPr>
        <w:spacing w:before="100" w:after="300"/>
        <w:jc w:val="center"/>
      </w:pPr>
      <w:r>
        <w:rPr>
          <w:i/>
          <w:iCs/>
          <w:color w:val="555555"/>
          <w:sz w:val="20"/>
          <w:szCs w:val="20"/>
        </w:rPr>
        <w:t>Fig. 4 — Typical Municipal Waste Composition Used for Capacity Planning</w:t>
      </w:r>
    </w:p>
    <w:p w14:paraId="5CB71510" w14:textId="77777777" w:rsidR="006928F0" w:rsidRDefault="00000000">
      <w:r>
        <w:br w:type="page"/>
      </w:r>
    </w:p>
    <w:p w14:paraId="76AFFE3F" w14:textId="77777777" w:rsidR="006928F0" w:rsidRDefault="00000000">
      <w:pPr>
        <w:pStyle w:val="Heading1"/>
        <w:spacing w:before="360" w:after="160"/>
      </w:pPr>
      <w:r>
        <w:rPr>
          <w:b/>
          <w:bCs/>
          <w:color w:val="1F3864"/>
        </w:rPr>
        <w:lastRenderedPageBreak/>
        <w:t>6. Justification of Architectural Decisions</w:t>
      </w:r>
    </w:p>
    <w:p w14:paraId="58B9A541" w14:textId="77777777" w:rsidR="006928F0" w:rsidRDefault="00000000">
      <w:pPr>
        <w:pStyle w:val="Heading2"/>
        <w:spacing w:before="260" w:after="120"/>
      </w:pPr>
      <w:r>
        <w:rPr>
          <w:b/>
          <w:bCs/>
          <w:color w:val="2E7D32"/>
        </w:rPr>
        <w:t>6.1 Rationale</w:t>
      </w:r>
    </w:p>
    <w:p w14:paraId="65059DE1" w14:textId="77777777" w:rsidR="006928F0" w:rsidRDefault="00000000">
      <w:pPr>
        <w:spacing w:after="160" w:line="276" w:lineRule="auto"/>
        <w:jc w:val="both"/>
      </w:pPr>
      <w:r>
        <w:t>The core architectural decision — combining edge inference, an event bus, and microservices — is driven by the need to make a physical, real-time sorting decision while simultaneously supporting cloud-scale analytics and reporting. Placing the CNN classifier at the edge satisfies the hard real-time constraint of the conveyor, while the event bus and microservices satisfy the softer, higher-latency requirements of analytics, reporting, and multi-facility management. This separation of concerns allows each part of the system to be optimized for its own quality-attribute priorities rather than forcing a single design to satisfy all of them at once.</w:t>
      </w:r>
    </w:p>
    <w:p w14:paraId="2386B6D4" w14:textId="77777777" w:rsidR="006928F0" w:rsidRDefault="00000000">
      <w:pPr>
        <w:pStyle w:val="Heading2"/>
        <w:spacing w:before="260" w:after="120"/>
      </w:pPr>
      <w:r>
        <w:rPr>
          <w:b/>
          <w:bCs/>
          <w:color w:val="2E7D32"/>
        </w:rPr>
        <w:t>6.2 Trade-offs Considered</w:t>
      </w:r>
    </w:p>
    <w:tbl>
      <w:tblPr>
        <w:tblW w:w="5000" w:type="pct"/>
        <w:tblBorders>
          <w:top w:val="single" w:sz="4" w:space="0" w:color="B0BEC5"/>
          <w:left w:val="single" w:sz="4" w:space="0" w:color="B0BEC5"/>
          <w:bottom w:val="single" w:sz="4" w:space="0" w:color="B0BEC5"/>
          <w:right w:val="single" w:sz="4" w:space="0" w:color="B0BEC5"/>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4868"/>
        <w:gridCol w:w="4868"/>
      </w:tblGrid>
      <w:tr w:rsidR="006928F0" w14:paraId="63EFFCEF" w14:textId="77777777">
        <w:tblPrEx>
          <w:tblCellMar>
            <w:top w:w="0" w:type="dxa"/>
            <w:bottom w:w="0" w:type="dxa"/>
          </w:tblCellMar>
        </w:tblPrEx>
        <w:trPr>
          <w:tblHeader/>
        </w:trPr>
        <w:tc>
          <w:tcPr>
            <w:tcW w:w="2500" w:type="pct"/>
            <w:shd w:val="clear" w:color="auto" w:fill="1F3864"/>
            <w:tcMar>
              <w:top w:w="80" w:type="dxa"/>
              <w:left w:w="100" w:type="dxa"/>
              <w:bottom w:w="80" w:type="dxa"/>
              <w:right w:w="100" w:type="dxa"/>
            </w:tcMar>
            <w:vAlign w:val="center"/>
          </w:tcPr>
          <w:p w14:paraId="0220A0B0" w14:textId="77777777" w:rsidR="006928F0" w:rsidRDefault="00000000">
            <w:r>
              <w:rPr>
                <w:b/>
                <w:bCs/>
                <w:color w:val="FFFFFF"/>
                <w:sz w:val="20"/>
                <w:szCs w:val="20"/>
              </w:rPr>
              <w:t>Trade-off</w:t>
            </w:r>
          </w:p>
        </w:tc>
        <w:tc>
          <w:tcPr>
            <w:tcW w:w="2500" w:type="pct"/>
            <w:shd w:val="clear" w:color="auto" w:fill="1F3864"/>
            <w:tcMar>
              <w:top w:w="80" w:type="dxa"/>
              <w:left w:w="100" w:type="dxa"/>
              <w:bottom w:w="80" w:type="dxa"/>
              <w:right w:w="100" w:type="dxa"/>
            </w:tcMar>
            <w:vAlign w:val="center"/>
          </w:tcPr>
          <w:p w14:paraId="38C11FDC" w14:textId="77777777" w:rsidR="006928F0" w:rsidRDefault="00000000">
            <w:r>
              <w:rPr>
                <w:b/>
                <w:bCs/>
                <w:color w:val="FFFFFF"/>
                <w:sz w:val="20"/>
                <w:szCs w:val="20"/>
              </w:rPr>
              <w:t>Decision and Rationale</w:t>
            </w:r>
          </w:p>
        </w:tc>
      </w:tr>
      <w:tr w:rsidR="006928F0" w14:paraId="4074575D" w14:textId="77777777">
        <w:tblPrEx>
          <w:tblCellMar>
            <w:top w:w="0" w:type="dxa"/>
            <w:bottom w:w="0" w:type="dxa"/>
          </w:tblCellMar>
        </w:tblPrEx>
        <w:tc>
          <w:tcPr>
            <w:tcW w:w="2500" w:type="pct"/>
            <w:tcMar>
              <w:top w:w="80" w:type="dxa"/>
              <w:left w:w="100" w:type="dxa"/>
              <w:bottom w:w="80" w:type="dxa"/>
              <w:right w:w="100" w:type="dxa"/>
            </w:tcMar>
            <w:vAlign w:val="center"/>
          </w:tcPr>
          <w:p w14:paraId="08C74EA5" w14:textId="77777777" w:rsidR="006928F0" w:rsidRDefault="00000000">
            <w:r>
              <w:rPr>
                <w:b/>
                <w:bCs/>
                <w:sz w:val="19"/>
                <w:szCs w:val="19"/>
              </w:rPr>
              <w:t>Edge inference vs. cloud-only inference</w:t>
            </w:r>
          </w:p>
        </w:tc>
        <w:tc>
          <w:tcPr>
            <w:tcW w:w="2500" w:type="pct"/>
            <w:tcMar>
              <w:top w:w="80" w:type="dxa"/>
              <w:left w:w="100" w:type="dxa"/>
              <w:bottom w:w="80" w:type="dxa"/>
              <w:right w:w="100" w:type="dxa"/>
            </w:tcMar>
            <w:vAlign w:val="center"/>
          </w:tcPr>
          <w:p w14:paraId="6120C00B" w14:textId="77777777" w:rsidR="006928F0" w:rsidRDefault="00000000">
            <w:r>
              <w:rPr>
                <w:sz w:val="19"/>
                <w:szCs w:val="19"/>
              </w:rPr>
              <w:t>Edge chosen for latency; accepts additional operational complexity of deploying and updating models on facility hardware, mitigated by an automated model-deployment pipeline.</w:t>
            </w:r>
          </w:p>
        </w:tc>
      </w:tr>
      <w:tr w:rsidR="006928F0" w14:paraId="1B4E0A73"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4A485DCE" w14:textId="77777777" w:rsidR="006928F0" w:rsidRDefault="00000000">
            <w:r>
              <w:rPr>
                <w:b/>
                <w:bCs/>
                <w:sz w:val="19"/>
                <w:szCs w:val="19"/>
              </w:rPr>
              <w:t>Event-driven vs. synchronous REST-only</w:t>
            </w:r>
          </w:p>
        </w:tc>
        <w:tc>
          <w:tcPr>
            <w:tcW w:w="2500" w:type="pct"/>
            <w:shd w:val="clear" w:color="auto" w:fill="EAF1FB"/>
            <w:tcMar>
              <w:top w:w="80" w:type="dxa"/>
              <w:left w:w="100" w:type="dxa"/>
              <w:bottom w:w="80" w:type="dxa"/>
              <w:right w:w="100" w:type="dxa"/>
            </w:tcMar>
            <w:vAlign w:val="center"/>
          </w:tcPr>
          <w:p w14:paraId="55438B91" w14:textId="77777777" w:rsidR="006928F0" w:rsidRDefault="00000000">
            <w:r>
              <w:rPr>
                <w:sz w:val="19"/>
                <w:szCs w:val="19"/>
              </w:rPr>
              <w:t>Event-driven chosen for decoupling and resilience to slow consumers; accepts eventual-consistency in the analytics/reporting views, which is acceptable since these are not real-time-critical.</w:t>
            </w:r>
          </w:p>
        </w:tc>
      </w:tr>
      <w:tr w:rsidR="006928F0" w14:paraId="14ACD4A6" w14:textId="77777777">
        <w:tblPrEx>
          <w:tblCellMar>
            <w:top w:w="0" w:type="dxa"/>
            <w:bottom w:w="0" w:type="dxa"/>
          </w:tblCellMar>
        </w:tblPrEx>
        <w:tc>
          <w:tcPr>
            <w:tcW w:w="2500" w:type="pct"/>
            <w:tcMar>
              <w:top w:w="80" w:type="dxa"/>
              <w:left w:w="100" w:type="dxa"/>
              <w:bottom w:w="80" w:type="dxa"/>
              <w:right w:w="100" w:type="dxa"/>
            </w:tcMar>
            <w:vAlign w:val="center"/>
          </w:tcPr>
          <w:p w14:paraId="1BF3B047" w14:textId="77777777" w:rsidR="006928F0" w:rsidRDefault="00000000">
            <w:r>
              <w:rPr>
                <w:b/>
                <w:bCs/>
                <w:sz w:val="19"/>
                <w:szCs w:val="19"/>
              </w:rPr>
              <w:t>Microservices vs. monolith</w:t>
            </w:r>
          </w:p>
        </w:tc>
        <w:tc>
          <w:tcPr>
            <w:tcW w:w="2500" w:type="pct"/>
            <w:tcMar>
              <w:top w:w="80" w:type="dxa"/>
              <w:left w:w="100" w:type="dxa"/>
              <w:bottom w:w="80" w:type="dxa"/>
              <w:right w:w="100" w:type="dxa"/>
            </w:tcMar>
            <w:vAlign w:val="center"/>
          </w:tcPr>
          <w:p w14:paraId="6EBE46BE" w14:textId="77777777" w:rsidR="006928F0" w:rsidRDefault="00000000">
            <w:r>
              <w:rPr>
                <w:sz w:val="19"/>
                <w:szCs w:val="19"/>
              </w:rPr>
              <w:t>Microservices chosen for independent scalability and maintainability; accepts higher initial infrastructure/DevOps overhead, justified by the system's multi-facility growth goals.</w:t>
            </w:r>
          </w:p>
        </w:tc>
      </w:tr>
      <w:tr w:rsidR="006928F0" w14:paraId="5B59C756" w14:textId="77777777">
        <w:tblPrEx>
          <w:tblCellMar>
            <w:top w:w="0" w:type="dxa"/>
            <w:bottom w:w="0" w:type="dxa"/>
          </w:tblCellMar>
        </w:tblPrEx>
        <w:tc>
          <w:tcPr>
            <w:tcW w:w="2500" w:type="pct"/>
            <w:shd w:val="clear" w:color="auto" w:fill="EAF1FB"/>
            <w:tcMar>
              <w:top w:w="80" w:type="dxa"/>
              <w:left w:w="100" w:type="dxa"/>
              <w:bottom w:w="80" w:type="dxa"/>
              <w:right w:w="100" w:type="dxa"/>
            </w:tcMar>
            <w:vAlign w:val="center"/>
          </w:tcPr>
          <w:p w14:paraId="45668DE4" w14:textId="77777777" w:rsidR="006928F0" w:rsidRDefault="00000000">
            <w:r>
              <w:rPr>
                <w:b/>
                <w:bCs/>
                <w:sz w:val="19"/>
                <w:szCs w:val="19"/>
              </w:rPr>
              <w:t>Managed message broker vs. self-hosted</w:t>
            </w:r>
          </w:p>
        </w:tc>
        <w:tc>
          <w:tcPr>
            <w:tcW w:w="2500" w:type="pct"/>
            <w:shd w:val="clear" w:color="auto" w:fill="EAF1FB"/>
            <w:tcMar>
              <w:top w:w="80" w:type="dxa"/>
              <w:left w:w="100" w:type="dxa"/>
              <w:bottom w:w="80" w:type="dxa"/>
              <w:right w:w="100" w:type="dxa"/>
            </w:tcMar>
            <w:vAlign w:val="center"/>
          </w:tcPr>
          <w:p w14:paraId="0A5E3667" w14:textId="77777777" w:rsidR="006928F0" w:rsidRDefault="00000000">
            <w:r>
              <w:rPr>
                <w:sz w:val="19"/>
                <w:szCs w:val="19"/>
              </w:rPr>
              <w:t>A managed broker is recommended to reduce operational burden, trading some cost for reduced maintenance risk.</w:t>
            </w:r>
          </w:p>
        </w:tc>
      </w:tr>
    </w:tbl>
    <w:p w14:paraId="1E4117BE" w14:textId="77777777" w:rsidR="006928F0" w:rsidRDefault="00000000">
      <w:pPr>
        <w:pStyle w:val="Heading2"/>
        <w:spacing w:before="260" w:after="120"/>
      </w:pPr>
      <w:r>
        <w:rPr>
          <w:b/>
          <w:bCs/>
          <w:color w:val="2E7D32"/>
        </w:rPr>
        <w:t>6.3 Support for Future Enhancements and Long-Term Maintainability</w:t>
      </w:r>
    </w:p>
    <w:p w14:paraId="4238A446" w14:textId="77777777" w:rsidR="006928F0" w:rsidRDefault="00000000">
      <w:pPr>
        <w:pStyle w:val="ListParagraph"/>
        <w:numPr>
          <w:ilvl w:val="0"/>
          <w:numId w:val="1"/>
        </w:numPr>
        <w:spacing w:after="90"/>
      </w:pPr>
      <w:r>
        <w:t>New waste categories (e.g., e-waste, hazardous items) can be added by retraining and redeploying only the Waste Classification Service.</w:t>
      </w:r>
    </w:p>
    <w:p w14:paraId="1202D984" w14:textId="77777777" w:rsidR="006928F0" w:rsidRDefault="00000000">
      <w:pPr>
        <w:pStyle w:val="ListParagraph"/>
        <w:numPr>
          <w:ilvl w:val="0"/>
          <w:numId w:val="1"/>
        </w:numPr>
        <w:spacing w:after="90"/>
      </w:pPr>
      <w:r>
        <w:t>Additional facilities can be onboarded by connecting new edge gateways to the existing event bus, without modifying core services.</w:t>
      </w:r>
    </w:p>
    <w:p w14:paraId="125F4664" w14:textId="77777777" w:rsidR="006928F0" w:rsidRDefault="00000000">
      <w:pPr>
        <w:pStyle w:val="ListParagraph"/>
        <w:numPr>
          <w:ilvl w:val="0"/>
          <w:numId w:val="1"/>
        </w:numPr>
        <w:spacing w:after="90"/>
      </w:pPr>
      <w:r>
        <w:t>New analytics (e.g., predictive bin-fill forecasting) can be added as new subscribers to existing event streams without touching the sorting pipeline.</w:t>
      </w:r>
    </w:p>
    <w:p w14:paraId="6C1C2EF6" w14:textId="77777777" w:rsidR="006928F0" w:rsidRDefault="00000000">
      <w:pPr>
        <w:pStyle w:val="ListParagraph"/>
        <w:numPr>
          <w:ilvl w:val="0"/>
          <w:numId w:val="1"/>
        </w:numPr>
        <w:spacing w:after="90"/>
      </w:pPr>
      <w:r>
        <w:t>The API gateway provides a stable integration point for future third-party systems, such as municipal ERP or citizen-facing apps.</w:t>
      </w:r>
    </w:p>
    <w:p w14:paraId="10427BE5" w14:textId="77777777" w:rsidR="006928F0" w:rsidRDefault="00000000">
      <w:pPr>
        <w:pStyle w:val="ListParagraph"/>
        <w:numPr>
          <w:ilvl w:val="0"/>
          <w:numId w:val="1"/>
        </w:numPr>
        <w:spacing w:after="90"/>
      </w:pPr>
      <w:r>
        <w:t>Containerized microservices support future migration to Kubernetes-based auto-scaling as facility count grows.</w:t>
      </w:r>
    </w:p>
    <w:p w14:paraId="6197C2A7" w14:textId="77777777" w:rsidR="006928F0" w:rsidRDefault="00000000">
      <w:pPr>
        <w:pStyle w:val="Heading2"/>
        <w:spacing w:before="260" w:after="120"/>
      </w:pPr>
      <w:r>
        <w:rPr>
          <w:b/>
          <w:bCs/>
          <w:color w:val="2E7D32"/>
        </w:rPr>
        <w:t>6.4 Conclusion</w:t>
      </w:r>
    </w:p>
    <w:p w14:paraId="16135EEE" w14:textId="77777777" w:rsidR="006928F0" w:rsidRDefault="00000000">
      <w:pPr>
        <w:spacing w:after="160" w:line="276" w:lineRule="auto"/>
        <w:jc w:val="both"/>
      </w:pPr>
      <w:r>
        <w:t>The proposed event-driven microservices architecture with an edge-computing layer satisfies the functional requirements for AI-based waste classification and automated sorting while directly addressing the non-functional priorities of scalability, performance, reliability, availability, maintainability, and security. The design supports the stated objectives of increasing recycling rates, reducing landfill waste, and improving operational efficiency, and is structured to accommodate future growth in facility count, waste categories, and analytical capability.</w:t>
      </w:r>
    </w:p>
    <w:sectPr w:rsidR="006928F0">
      <w:headerReference w:type="default" r:id="rId12"/>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FBC70" w14:textId="77777777" w:rsidR="008423B8" w:rsidRDefault="008423B8">
      <w:r>
        <w:separator/>
      </w:r>
    </w:p>
  </w:endnote>
  <w:endnote w:type="continuationSeparator" w:id="0">
    <w:p w14:paraId="6398B789" w14:textId="77777777" w:rsidR="008423B8" w:rsidRDefault="00842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8369B" w14:textId="77777777" w:rsidR="006928F0"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F446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F446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2050B" w14:textId="77777777" w:rsidR="008423B8" w:rsidRDefault="008423B8">
      <w:r>
        <w:separator/>
      </w:r>
    </w:p>
  </w:footnote>
  <w:footnote w:type="continuationSeparator" w:id="0">
    <w:p w14:paraId="736CEA4A" w14:textId="77777777" w:rsidR="008423B8" w:rsidRDefault="008423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494A5" w14:textId="77777777" w:rsidR="006928F0" w:rsidRDefault="00000000">
    <w:pPr>
      <w:jc w:val="right"/>
    </w:pPr>
    <w:r>
      <w:rPr>
        <w:color w:val="888888"/>
        <w:sz w:val="16"/>
        <w:szCs w:val="16"/>
      </w:rPr>
      <w:t>CSA10 — CO2 Architecture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105"/>
    <w:multiLevelType w:val="multilevel"/>
    <w:tmpl w:val="E5C8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E5E36"/>
    <w:multiLevelType w:val="hybridMultilevel"/>
    <w:tmpl w:val="24C02674"/>
    <w:lvl w:ilvl="0" w:tplc="A77E035C">
      <w:start w:val="1"/>
      <w:numFmt w:val="bullet"/>
      <w:lvlText w:val="•"/>
      <w:lvlJc w:val="left"/>
      <w:pPr>
        <w:ind w:left="720" w:hanging="360"/>
      </w:pPr>
    </w:lvl>
    <w:lvl w:ilvl="1" w:tplc="2B92DE56">
      <w:numFmt w:val="decimal"/>
      <w:lvlText w:val=""/>
      <w:lvlJc w:val="left"/>
    </w:lvl>
    <w:lvl w:ilvl="2" w:tplc="1F684BEE">
      <w:numFmt w:val="decimal"/>
      <w:lvlText w:val=""/>
      <w:lvlJc w:val="left"/>
    </w:lvl>
    <w:lvl w:ilvl="3" w:tplc="77E4E4AE">
      <w:numFmt w:val="decimal"/>
      <w:lvlText w:val=""/>
      <w:lvlJc w:val="left"/>
    </w:lvl>
    <w:lvl w:ilvl="4" w:tplc="A36CF2D4">
      <w:numFmt w:val="decimal"/>
      <w:lvlText w:val=""/>
      <w:lvlJc w:val="left"/>
    </w:lvl>
    <w:lvl w:ilvl="5" w:tplc="73949756">
      <w:numFmt w:val="decimal"/>
      <w:lvlText w:val=""/>
      <w:lvlJc w:val="left"/>
    </w:lvl>
    <w:lvl w:ilvl="6" w:tplc="2FB46D56">
      <w:numFmt w:val="decimal"/>
      <w:lvlText w:val=""/>
      <w:lvlJc w:val="left"/>
    </w:lvl>
    <w:lvl w:ilvl="7" w:tplc="0B74E3F2">
      <w:numFmt w:val="decimal"/>
      <w:lvlText w:val=""/>
      <w:lvlJc w:val="left"/>
    </w:lvl>
    <w:lvl w:ilvl="8" w:tplc="68ACF28A">
      <w:numFmt w:val="decimal"/>
      <w:lvlText w:val=""/>
      <w:lvlJc w:val="left"/>
    </w:lvl>
  </w:abstractNum>
  <w:abstractNum w:abstractNumId="2" w15:restartNumberingAfterBreak="0">
    <w:nsid w:val="474B4700"/>
    <w:multiLevelType w:val="hybridMultilevel"/>
    <w:tmpl w:val="BB6CD928"/>
    <w:lvl w:ilvl="0" w:tplc="89D079BE">
      <w:start w:val="1"/>
      <w:numFmt w:val="bullet"/>
      <w:lvlText w:val="●"/>
      <w:lvlJc w:val="left"/>
      <w:pPr>
        <w:ind w:left="720" w:hanging="360"/>
      </w:pPr>
    </w:lvl>
    <w:lvl w:ilvl="1" w:tplc="EE1AEEB6">
      <w:start w:val="1"/>
      <w:numFmt w:val="bullet"/>
      <w:lvlText w:val="○"/>
      <w:lvlJc w:val="left"/>
      <w:pPr>
        <w:ind w:left="1440" w:hanging="360"/>
      </w:pPr>
    </w:lvl>
    <w:lvl w:ilvl="2" w:tplc="4DB2F3A2">
      <w:start w:val="1"/>
      <w:numFmt w:val="bullet"/>
      <w:lvlText w:val="■"/>
      <w:lvlJc w:val="left"/>
      <w:pPr>
        <w:ind w:left="2160" w:hanging="360"/>
      </w:pPr>
    </w:lvl>
    <w:lvl w:ilvl="3" w:tplc="1BF29340">
      <w:start w:val="1"/>
      <w:numFmt w:val="bullet"/>
      <w:lvlText w:val="●"/>
      <w:lvlJc w:val="left"/>
      <w:pPr>
        <w:ind w:left="2880" w:hanging="360"/>
      </w:pPr>
    </w:lvl>
    <w:lvl w:ilvl="4" w:tplc="7BE68A5E">
      <w:start w:val="1"/>
      <w:numFmt w:val="bullet"/>
      <w:lvlText w:val="○"/>
      <w:lvlJc w:val="left"/>
      <w:pPr>
        <w:ind w:left="3600" w:hanging="360"/>
      </w:pPr>
    </w:lvl>
    <w:lvl w:ilvl="5" w:tplc="9804377A">
      <w:start w:val="1"/>
      <w:numFmt w:val="bullet"/>
      <w:lvlText w:val="■"/>
      <w:lvlJc w:val="left"/>
      <w:pPr>
        <w:ind w:left="4320" w:hanging="360"/>
      </w:pPr>
    </w:lvl>
    <w:lvl w:ilvl="6" w:tplc="B218F23A">
      <w:start w:val="1"/>
      <w:numFmt w:val="bullet"/>
      <w:lvlText w:val="●"/>
      <w:lvlJc w:val="left"/>
      <w:pPr>
        <w:ind w:left="5040" w:hanging="360"/>
      </w:pPr>
    </w:lvl>
    <w:lvl w:ilvl="7" w:tplc="4EBABDD8">
      <w:start w:val="1"/>
      <w:numFmt w:val="bullet"/>
      <w:lvlText w:val="●"/>
      <w:lvlJc w:val="left"/>
      <w:pPr>
        <w:ind w:left="5760" w:hanging="360"/>
      </w:pPr>
    </w:lvl>
    <w:lvl w:ilvl="8" w:tplc="9736A1BC">
      <w:start w:val="1"/>
      <w:numFmt w:val="bullet"/>
      <w:lvlText w:val="●"/>
      <w:lvlJc w:val="left"/>
      <w:pPr>
        <w:ind w:left="6480" w:hanging="360"/>
      </w:pPr>
    </w:lvl>
  </w:abstractNum>
  <w:abstractNum w:abstractNumId="3" w15:restartNumberingAfterBreak="0">
    <w:nsid w:val="640F51AE"/>
    <w:multiLevelType w:val="multilevel"/>
    <w:tmpl w:val="908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263435">
    <w:abstractNumId w:val="2"/>
    <w:lvlOverride w:ilvl="0">
      <w:startOverride w:val="1"/>
    </w:lvlOverride>
  </w:num>
  <w:num w:numId="2" w16cid:durableId="1883588553">
    <w:abstractNumId w:val="0"/>
  </w:num>
  <w:num w:numId="3" w16cid:durableId="916862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8F0"/>
    <w:rsid w:val="003F4469"/>
    <w:rsid w:val="006928F0"/>
    <w:rsid w:val="008423B8"/>
    <w:rsid w:val="00B31DB9"/>
    <w:rsid w:val="00E372B3"/>
    <w:rsid w:val="00EF6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85CE"/>
  <w15:docId w15:val="{22D921ED-7CA2-449F-B963-E6A3043A2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AI-Based Smart Waste Segregation and Recycling Automation System — Architecture Design Report</vt:lpstr>
    </vt:vector>
  </TitlesOfParts>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Smart Waste Segregation and Recycling Automation System — Architecture Design Report</dc:title>
  <dc:creator>Architecture Design Report</dc:creator>
  <cp:lastModifiedBy>sonu uma</cp:lastModifiedBy>
  <cp:revision>2</cp:revision>
  <dcterms:created xsi:type="dcterms:W3CDTF">2026-08-04T05:08:00Z</dcterms:created>
  <dcterms:modified xsi:type="dcterms:W3CDTF">2026-08-04T05:08:00Z</dcterms:modified>
</cp:coreProperties>
</file>