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A97" w:rsidRDefault="00F20A97">
      <w:pPr>
        <w:spacing w:after="200"/>
      </w:pPr>
    </w:p>
    <w:p w:rsidR="00F20A97" w:rsidRDefault="00B41AFC">
      <w:pPr>
        <w:shd w:val="clear" w:color="auto" w:fill="1F3864"/>
        <w:spacing w:before="500" w:after="200"/>
      </w:pPr>
      <w:r>
        <w:rPr>
          <w:b/>
          <w:bCs/>
          <w:color w:val="FFFFFF"/>
          <w:sz w:val="26"/>
          <w:szCs w:val="26"/>
        </w:rPr>
        <w:t xml:space="preserve">  CASE 1: Cloud-Native Backend for a Food Delivery Platform</w:t>
      </w:r>
    </w:p>
    <w:p w:rsidR="00F20A97" w:rsidRDefault="00B41AFC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DCE6F1"/>
        <w:spacing w:after="240"/>
      </w:pPr>
      <w:r>
        <w:rPr>
          <w:b/>
          <w:bCs/>
          <w:i/>
          <w:iCs/>
          <w:color w:val="1F3864"/>
        </w:rPr>
        <w:t xml:space="preserve">Question: </w:t>
      </w:r>
      <w:r>
        <w:rPr>
          <w:i/>
          <w:iCs/>
          <w:color w:val="595959"/>
        </w:rPr>
        <w:t>A food delivery company wants to deploy a cloud-native backend with web APIs, browser clients, and shared cloud storage for receipts and delivery images. Propose the architecture and explain the role of each component.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1.1 Understanding the Requi</w:t>
      </w:r>
      <w:r>
        <w:rPr>
          <w:b/>
          <w:bCs/>
          <w:sz w:val="24"/>
          <w:szCs w:val="24"/>
        </w:rPr>
        <w:t>rements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 xml:space="preserve">The food delivery platform must support three concurrent classes of workload: transactional operations (order placement, payment, order tracking), high-volume unstructured data storage (receipt PDFs and delivery-proof images), and real-time client </w:t>
      </w:r>
      <w:r>
        <w:rPr>
          <w:sz w:val="22"/>
          <w:szCs w:val="22"/>
        </w:rPr>
        <w:t>access from browsers and mobile applications. A cloud-native design is appropriate because it must scale elastically during peak meal-time demand, remain highly available across geographies, and allow independent deployment of individual services such as o</w:t>
      </w:r>
      <w:r>
        <w:rPr>
          <w:sz w:val="22"/>
          <w:szCs w:val="22"/>
        </w:rPr>
        <w:t>rder management, restaurant catalogue, and delivery tracking.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1.2 Proposed Architecture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The proposed architecture follows a microservices pattern deployed on a managed Kubernetes cluster (or container platform such as AWS ECS/EKS, Azure AKS, or GCP GKE), f</w:t>
      </w:r>
      <w:r>
        <w:rPr>
          <w:sz w:val="22"/>
          <w:szCs w:val="22"/>
        </w:rPr>
        <w:t>ronted by an API Gateway and backed by managed object storage. The end-to-end flow is summarised below.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600"/>
      </w:tblGrid>
      <w:tr w:rsidR="00F20A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Role in the Architecture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Client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Browser / Mobile App (React, Flutter)</w:t>
            </w:r>
          </w:p>
        </w:tc>
        <w:tc>
          <w:tcPr>
            <w:tcW w:w="4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Presents the customer, restaurant, and delivery-partner interfaces; communicates only through REST/GraphQL APIs over HTTPS.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Edge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CDN (CloudFront / Cloudflare)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Caches static assets and delivery-images for fast global read access and offloads traffic from origin servers.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Access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API Gateway</w:t>
            </w:r>
          </w:p>
        </w:tc>
        <w:tc>
          <w:tcPr>
            <w:tcW w:w="4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Single entry point that performs routing, authentication token validation, rate limiting, and request throttling for all backend microservices.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Security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Identity &amp; Access Management (IAM) / OAuth2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Authenticates customers, restaurant partners, and delivery agents; issues short-lived tokens; enforces role-based access control.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lastRenderedPageBreak/>
              <w:t>Compute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Microservices (Order, Payment, Catalogue, Delivery-Tracking, Notification)</w:t>
            </w:r>
          </w:p>
        </w:tc>
        <w:tc>
          <w:tcPr>
            <w:tcW w:w="4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Independently deployable web-API services, each owning its own data store, communicating via REST/gRPC and an event bus.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Messaging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Event Bus / Message Queue (Kafka, SQS)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Decouples services — e.g., an order-placed event triggers payment, kitchen-notification, and delivery-assignment services asynchronously.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Storage – Structured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Managed Relational/NoSQL DB (RDS, DynamoDB)</w:t>
            </w:r>
          </w:p>
        </w:tc>
        <w:tc>
          <w:tcPr>
            <w:tcW w:w="4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Stores orders, users, restaurant menus, and transactional records requiring consistency.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Storage – Unstructured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Cloud Object Storage (Amazon S3 / Azure Blob)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Stores receipts (PDF) and delivery-proof images at scale with lifecycle policies, versioning, and pre-signed URLs for secure upload/download.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Analytics</w:t>
            </w:r>
          </w:p>
        </w:tc>
        <w:tc>
          <w:tcPr>
            <w:tcW w:w="32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Data Lake / Warehouse (S3 + Athena/Redshift)</w:t>
            </w:r>
          </w:p>
        </w:tc>
        <w:tc>
          <w:tcPr>
            <w:tcW w:w="4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Aggregates order and delivery data for demand forecasting and business dashboards.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Operations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Monitoring &amp; Logging (CloudWatch, Prometheus, ELK)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Tracks service health, latency, and errors; enables auto-scaling and incident response.</w:t>
            </w:r>
          </w:p>
        </w:tc>
      </w:tr>
    </w:tbl>
    <w:p w:rsidR="00F20A97" w:rsidRDefault="00F20A97">
      <w:pPr>
        <w:spacing w:after="200"/>
      </w:pP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1.3 Why Cloud Storage for Receipts and Delivery Images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Scalability: </w:t>
      </w:r>
      <w:r>
        <w:rPr>
          <w:sz w:val="22"/>
          <w:szCs w:val="22"/>
        </w:rPr>
        <w:t>Object storage such as Amazon S3 can absorb millions of small image and PDF files daily without capacity planning.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Cost efficiency: </w:t>
      </w:r>
      <w:r>
        <w:rPr>
          <w:sz w:val="22"/>
          <w:szCs w:val="22"/>
        </w:rPr>
        <w:t>Pay-per-GB pricing with lifecycle rules (e.g., move rece</w:t>
      </w:r>
      <w:r>
        <w:rPr>
          <w:sz w:val="22"/>
          <w:szCs w:val="22"/>
        </w:rPr>
        <w:t>ipts older than 90 days to cold/archive tiers) keeps storage costs low.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Secure, direct access: </w:t>
      </w:r>
      <w:r>
        <w:rPr>
          <w:sz w:val="22"/>
          <w:szCs w:val="22"/>
        </w:rPr>
        <w:t>Pre-signed URLs allow the mobile/browser client to upload delivery-proof images directly to storage, bypassing the application server and reducing backend load.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Durability: </w:t>
      </w:r>
      <w:r>
        <w:rPr>
          <w:sz w:val="22"/>
          <w:szCs w:val="22"/>
        </w:rPr>
        <w:t>Object storage offers 99.999999999% (11 nines) durability through automatic replication, which is critical for financial receipts.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1.4 Conclusion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By combining an API-Gateway-fronted microservices layer, an event-driven backbone, managed databas</w:t>
      </w:r>
      <w:r>
        <w:rPr>
          <w:sz w:val="22"/>
          <w:szCs w:val="22"/>
        </w:rPr>
        <w:t>es for transactional data, and object storage for unstructured receipts and images, the food delivery company achieves a scalable, resilient, and cost-effective cloud-native backend that can independently scale each component according to demand.</w:t>
      </w:r>
    </w:p>
    <w:p w:rsidR="00F20A97" w:rsidRDefault="00B41AFC">
      <w:pPr>
        <w:shd w:val="clear" w:color="auto" w:fill="1F3864"/>
        <w:spacing w:before="500" w:after="200"/>
      </w:pPr>
      <w:r>
        <w:rPr>
          <w:b/>
          <w:bCs/>
          <w:color w:val="FFFFFF"/>
          <w:sz w:val="26"/>
          <w:szCs w:val="26"/>
        </w:rPr>
        <w:t xml:space="preserve">  CASE 2:</w:t>
      </w:r>
      <w:r>
        <w:rPr>
          <w:b/>
          <w:bCs/>
          <w:color w:val="FFFFFF"/>
          <w:sz w:val="26"/>
          <w:szCs w:val="26"/>
        </w:rPr>
        <w:t xml:space="preserve"> Storage Deployment Model for a Media Startup's Video Upload Workflow</w:t>
      </w:r>
    </w:p>
    <w:p w:rsidR="00F20A97" w:rsidRDefault="00B41AFC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DCE6F1"/>
        <w:spacing w:after="240"/>
      </w:pPr>
      <w:r>
        <w:rPr>
          <w:b/>
          <w:bCs/>
          <w:i/>
          <w:iCs/>
          <w:color w:val="1F3864"/>
        </w:rPr>
        <w:t xml:space="preserve">Question: </w:t>
      </w:r>
      <w:r>
        <w:rPr>
          <w:i/>
          <w:iCs/>
          <w:color w:val="595959"/>
        </w:rPr>
        <w:t>A media startup must decide between SAN-backed storage, object storage, and serverless processing for video upload workflows. Analyze the case and recommend a deployment model.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2.1 Understanding the Requirements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The startup's core workflow is: creators upload large raw video files, the platform transcodes them into multiple resolutions/formats, generates thumbnails, and finally serves the processed videos to viewers at scale. Ke</w:t>
      </w:r>
      <w:r>
        <w:rPr>
          <w:sz w:val="22"/>
          <w:szCs w:val="22"/>
        </w:rPr>
        <w:t>y requirements are large-object handling, elastic and bursty compute for transcoding, cost efficiency at scale, and global content delivery — all of which must be evaluated against the three candidate technologies.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2.2 Comparative Analysis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2318"/>
        <w:gridCol w:w="2275"/>
        <w:gridCol w:w="2733"/>
      </w:tblGrid>
      <w:tr w:rsidR="00F20A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SAN-Ba</w:t>
            </w:r>
            <w:r>
              <w:rPr>
                <w:b/>
                <w:bCs/>
                <w:color w:val="FFFFFF"/>
              </w:rPr>
              <w:t>cked Storage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Object Storage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Serverless Processing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Best suited for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Low-latency block I/O for databases/VMs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Large, unstructured binary files (raw &amp; processed video)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Event-driven, short-lived compute tasks (transcode triggers, thumbnail generation)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Scalability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Vertical; limited by SAN fabric/capacity, needs manual provisioning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Virtually unlimited, horizontally scalable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Scales automatically per invocation (e.g., AWS Lambda/MediaConvert)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Cost model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High CAPEX/OPEX; pay for provisioned capacity even when idle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Pay-per-GB stored and per-request; supports lifecycle tiering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Pay-per-invocation/compute time; no idle cost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Durability/Availability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Depends on on-prem RAID/replication design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11 nines durability, multi-AZ replication built-in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Inherits durability of storage/services it invokes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Operational overhead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High — requires dedicated storage administrators</w:t>
            </w:r>
          </w:p>
        </w:tc>
        <w:tc>
          <w:tcPr>
            <w:tcW w:w="24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Low — fully managed by cloud provider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Very low — no server management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Fit for video workflow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Poor fit — over-provisioned and costly for bulk unstructured video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Excellent for storing raw and transcoded assets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Excellent for on-demand transcoding, format conversion, thumbnailing</w:t>
            </w:r>
          </w:p>
        </w:tc>
      </w:tr>
    </w:tbl>
    <w:p w:rsidR="00F20A97" w:rsidRDefault="00F20A97">
      <w:pPr>
        <w:spacing w:after="200"/>
      </w:pP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2.3 Recommended Deployment Model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A hybrid, cloud-native pipeline combining object storage with serverless processing is recommended over a SAN-based approach: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Ingest: </w:t>
      </w:r>
      <w:r>
        <w:rPr>
          <w:sz w:val="22"/>
          <w:szCs w:val="22"/>
        </w:rPr>
        <w:t xml:space="preserve">Creators upload raw video directly to an object storage bucket (e.g., Amazon S3) using pre-signed URLs, avoiding the cost </w:t>
      </w:r>
      <w:r>
        <w:rPr>
          <w:sz w:val="22"/>
          <w:szCs w:val="22"/>
        </w:rPr>
        <w:t>and rigidity of SAN capacity planning.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Process: </w:t>
      </w:r>
      <w:r>
        <w:rPr>
          <w:sz w:val="22"/>
          <w:szCs w:val="22"/>
        </w:rPr>
        <w:t>An object-created event automatically triggers a serverless transcoding pipeline (AWS Lambda orchestrating Elastic Transcoder/MediaConvert or a containerized serverless job) to generate adaptive-bitrate rendi</w:t>
      </w:r>
      <w:r>
        <w:rPr>
          <w:sz w:val="22"/>
          <w:szCs w:val="22"/>
        </w:rPr>
        <w:t>tions and thumbnails.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Store &amp; Deliver: </w:t>
      </w:r>
      <w:r>
        <w:rPr>
          <w:sz w:val="22"/>
          <w:szCs w:val="22"/>
        </w:rPr>
        <w:t>Processed renditions are written back to object storage and distributed globally through a CDN, ensuring low-latency playback for viewers.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Where SAN still fits: </w:t>
      </w:r>
      <w:r>
        <w:rPr>
          <w:sz w:val="22"/>
          <w:szCs w:val="22"/>
        </w:rPr>
        <w:t>A SAN-backed volume may be retained only for latency-sensitive, stateful workloads such as an editing-suite database or a transactional metadata store — not for bulk video assets.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2.4 Justification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This model minimises cost because the startup pays only fo</w:t>
      </w:r>
      <w:r>
        <w:rPr>
          <w:sz w:val="22"/>
          <w:szCs w:val="22"/>
        </w:rPr>
        <w:t>r actual storage consumed and actual compute-seconds used during transcoding, rather than provisioning fixed SAN capacity. It also removes operational burden — there is no storage hardware to manage — and it scales automatically during viral traffic spikes</w:t>
      </w:r>
      <w:r>
        <w:rPr>
          <w:sz w:val="22"/>
          <w:szCs w:val="22"/>
        </w:rPr>
        <w:t>, which is essential for a growing media startup with unpredictable upload volumes.</w:t>
      </w:r>
    </w:p>
    <w:p w:rsidR="00F20A97" w:rsidRDefault="00B41AFC">
      <w:pPr>
        <w:shd w:val="clear" w:color="auto" w:fill="1F3864"/>
        <w:spacing w:before="500" w:after="200"/>
      </w:pPr>
      <w:r>
        <w:rPr>
          <w:b/>
          <w:bCs/>
          <w:color w:val="FFFFFF"/>
          <w:sz w:val="26"/>
          <w:szCs w:val="26"/>
        </w:rPr>
        <w:t xml:space="preserve">  CASE 3: Edge and Fog Computing for a Smart City Platform</w:t>
      </w:r>
    </w:p>
    <w:p w:rsidR="00F20A97" w:rsidRDefault="00B41AFC">
      <w:pPr>
        <w:pBdr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pBdr>
        <w:shd w:val="clear" w:color="auto" w:fill="DCE6F1"/>
        <w:spacing w:after="240"/>
      </w:pPr>
      <w:r>
        <w:rPr>
          <w:b/>
          <w:bCs/>
          <w:i/>
          <w:iCs/>
          <w:color w:val="1F3864"/>
        </w:rPr>
        <w:t xml:space="preserve">Question: </w:t>
      </w:r>
      <w:r>
        <w:rPr>
          <w:i/>
          <w:iCs/>
          <w:color w:val="595959"/>
        </w:rPr>
        <w:t>A smart city platform needs low-latency decision making near sensors while still using the cloud for analytics. Analyze the use of edge computing and fog computing in this environment.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3.1 Understanding the Requirements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A smart city platform ingests contin</w:t>
      </w:r>
      <w:r>
        <w:rPr>
          <w:sz w:val="22"/>
          <w:szCs w:val="22"/>
        </w:rPr>
        <w:t>uous data streams from traffic cameras, environmental sensors, streetlights, and public-safety devices distributed across a wide geographic area. Certain decisions — such as changing a traffic signal in response to congestion or triggering an emergency ale</w:t>
      </w:r>
      <w:r>
        <w:rPr>
          <w:sz w:val="22"/>
          <w:szCs w:val="22"/>
        </w:rPr>
        <w:t>rt — must occur within milliseconds, which centralized cloud processing cannot guarantee due to network latency, bandwidth cost, and single points of failure. The platform therefore needs a multi-tier computing architecture.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3.2 Role of Edge Computing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Edge</w:t>
      </w:r>
      <w:r>
        <w:rPr>
          <w:sz w:val="22"/>
          <w:szCs w:val="22"/>
        </w:rPr>
        <w:t xml:space="preserve"> computing places compute capability directly on or adjacent to the sensor/device itself (e.g., a smart camera with an embedded inference chip, or a roadside unit).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Ultra-low latency: </w:t>
      </w:r>
      <w:r>
        <w:rPr>
          <w:sz w:val="22"/>
          <w:szCs w:val="22"/>
        </w:rPr>
        <w:t>Decisions such as detecting a pedestrian and adjusting a signal happen l</w:t>
      </w:r>
      <w:r>
        <w:rPr>
          <w:sz w:val="22"/>
          <w:szCs w:val="22"/>
        </w:rPr>
        <w:t>ocally within milliseconds, without a round trip to the cloud.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Bandwidth reduction: </w:t>
      </w:r>
      <w:r>
        <w:rPr>
          <w:sz w:val="22"/>
          <w:szCs w:val="22"/>
        </w:rPr>
        <w:t>Only summarized events or anomalies (not raw video streams) are forwarded upstream, drastically reducing network load.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Resilience: </w:t>
      </w:r>
      <w:r>
        <w:rPr>
          <w:sz w:val="22"/>
          <w:szCs w:val="22"/>
        </w:rPr>
        <w:t>Critical local functions continue to oper</w:t>
      </w:r>
      <w:r>
        <w:rPr>
          <w:sz w:val="22"/>
          <w:szCs w:val="22"/>
        </w:rPr>
        <w:t>ate even during intermittent connectivity to the wider network.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3.3 Role of Fog Computing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 xml:space="preserve">Fog computing introduces an intermediate layer — typically a local server or gateway at a street junction, district hub, or municipal building — that aggregates data </w:t>
      </w:r>
      <w:r>
        <w:rPr>
          <w:sz w:val="22"/>
          <w:szCs w:val="22"/>
        </w:rPr>
        <w:t>from many edge devices before it is sent to the cloud.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Regional aggregation: </w:t>
      </w:r>
      <w:r>
        <w:rPr>
          <w:sz w:val="22"/>
          <w:szCs w:val="22"/>
        </w:rPr>
        <w:t>A fog node correlates data from multiple traffic-signal edge devices in a neighbourhood to optimize signal timing across an entire corridor, a decision beyond the scope of a singl</w:t>
      </w:r>
      <w:r>
        <w:rPr>
          <w:sz w:val="22"/>
          <w:szCs w:val="22"/>
        </w:rPr>
        <w:t>e edge device.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Pre-processing &amp; filtering: </w:t>
      </w:r>
      <w:r>
        <w:rPr>
          <w:sz w:val="22"/>
          <w:szCs w:val="22"/>
        </w:rPr>
        <w:t>Fog nodes clean, compress, and batch sensor data, sending only relevant summaries to the central cloud, which further reduces bandwidth and cloud storage costs.</w:t>
      </w:r>
    </w:p>
    <w:p w:rsidR="00F20A97" w:rsidRDefault="00B41AFC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Localized storage &amp; buffering: </w:t>
      </w:r>
      <w:r>
        <w:rPr>
          <w:sz w:val="22"/>
          <w:szCs w:val="22"/>
        </w:rPr>
        <w:t xml:space="preserve">Fog nodes can buffer </w:t>
      </w:r>
      <w:r>
        <w:rPr>
          <w:sz w:val="22"/>
          <w:szCs w:val="22"/>
        </w:rPr>
        <w:t>data during connectivity outages and forward it once the link is restored, improving reliability.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3.4 Role of the Cloud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The cloud tier is reserved for tasks that are not latency-sensitive but require large-scale computation and historical context: long-ter</w:t>
      </w:r>
      <w:r>
        <w:rPr>
          <w:sz w:val="22"/>
          <w:szCs w:val="22"/>
        </w:rPr>
        <w:t>m storage of aggregated sensor data, city-wide analytics and dashboards, machine-learning model training (e.g., predictive traffic modelling), and cross-department reporting. Updated ML models can then be pushed back down to edge and fog nodes for local in</w:t>
      </w:r>
      <w:r>
        <w:rPr>
          <w:sz w:val="22"/>
          <w:szCs w:val="22"/>
        </w:rPr>
        <w:t>ference.</w:t>
      </w: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3.5 Proposed Three-Tier Flow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000"/>
        <w:gridCol w:w="3000"/>
      </w:tblGrid>
      <w:tr w:rsidR="00F20A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Latency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b/>
                <w:bCs/>
                <w:color w:val="FFFFFF"/>
              </w:rPr>
              <w:t>Typical Function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Edge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On/near the sensor (camera, IoT node)</w:t>
            </w:r>
          </w:p>
        </w:tc>
        <w:tc>
          <w:tcPr>
            <w:tcW w:w="2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Milliseconds</w:t>
            </w:r>
          </w:p>
        </w:tc>
        <w:tc>
          <w:tcPr>
            <w:tcW w:w="3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Immediate local decisions — signal control, anomaly detection, safety alerts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Fog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Neighbourhood gateway / district server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Tens of milliseconds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Regional aggregation, filtering, short-term buffering, corridor-level coordination</w:t>
            </w:r>
          </w:p>
        </w:tc>
      </w:tr>
      <w:tr w:rsidR="00F20A9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Cloud</w:t>
            </w:r>
          </w:p>
        </w:tc>
        <w:tc>
          <w:tcPr>
            <w:tcW w:w="28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Centralized data centre</w:t>
            </w:r>
          </w:p>
        </w:tc>
        <w:tc>
          <w:tcPr>
            <w:tcW w:w="2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Hundreds of ms – seconds</w:t>
            </w:r>
          </w:p>
        </w:tc>
        <w:tc>
          <w:tcPr>
            <w:tcW w:w="30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20A97" w:rsidRDefault="00B41AFC">
            <w:r>
              <w:rPr>
                <w:color w:val="000000"/>
              </w:rPr>
              <w:t>City-wide analytics, historical storage, ML model training, dashboards</w:t>
            </w:r>
          </w:p>
        </w:tc>
      </w:tr>
    </w:tbl>
    <w:p w:rsidR="00F20A97" w:rsidRDefault="00F20A97">
      <w:pPr>
        <w:spacing w:after="200"/>
      </w:pPr>
    </w:p>
    <w:p w:rsidR="00F20A97" w:rsidRDefault="00B41AFC">
      <w:pPr>
        <w:pStyle w:val="Heading2"/>
        <w:spacing w:before="260" w:after="120"/>
      </w:pPr>
      <w:r>
        <w:rPr>
          <w:b/>
          <w:bCs/>
          <w:sz w:val="24"/>
          <w:szCs w:val="24"/>
        </w:rPr>
        <w:t>3.6 Conclusion</w:t>
      </w:r>
    </w:p>
    <w:p w:rsidR="00F20A97" w:rsidRDefault="00B41AFC">
      <w:pPr>
        <w:spacing w:after="160" w:line="276" w:lineRule="auto"/>
        <w:jc w:val="both"/>
      </w:pPr>
      <w:r>
        <w:rPr>
          <w:sz w:val="22"/>
          <w:szCs w:val="22"/>
        </w:rPr>
        <w:t>For a smart city platform, edge computing satisfies real-time, safety-critical local decisions; fog computing bridges the gap by aggregating and coordinating across nearby edge nodes; and the cloud handles city-scale analytics and long-term intelligence. T</w:t>
      </w:r>
      <w:r>
        <w:rPr>
          <w:sz w:val="22"/>
          <w:szCs w:val="22"/>
        </w:rPr>
        <w:t>his tiered edge–fog–cloud architecture minimizes latency where it matters most while retaining the analytical power and storage economics of the cloud for strategic decision-making.</w:t>
      </w:r>
    </w:p>
    <w:p w:rsidR="00F20A97" w:rsidRDefault="00F20A97">
      <w:pPr>
        <w:spacing w:before="500"/>
      </w:pPr>
    </w:p>
    <w:p w:rsidR="00F20A97" w:rsidRDefault="00F20A97">
      <w:pPr>
        <w:pBdr>
          <w:top w:val="single" w:sz="4" w:space="8" w:color="595959"/>
        </w:pBdr>
        <w:spacing w:before="200"/>
      </w:pPr>
      <w:bookmarkStart w:id="0" w:name="_GoBack"/>
      <w:bookmarkEnd w:id="0"/>
    </w:p>
    <w:sectPr w:rsidR="00F20A9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1AFC">
      <w:r>
        <w:separator/>
      </w:r>
    </w:p>
  </w:endnote>
  <w:endnote w:type="continuationSeparator" w:id="0">
    <w:p w:rsidR="00000000" w:rsidRDefault="00B41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0A97" w:rsidRDefault="00B41AF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77794A">
      <w:rPr>
        <w:color w:val="595959"/>
        <w:sz w:val="16"/>
        <w:szCs w:val="16"/>
      </w:rPr>
      <w:fldChar w:fldCharType="separate"/>
    </w:r>
    <w:r w:rsidR="00CC135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77794A">
      <w:rPr>
        <w:color w:val="595959"/>
        <w:sz w:val="16"/>
        <w:szCs w:val="16"/>
      </w:rPr>
      <w:fldChar w:fldCharType="separate"/>
    </w:r>
    <w:r w:rsidR="00CC1357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1AFC">
      <w:r>
        <w:separator/>
      </w:r>
    </w:p>
  </w:footnote>
  <w:footnote w:type="continuationSeparator" w:id="0">
    <w:p w:rsidR="00000000" w:rsidRDefault="00B41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0A97" w:rsidRDefault="00F20A9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E5AE4"/>
    <w:multiLevelType w:val="hybridMultilevel"/>
    <w:tmpl w:val="3886D660"/>
    <w:lvl w:ilvl="0" w:tplc="D6121C12">
      <w:start w:val="1"/>
      <w:numFmt w:val="bullet"/>
      <w:lvlText w:val="●"/>
      <w:lvlJc w:val="left"/>
      <w:pPr>
        <w:ind w:left="720" w:hanging="360"/>
      </w:pPr>
    </w:lvl>
    <w:lvl w:ilvl="1" w:tplc="2FD43988">
      <w:start w:val="1"/>
      <w:numFmt w:val="bullet"/>
      <w:lvlText w:val="○"/>
      <w:lvlJc w:val="left"/>
      <w:pPr>
        <w:ind w:left="1440" w:hanging="360"/>
      </w:pPr>
    </w:lvl>
    <w:lvl w:ilvl="2" w:tplc="8018AC84">
      <w:start w:val="1"/>
      <w:numFmt w:val="bullet"/>
      <w:lvlText w:val="■"/>
      <w:lvlJc w:val="left"/>
      <w:pPr>
        <w:ind w:left="2160" w:hanging="360"/>
      </w:pPr>
    </w:lvl>
    <w:lvl w:ilvl="3" w:tplc="C76274B4">
      <w:start w:val="1"/>
      <w:numFmt w:val="bullet"/>
      <w:lvlText w:val="●"/>
      <w:lvlJc w:val="left"/>
      <w:pPr>
        <w:ind w:left="2880" w:hanging="360"/>
      </w:pPr>
    </w:lvl>
    <w:lvl w:ilvl="4" w:tplc="AE208EDA">
      <w:start w:val="1"/>
      <w:numFmt w:val="bullet"/>
      <w:lvlText w:val="○"/>
      <w:lvlJc w:val="left"/>
      <w:pPr>
        <w:ind w:left="3600" w:hanging="360"/>
      </w:pPr>
    </w:lvl>
    <w:lvl w:ilvl="5" w:tplc="CE1243D2">
      <w:start w:val="1"/>
      <w:numFmt w:val="bullet"/>
      <w:lvlText w:val="■"/>
      <w:lvlJc w:val="left"/>
      <w:pPr>
        <w:ind w:left="4320" w:hanging="360"/>
      </w:pPr>
    </w:lvl>
    <w:lvl w:ilvl="6" w:tplc="2ABE32C0">
      <w:start w:val="1"/>
      <w:numFmt w:val="bullet"/>
      <w:lvlText w:val="●"/>
      <w:lvlJc w:val="left"/>
      <w:pPr>
        <w:ind w:left="5040" w:hanging="360"/>
      </w:pPr>
    </w:lvl>
    <w:lvl w:ilvl="7" w:tplc="44C46A6C">
      <w:start w:val="1"/>
      <w:numFmt w:val="bullet"/>
      <w:lvlText w:val="●"/>
      <w:lvlJc w:val="left"/>
      <w:pPr>
        <w:ind w:left="5760" w:hanging="360"/>
      </w:pPr>
    </w:lvl>
    <w:lvl w:ilvl="8" w:tplc="3C0E5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EC2B76"/>
    <w:multiLevelType w:val="hybridMultilevel"/>
    <w:tmpl w:val="0268911C"/>
    <w:lvl w:ilvl="0" w:tplc="697423F4">
      <w:start w:val="1"/>
      <w:numFmt w:val="bullet"/>
      <w:lvlText w:val="●"/>
      <w:lvlJc w:val="left"/>
      <w:pPr>
        <w:ind w:left="450" w:hanging="260"/>
      </w:pPr>
    </w:lvl>
    <w:lvl w:ilvl="1" w:tplc="B7165644">
      <w:start w:val="1"/>
      <w:numFmt w:val="bullet"/>
      <w:lvlText w:val="◦"/>
      <w:lvlJc w:val="left"/>
      <w:pPr>
        <w:ind w:left="900" w:hanging="260"/>
      </w:pPr>
    </w:lvl>
    <w:lvl w:ilvl="2" w:tplc="EBDAC6DA">
      <w:numFmt w:val="decimal"/>
      <w:lvlText w:val=""/>
      <w:lvlJc w:val="left"/>
    </w:lvl>
    <w:lvl w:ilvl="3" w:tplc="2FECD690">
      <w:numFmt w:val="decimal"/>
      <w:lvlText w:val=""/>
      <w:lvlJc w:val="left"/>
    </w:lvl>
    <w:lvl w:ilvl="4" w:tplc="CFB017FC">
      <w:numFmt w:val="decimal"/>
      <w:lvlText w:val=""/>
      <w:lvlJc w:val="left"/>
    </w:lvl>
    <w:lvl w:ilvl="5" w:tplc="94782ECE">
      <w:numFmt w:val="decimal"/>
      <w:lvlText w:val=""/>
      <w:lvlJc w:val="left"/>
    </w:lvl>
    <w:lvl w:ilvl="6" w:tplc="1B4A316E">
      <w:numFmt w:val="decimal"/>
      <w:lvlText w:val=""/>
      <w:lvlJc w:val="left"/>
    </w:lvl>
    <w:lvl w:ilvl="7" w:tplc="9D403C1E">
      <w:numFmt w:val="decimal"/>
      <w:lvlText w:val=""/>
      <w:lvlJc w:val="left"/>
    </w:lvl>
    <w:lvl w:ilvl="8" w:tplc="CA14EF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A97"/>
    <w:rsid w:val="0077794A"/>
    <w:rsid w:val="00B41AFC"/>
    <w:rsid w:val="00CC1357"/>
    <w:rsid w:val="00F20A97"/>
    <w:rsid w:val="00FA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5804"/>
  <w15:docId w15:val="{2DBF27CC-454C-4980-8472-6F8E2FAA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79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94A"/>
  </w:style>
  <w:style w:type="paragraph" w:styleId="Footer">
    <w:name w:val="footer"/>
    <w:basedOn w:val="Normal"/>
    <w:link w:val="FooterChar"/>
    <w:uiPriority w:val="99"/>
    <w:unhideWhenUsed/>
    <w:rsid w:val="007779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2026-08-12T14:20:00Z</dcterms:created>
  <dcterms:modified xsi:type="dcterms:W3CDTF">2026-08-12T14:20:00Z</dcterms:modified>
</cp:coreProperties>
</file>