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1F4D" w:rsidRDefault="00981F4D">
      <w:pPr>
        <w:spacing w:after="260"/>
      </w:pPr>
    </w:p>
    <w:p w:rsidR="00981F4D" w:rsidRDefault="00C32B5A">
      <w:pPr>
        <w:pStyle w:val="Heading1"/>
        <w:pBdr>
          <w:bottom w:val="single" w:sz="6" w:space="4" w:color="2E74B5"/>
        </w:pBdr>
        <w:spacing w:before="100" w:after="200"/>
      </w:pPr>
      <w:r>
        <w:rPr>
          <w:b/>
          <w:bCs/>
          <w:color w:val="1F3864"/>
          <w:sz w:val="28"/>
          <w:szCs w:val="28"/>
        </w:rPr>
        <w:t>Answer Key with Explanations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"/>
        <w:gridCol w:w="2900"/>
        <w:gridCol w:w="1900"/>
        <w:gridCol w:w="4150"/>
      </w:tblGrid>
      <w:tr w:rsidR="00981F4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2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FFFFFF"/>
              </w:rPr>
              <w:t>Question (Summary)</w:t>
            </w:r>
          </w:p>
        </w:tc>
        <w:tc>
          <w:tcPr>
            <w:tcW w:w="190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FFFFFF"/>
              </w:rPr>
              <w:t>Correct Answer</w:t>
            </w:r>
          </w:p>
        </w:tc>
        <w:tc>
          <w:tcPr>
            <w:tcW w:w="4150" w:type="dxa"/>
            <w:shd w:val="clear" w:color="auto" w:fill="1F3864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FFFFFF"/>
              </w:rPr>
              <w:t>Explanation</w:t>
            </w:r>
          </w:p>
        </w:tc>
      </w:tr>
      <w:tr w:rsidR="00981F4D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290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Best storage model for VM disks</w:t>
            </w:r>
          </w:p>
        </w:tc>
        <w:tc>
          <w:tcPr>
            <w:tcW w:w="190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2E7D32"/>
              </w:rPr>
              <w:t>B. Block storage</w:t>
            </w:r>
          </w:p>
        </w:tc>
        <w:tc>
          <w:tcPr>
            <w:tcW w:w="415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Block storage exposes raw, low-latency addressable blocks that a hypervisor formats and mounts like a physical disk — exactly what a VM's OS/boot volume needs</w:t>
            </w:r>
            <w:r>
              <w:rPr>
                <w:color w:val="000000"/>
              </w:rPr>
              <w:t>.</w:t>
            </w:r>
          </w:p>
        </w:tc>
      </w:tr>
      <w:tr w:rsidR="00981F4D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Lightweight web API protocol style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2E7D32"/>
              </w:rPr>
              <w:t>B. REST</w:t>
            </w:r>
          </w:p>
        </w:tc>
        <w:tc>
          <w:tcPr>
            <w:tcW w:w="41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REST uses simple, stateless HTTP verbs (GET/POST/PUT/DELETE) and JSON, making it lightweight and the most widely used style for cloud web APIs.</w:t>
            </w:r>
          </w:p>
        </w:tc>
      </w:tr>
      <w:tr w:rsidR="00981F4D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290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Serverless computing described as</w:t>
            </w:r>
          </w:p>
        </w:tc>
        <w:tc>
          <w:tcPr>
            <w:tcW w:w="190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2E7D32"/>
              </w:rPr>
              <w:t>B. Running code without managing servers directly</w:t>
            </w:r>
          </w:p>
        </w:tc>
        <w:tc>
          <w:tcPr>
            <w:tcW w:w="415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Serverless (e.g., AWS Lambda) lets developers deploy functions while the provider handles provisioning, scaling, and server management.</w:t>
            </w:r>
          </w:p>
        </w:tc>
      </w:tr>
      <w:tr w:rsidR="00981F4D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Edge computing primarily helps by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2E7D32"/>
              </w:rPr>
              <w:t>B. Reducing latency near data sources</w:t>
            </w:r>
          </w:p>
        </w:tc>
        <w:tc>
          <w:tcPr>
            <w:tcW w:w="41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Processing occurs physically close to the sensor/device, avoiding a round trip to a distant data centre and cutting response time.</w:t>
            </w:r>
          </w:p>
        </w:tc>
      </w:tr>
      <w:tr w:rsidR="00981F4D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290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How fog differs from edge computing</w:t>
            </w:r>
          </w:p>
        </w:tc>
        <w:tc>
          <w:tcPr>
            <w:tcW w:w="190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2E7D32"/>
              </w:rPr>
              <w:t>B. Introduces an intermediate distributed layer between edge and cloud</w:t>
            </w:r>
          </w:p>
        </w:tc>
        <w:tc>
          <w:tcPr>
            <w:tcW w:w="415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Fog nodes (gateways/local servers) sit between edge devices and the cloud, aggregating and pre-processing data from multiple edge points.</w:t>
            </w:r>
          </w:p>
        </w:tc>
      </w:tr>
      <w:tr w:rsidR="00981F4D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Storage model for shared departmental files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2E7D32"/>
              </w:rPr>
              <w:t>A. File storage</w:t>
            </w:r>
          </w:p>
        </w:tc>
        <w:tc>
          <w:tcPr>
            <w:tcW w:w="41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File storage (e.g., NFS/SMB shares, Azure Files) organizes data in a familiar folder/file hierarchy ideal for shared team access.</w:t>
            </w:r>
          </w:p>
        </w:tc>
      </w:tr>
      <w:tr w:rsidR="00981F4D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290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Browser-to-cloud-app communication uses</w:t>
            </w:r>
          </w:p>
        </w:tc>
        <w:tc>
          <w:tcPr>
            <w:tcW w:w="190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2E7D32"/>
              </w:rPr>
              <w:t>B. Web APIs</w:t>
            </w:r>
          </w:p>
        </w:tc>
        <w:tc>
          <w:tcPr>
            <w:tcW w:w="415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Browsers call backend services through HTTP-based Web APIs (REST/GraphQL) to fetch and update data.</w:t>
            </w:r>
          </w:p>
        </w:tc>
      </w:tr>
      <w:tr w:rsidR="00981F4D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SAN stands for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2E7D32"/>
              </w:rPr>
              <w:t>B. Storage Area Network</w:t>
            </w:r>
          </w:p>
        </w:tc>
        <w:tc>
          <w:tcPr>
            <w:tcW w:w="41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A SAN is a dedicated high-speed network that provides block-level access to consolidated storage devices.</w:t>
            </w:r>
          </w:p>
        </w:tc>
      </w:tr>
      <w:tr w:rsidR="00981F4D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290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Common benefit of serverless architecture</w:t>
            </w:r>
          </w:p>
        </w:tc>
        <w:tc>
          <w:tcPr>
            <w:tcW w:w="190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2E7D32"/>
              </w:rPr>
              <w:t>B. Pay-per-use execution model</w:t>
            </w:r>
          </w:p>
        </w:tc>
        <w:tc>
          <w:tcPr>
            <w:tcW w:w="415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Billing is based on actual invocations/execution time rather than pre-provisioned, always-on server capacity.</w:t>
            </w:r>
          </w:p>
        </w:tc>
      </w:tr>
      <w:tr w:rsidR="00981F4D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Cloud collaboration usually improves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2E7D32"/>
              </w:rPr>
              <w:t>A. Shared access to services and documents</w:t>
            </w:r>
          </w:p>
        </w:tc>
        <w:tc>
          <w:tcPr>
            <w:tcW w:w="41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Cloud platforms centralize data and applications so multiple users can access and co-edit the same resources in real time.</w:t>
            </w:r>
          </w:p>
        </w:tc>
      </w:tr>
      <w:tr w:rsidR="00981F4D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290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Example of a platform service (PaaS)</w:t>
            </w:r>
          </w:p>
        </w:tc>
        <w:tc>
          <w:tcPr>
            <w:tcW w:w="190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2E7D32"/>
              </w:rPr>
              <w:t>A. Managed application runtime</w:t>
            </w:r>
          </w:p>
        </w:tc>
        <w:tc>
          <w:tcPr>
            <w:tcW w:w="415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PaaS offerings (e.g., managed app runtimes, databases) let developers deploy code without managing the underlying OS or infrastructure.</w:t>
            </w:r>
          </w:p>
        </w:tc>
      </w:tr>
      <w:tr w:rsidR="00981F4D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Object storage is generally preferred for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2E7D32"/>
              </w:rPr>
              <w:t>B. Large unstructured cloud data such as images and backups</w:t>
            </w:r>
          </w:p>
        </w:tc>
        <w:tc>
          <w:tcPr>
            <w:tcW w:w="41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Object storage (e.g., S3) scales to massive volumes of unstructured data with rich metadata, ideal for images, videos, and backups.</w:t>
            </w:r>
          </w:p>
        </w:tc>
      </w:tr>
      <w:tr w:rsidR="00981F4D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color w:val="000000"/>
              </w:rPr>
              <w:lastRenderedPageBreak/>
              <w:t>13</w:t>
            </w:r>
          </w:p>
        </w:tc>
        <w:tc>
          <w:tcPr>
            <w:tcW w:w="290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Component for programmatic cloud communication</w:t>
            </w:r>
          </w:p>
        </w:tc>
        <w:tc>
          <w:tcPr>
            <w:tcW w:w="190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2E7D32"/>
              </w:rPr>
              <w:t>B. Web API</w:t>
            </w:r>
          </w:p>
        </w:tc>
        <w:tc>
          <w:tcPr>
            <w:tcW w:w="415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Web APIs expose defined endpoints that applications call to interact with cloud services programmatically.</w:t>
            </w:r>
          </w:p>
        </w:tc>
      </w:tr>
      <w:tr w:rsidR="00981F4D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2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Best fit for low-latency smart factory use case</w:t>
            </w:r>
          </w:p>
        </w:tc>
        <w:tc>
          <w:tcPr>
            <w:tcW w:w="190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2E7D32"/>
              </w:rPr>
              <w:t>A. Edge computing</w:t>
            </w:r>
          </w:p>
        </w:tc>
        <w:tc>
          <w:tcPr>
            <w:tcW w:w="4150" w:type="dxa"/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On-site edge processing enables real-time control/inspection decisions on the factory floor without cloud round-trip delay.</w:t>
            </w:r>
          </w:p>
        </w:tc>
      </w:tr>
      <w:tr w:rsidR="00981F4D">
        <w:tblPrEx>
          <w:tblCellMar>
            <w:top w:w="0" w:type="dxa"/>
            <w:bottom w:w="0" w:type="dxa"/>
          </w:tblCellMar>
        </w:tblPrEx>
        <w:tc>
          <w:tcPr>
            <w:tcW w:w="65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290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Not a typical cloud access method</w:t>
            </w:r>
          </w:p>
        </w:tc>
        <w:tc>
          <w:tcPr>
            <w:tcW w:w="190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pPr>
              <w:jc w:val="center"/>
            </w:pPr>
            <w:r>
              <w:rPr>
                <w:b/>
                <w:bCs/>
                <w:color w:val="2E7D32"/>
              </w:rPr>
              <w:t>D. Paper-based access</w:t>
            </w:r>
          </w:p>
        </w:tc>
        <w:tc>
          <w:tcPr>
            <w:tcW w:w="4150" w:type="dxa"/>
            <w:shd w:val="clear" w:color="auto" w:fill="F2F6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:rsidR="00981F4D" w:rsidRDefault="00C32B5A">
            <w:r>
              <w:rPr>
                <w:color w:val="000000"/>
              </w:rPr>
              <w:t>Cloud services are accessed digitally — via browser, API, or console — not through paper-based methods.</w:t>
            </w:r>
          </w:p>
        </w:tc>
      </w:tr>
    </w:tbl>
    <w:p w:rsidR="00981F4D" w:rsidRDefault="00981F4D">
      <w:pPr>
        <w:pBdr>
          <w:top w:val="single" w:sz="4" w:space="8" w:color="595959"/>
        </w:pBdr>
        <w:spacing w:before="200"/>
      </w:pPr>
      <w:bookmarkStart w:id="0" w:name="_GoBack"/>
      <w:bookmarkEnd w:id="0"/>
    </w:p>
    <w:sectPr w:rsidR="00981F4D">
      <w:headerReference w:type="default" r:id="rId7"/>
      <w:footerReference w:type="default" r:id="rId8"/>
      <w:pgSz w:w="12240" w:h="15840"/>
      <w:pgMar w:top="1080" w:right="1000" w:bottom="108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2B5A" w:rsidRDefault="00C32B5A">
      <w:r>
        <w:separator/>
      </w:r>
    </w:p>
  </w:endnote>
  <w:endnote w:type="continuationSeparator" w:id="0">
    <w:p w:rsidR="00C32B5A" w:rsidRDefault="00C32B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F4D" w:rsidRDefault="00C32B5A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 w:rsidR="00FF46CC">
      <w:rPr>
        <w:color w:val="595959"/>
        <w:sz w:val="16"/>
        <w:szCs w:val="16"/>
      </w:rPr>
      <w:fldChar w:fldCharType="separate"/>
    </w:r>
    <w:r w:rsidR="00FF46CC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 w:rsidR="00FF46CC">
      <w:rPr>
        <w:color w:val="595959"/>
        <w:sz w:val="16"/>
        <w:szCs w:val="16"/>
      </w:rPr>
      <w:fldChar w:fldCharType="separate"/>
    </w:r>
    <w:r w:rsidR="00FF46CC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2B5A" w:rsidRDefault="00C32B5A">
      <w:r>
        <w:separator/>
      </w:r>
    </w:p>
  </w:footnote>
  <w:footnote w:type="continuationSeparator" w:id="0">
    <w:p w:rsidR="00C32B5A" w:rsidRDefault="00C32B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1F4D" w:rsidRDefault="00981F4D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4976D9"/>
    <w:multiLevelType w:val="hybridMultilevel"/>
    <w:tmpl w:val="8C3098F8"/>
    <w:lvl w:ilvl="0" w:tplc="06D0ABB6">
      <w:start w:val="1"/>
      <w:numFmt w:val="bullet"/>
      <w:lvlText w:val="●"/>
      <w:lvlJc w:val="left"/>
      <w:pPr>
        <w:ind w:left="720" w:hanging="360"/>
      </w:pPr>
    </w:lvl>
    <w:lvl w:ilvl="1" w:tplc="FA461764">
      <w:start w:val="1"/>
      <w:numFmt w:val="bullet"/>
      <w:lvlText w:val="○"/>
      <w:lvlJc w:val="left"/>
      <w:pPr>
        <w:ind w:left="1440" w:hanging="360"/>
      </w:pPr>
    </w:lvl>
    <w:lvl w:ilvl="2" w:tplc="B572500E">
      <w:start w:val="1"/>
      <w:numFmt w:val="bullet"/>
      <w:lvlText w:val="■"/>
      <w:lvlJc w:val="left"/>
      <w:pPr>
        <w:ind w:left="2160" w:hanging="360"/>
      </w:pPr>
    </w:lvl>
    <w:lvl w:ilvl="3" w:tplc="89087FDC">
      <w:start w:val="1"/>
      <w:numFmt w:val="bullet"/>
      <w:lvlText w:val="●"/>
      <w:lvlJc w:val="left"/>
      <w:pPr>
        <w:ind w:left="2880" w:hanging="360"/>
      </w:pPr>
    </w:lvl>
    <w:lvl w:ilvl="4" w:tplc="A4B06B76">
      <w:start w:val="1"/>
      <w:numFmt w:val="bullet"/>
      <w:lvlText w:val="○"/>
      <w:lvlJc w:val="left"/>
      <w:pPr>
        <w:ind w:left="3600" w:hanging="360"/>
      </w:pPr>
    </w:lvl>
    <w:lvl w:ilvl="5" w:tplc="0D68B2FC">
      <w:start w:val="1"/>
      <w:numFmt w:val="bullet"/>
      <w:lvlText w:val="■"/>
      <w:lvlJc w:val="left"/>
      <w:pPr>
        <w:ind w:left="4320" w:hanging="360"/>
      </w:pPr>
    </w:lvl>
    <w:lvl w:ilvl="6" w:tplc="1466049A">
      <w:start w:val="1"/>
      <w:numFmt w:val="bullet"/>
      <w:lvlText w:val="●"/>
      <w:lvlJc w:val="left"/>
      <w:pPr>
        <w:ind w:left="5040" w:hanging="360"/>
      </w:pPr>
    </w:lvl>
    <w:lvl w:ilvl="7" w:tplc="EA3EFBE4">
      <w:start w:val="1"/>
      <w:numFmt w:val="bullet"/>
      <w:lvlText w:val="●"/>
      <w:lvlJc w:val="left"/>
      <w:pPr>
        <w:ind w:left="5760" w:hanging="360"/>
      </w:pPr>
    </w:lvl>
    <w:lvl w:ilvl="8" w:tplc="10C47AD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1F4D"/>
    <w:rsid w:val="00981F4D"/>
    <w:rsid w:val="00C32B5A"/>
    <w:rsid w:val="00FF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C610E"/>
  <w15:docId w15:val="{E8A899A6-4FB7-4A6E-AA01-03F0BB824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F46C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F46CC"/>
  </w:style>
  <w:style w:type="paragraph" w:styleId="Footer">
    <w:name w:val="footer"/>
    <w:basedOn w:val="Normal"/>
    <w:link w:val="FooterChar"/>
    <w:uiPriority w:val="99"/>
    <w:unhideWhenUsed/>
    <w:rsid w:val="00FF46C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F46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2026-08-12T14:17:00Z</dcterms:created>
  <dcterms:modified xsi:type="dcterms:W3CDTF">2026-08-12T14:17:00Z</dcterms:modified>
</cp:coreProperties>
</file>