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BD179">
      <w:pPr>
        <w:pStyle w:val="2"/>
      </w:pPr>
      <w:r>
        <w:rPr>
          <w:color w:val="1F4E79"/>
        </w:rPr>
        <w:t>SIMATS</w:t>
      </w:r>
      <w:r>
        <w:rPr>
          <w:color w:val="1F4E79"/>
          <w:spacing w:val="-12"/>
        </w:rPr>
        <w:t xml:space="preserve"> </w:t>
      </w:r>
      <w:r>
        <w:rPr>
          <w:color w:val="1F4E79"/>
        </w:rPr>
        <w:t>ENGINEERING</w:t>
      </w:r>
      <w:r>
        <w:rPr>
          <w:color w:val="1F4E79"/>
          <w:spacing w:val="-14"/>
        </w:rPr>
        <w:t xml:space="preserve"> </w:t>
      </w:r>
      <w:r>
        <w:rPr>
          <w:color w:val="1F4E79"/>
        </w:rPr>
        <w:t>(SAVEETHA</w:t>
      </w:r>
      <w:r>
        <w:rPr>
          <w:color w:val="1F4E79"/>
          <w:spacing w:val="-14"/>
        </w:rPr>
        <w:t xml:space="preserve"> </w:t>
      </w:r>
      <w:r>
        <w:rPr>
          <w:color w:val="1F4E79"/>
        </w:rPr>
        <w:t>SCHOOL</w:t>
      </w:r>
      <w:r>
        <w:rPr>
          <w:color w:val="1F4E79"/>
          <w:spacing w:val="-12"/>
        </w:rPr>
        <w:t xml:space="preserve"> </w:t>
      </w:r>
      <w:r>
        <w:rPr>
          <w:color w:val="1F4E79"/>
        </w:rPr>
        <w:t>OF</w:t>
      </w:r>
      <w:r>
        <w:rPr>
          <w:color w:val="1F4E79"/>
          <w:spacing w:val="-13"/>
        </w:rPr>
        <w:t xml:space="preserve"> </w:t>
      </w:r>
      <w:r>
        <w:rPr>
          <w:color w:val="1F4E79"/>
          <w:spacing w:val="-2"/>
        </w:rPr>
        <w:t>ENGINEERING)</w:t>
      </w:r>
    </w:p>
    <w:p w14:paraId="53A828BF">
      <w:pPr>
        <w:pStyle w:val="4"/>
        <w:ind w:left="6" w:right="362" w:firstLine="0"/>
        <w:jc w:val="center"/>
      </w:pPr>
      <w:r>
        <w:rPr>
          <w:color w:val="2D75B6"/>
        </w:rPr>
        <w:t>Department</w:t>
      </w:r>
      <w:r>
        <w:rPr>
          <w:color w:val="2D75B6"/>
          <w:spacing w:val="-5"/>
        </w:rPr>
        <w:t xml:space="preserve"> </w:t>
      </w:r>
      <w:r>
        <w:rPr>
          <w:color w:val="2D75B6"/>
        </w:rPr>
        <w:t>of</w:t>
      </w:r>
      <w:r>
        <w:rPr>
          <w:color w:val="2D75B6"/>
          <w:spacing w:val="-4"/>
        </w:rPr>
        <w:t xml:space="preserve"> </w:t>
      </w:r>
      <w:r>
        <w:rPr>
          <w:color w:val="2D75B6"/>
        </w:rPr>
        <w:t>Computer</w:t>
      </w:r>
      <w:r>
        <w:rPr>
          <w:color w:val="2D75B6"/>
          <w:spacing w:val="-6"/>
        </w:rPr>
        <w:t xml:space="preserve"> </w:t>
      </w:r>
      <w:r>
        <w:rPr>
          <w:color w:val="2D75B6"/>
        </w:rPr>
        <w:t>Science</w:t>
      </w:r>
      <w:r>
        <w:rPr>
          <w:color w:val="2D75B6"/>
          <w:spacing w:val="-4"/>
        </w:rPr>
        <w:t xml:space="preserve"> </w:t>
      </w:r>
      <w:r>
        <w:rPr>
          <w:color w:val="2D75B6"/>
        </w:rPr>
        <w:t>and</w:t>
      </w:r>
      <w:r>
        <w:rPr>
          <w:color w:val="2D75B6"/>
          <w:spacing w:val="-4"/>
        </w:rPr>
        <w:t xml:space="preserve"> </w:t>
      </w:r>
      <w:r>
        <w:rPr>
          <w:color w:val="2D75B6"/>
          <w:spacing w:val="-2"/>
        </w:rPr>
        <w:t>Engineering</w:t>
      </w:r>
    </w:p>
    <w:p w14:paraId="6E43D0A8">
      <w:pPr>
        <w:pStyle w:val="3"/>
        <w:spacing w:line="276" w:lineRule="exact"/>
        <w:ind w:right="362"/>
        <w:jc w:val="center"/>
      </w:pPr>
      <w:bookmarkStart w:id="0" w:name="_GoBack"/>
      <w:r>
        <mc:AlternateContent>
          <mc:Choice Requires="wps">
            <w:drawing>
              <wp:anchor distT="0" distB="0" distL="0" distR="0" simplePos="0" relativeHeight="251660288" behindDoc="1" locked="0" layoutInCell="1" allowOverlap="1">
                <wp:simplePos x="0" y="0"/>
                <wp:positionH relativeFrom="page">
                  <wp:posOffset>667385</wp:posOffset>
                </wp:positionH>
                <wp:positionV relativeFrom="paragraph">
                  <wp:posOffset>187325</wp:posOffset>
                </wp:positionV>
                <wp:extent cx="6438900" cy="9525"/>
                <wp:effectExtent l="0" t="0" r="0" b="0"/>
                <wp:wrapTopAndBottom/>
                <wp:docPr id="17" name="Graphic 1"/>
                <wp:cNvGraphicFramePr/>
                <a:graphic xmlns:a="http://schemas.openxmlformats.org/drawingml/2006/main">
                  <a:graphicData uri="http://schemas.microsoft.com/office/word/2010/wordprocessingShape">
                    <wps:wsp>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52.55pt;margin-top:14.75pt;height:0.75pt;width:507pt;mso-position-horizontal-relative:page;mso-wrap-distance-bottom:0pt;mso-wrap-distance-top:0pt;z-index:-251656192;mso-width-relative:page;mso-height-relative:page;" fillcolor="#1F4E79" filled="t" stroked="f" coordsize="6438900,9525" o:gfxdata="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Q&#10;EHMt1wAAAAoBAAAPAAAAAAAAAAEAIAAAACIAAABkcnMvZG93bnJldi54bWxQSwECFAAUAAAACACH&#10;TuJApFRhvyUCAADdBAAADgAAAAAAAAABACAAAAAmAQAAZHJzL2Uyb0RvYy54bWxQSwUGAAAAAAYA&#10;BgBZAQAAvQUAAAAA&#10;" path="m6438645,0l0,0,0,9144,6438645,9144,6438645,0xe">
                <v:fill on="t" focussize="0,0"/>
                <v:stroke on="f"/>
                <v:imagedata o:title=""/>
                <o:lock v:ext="edit" aspectratio="f"/>
                <v:textbox inset="0mm,0mm,0mm,0mm"/>
                <w10:wrap type="topAndBottom"/>
              </v:shape>
            </w:pict>
          </mc:Fallback>
        </mc:AlternateContent>
      </w:r>
      <w:r>
        <w:rPr>
          <w:color w:val="C00000"/>
        </w:rPr>
        <w:t>CO1</w:t>
      </w:r>
      <w:r>
        <w:rPr>
          <w:color w:val="C00000"/>
          <w:spacing w:val="-1"/>
        </w:rPr>
        <w:t xml:space="preserve"> </w:t>
      </w:r>
      <w:r>
        <w:rPr>
          <w:color w:val="C00000"/>
        </w:rPr>
        <w:t>ASSESSMENT</w:t>
      </w:r>
      <w:r>
        <w:rPr>
          <w:color w:val="C00000"/>
          <w:spacing w:val="-1"/>
        </w:rPr>
        <w:t xml:space="preserve"> </w:t>
      </w:r>
      <w:r>
        <w:rPr>
          <w:color w:val="C00000"/>
        </w:rPr>
        <w:t>TOOL</w:t>
      </w:r>
      <w:r>
        <w:rPr>
          <w:color w:val="C00000"/>
          <w:spacing w:val="-1"/>
        </w:rPr>
        <w:t xml:space="preserve"> </w:t>
      </w:r>
      <w:r>
        <w:rPr>
          <w:color w:val="C00000"/>
        </w:rPr>
        <w:t>1</w:t>
      </w:r>
      <w:r>
        <w:rPr>
          <w:color w:val="C00000"/>
          <w:spacing w:val="59"/>
        </w:rPr>
        <w:t xml:space="preserve"> </w:t>
      </w:r>
      <w:r>
        <w:rPr>
          <w:color w:val="C00000"/>
        </w:rPr>
        <w:t>–</w:t>
      </w:r>
      <w:r>
        <w:rPr>
          <w:color w:val="C00000"/>
          <w:spacing w:val="58"/>
        </w:rPr>
        <w:t xml:space="preserve"> </w:t>
      </w:r>
      <w:r>
        <w:rPr>
          <w:color w:val="C00000"/>
        </w:rPr>
        <w:t>Case</w:t>
      </w:r>
      <w:r>
        <w:rPr>
          <w:color w:val="C00000"/>
          <w:spacing w:val="-3"/>
        </w:rPr>
        <w:t xml:space="preserve"> </w:t>
      </w:r>
      <w:r>
        <w:rPr>
          <w:color w:val="C00000"/>
        </w:rPr>
        <w:t>Study</w:t>
      </w:r>
      <w:r>
        <w:rPr>
          <w:color w:val="C00000"/>
          <w:spacing w:val="-3"/>
        </w:rPr>
        <w:t xml:space="preserve"> </w:t>
      </w:r>
      <w:r>
        <w:rPr>
          <w:color w:val="C00000"/>
          <w:spacing w:val="-2"/>
        </w:rPr>
        <w:t>Analysis</w:t>
      </w:r>
    </w:p>
    <w:bookmarkEnd w:id="0"/>
    <w:p w14:paraId="662B68C3">
      <w:pPr>
        <w:pStyle w:val="10"/>
        <w:spacing w:before="1" w:line="240" w:lineRule="auto"/>
        <w:ind w:left="0" w:firstLine="0"/>
        <w:rPr>
          <w:b/>
          <w:sz w:val="7"/>
        </w:rPr>
      </w:pPr>
    </w:p>
    <w:tbl>
      <w:tblPr>
        <w:tblStyle w:val="9"/>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0"/>
        <w:gridCol w:w="1800"/>
        <w:gridCol w:w="3240"/>
      </w:tblGrid>
      <w:tr w14:paraId="51A9B088">
        <w:trPr>
          <w:trHeight w:val="347" w:hRule="atLeast"/>
        </w:trPr>
        <w:tc>
          <w:tcPr>
            <w:tcW w:w="1800" w:type="dxa"/>
            <w:shd w:val="clear" w:color="auto" w:fill="D5E3EF"/>
          </w:tcPr>
          <w:p w14:paraId="3431F8BA">
            <w:pPr>
              <w:pStyle w:val="20"/>
              <w:rPr>
                <w:rFonts w:ascii="Times New Roman"/>
                <w:b/>
                <w:sz w:val="18"/>
              </w:rPr>
            </w:pPr>
            <w:r>
              <w:rPr>
                <w:rFonts w:ascii="Times New Roman"/>
                <w:b/>
                <w:color w:val="1F4E79"/>
                <w:sz w:val="18"/>
              </w:rPr>
              <w:t>Course</w:t>
            </w:r>
            <w:r>
              <w:rPr>
                <w:rFonts w:ascii="Times New Roman"/>
                <w:b/>
                <w:color w:val="1F4E79"/>
                <w:spacing w:val="-2"/>
                <w:sz w:val="18"/>
              </w:rPr>
              <w:t xml:space="preserve"> Code:</w:t>
            </w:r>
          </w:p>
        </w:tc>
        <w:tc>
          <w:tcPr>
            <w:tcW w:w="3240" w:type="dxa"/>
          </w:tcPr>
          <w:p w14:paraId="635CE232">
            <w:pPr>
              <w:pStyle w:val="20"/>
              <w:ind w:left="120"/>
              <w:rPr>
                <w:rFonts w:ascii="Times New Roman"/>
                <w:sz w:val="18"/>
              </w:rPr>
            </w:pPr>
            <w:r>
              <w:rPr>
                <w:rFonts w:ascii="Times New Roman"/>
                <w:sz w:val="18"/>
              </w:rPr>
              <w:t>CSA10</w:t>
            </w:r>
            <w:r>
              <w:rPr>
                <w:rFonts w:ascii="Times New Roman"/>
                <w:spacing w:val="1"/>
                <w:sz w:val="18"/>
              </w:rPr>
              <w:t xml:space="preserve"> </w:t>
            </w:r>
            <w:r>
              <w:rPr>
                <w:rFonts w:ascii="Times New Roman"/>
                <w:sz w:val="18"/>
              </w:rPr>
              <w:t>/</w:t>
            </w:r>
            <w:r>
              <w:rPr>
                <w:rFonts w:ascii="Times New Roman"/>
                <w:spacing w:val="-2"/>
                <w:sz w:val="18"/>
              </w:rPr>
              <w:t xml:space="preserve"> CSA1024</w:t>
            </w:r>
          </w:p>
        </w:tc>
        <w:tc>
          <w:tcPr>
            <w:tcW w:w="1800" w:type="dxa"/>
            <w:shd w:val="clear" w:color="auto" w:fill="D5E3EF"/>
          </w:tcPr>
          <w:p w14:paraId="1E2EB3FF">
            <w:pPr>
              <w:pStyle w:val="20"/>
              <w:ind w:left="120"/>
              <w:rPr>
                <w:rFonts w:ascii="Times New Roman"/>
                <w:b/>
                <w:sz w:val="18"/>
              </w:rPr>
            </w:pPr>
            <w:r>
              <w:rPr>
                <w:rFonts w:ascii="Times New Roman"/>
                <w:b/>
                <w:color w:val="1F4E79"/>
                <w:sz w:val="18"/>
              </w:rPr>
              <w:t>Course</w:t>
            </w:r>
            <w:r>
              <w:rPr>
                <w:rFonts w:ascii="Times New Roman"/>
                <w:b/>
                <w:color w:val="1F4E79"/>
                <w:spacing w:val="-2"/>
                <w:sz w:val="18"/>
              </w:rPr>
              <w:t xml:space="preserve"> Title:</w:t>
            </w:r>
          </w:p>
        </w:tc>
        <w:tc>
          <w:tcPr>
            <w:tcW w:w="3240" w:type="dxa"/>
          </w:tcPr>
          <w:p w14:paraId="554CB840">
            <w:pPr>
              <w:pStyle w:val="20"/>
              <w:ind w:left="121"/>
              <w:rPr>
                <w:rFonts w:ascii="Times New Roman"/>
                <w:sz w:val="18"/>
              </w:rPr>
            </w:pPr>
            <w:r>
              <w:rPr>
                <w:rFonts w:ascii="Times New Roman"/>
                <w:sz w:val="18"/>
              </w:rPr>
              <w:t>Software</w:t>
            </w:r>
            <w:r>
              <w:rPr>
                <w:rFonts w:ascii="Times New Roman"/>
                <w:spacing w:val="-1"/>
                <w:sz w:val="18"/>
              </w:rPr>
              <w:t xml:space="preserve"> </w:t>
            </w:r>
            <w:r>
              <w:rPr>
                <w:rFonts w:ascii="Times New Roman"/>
                <w:spacing w:val="-2"/>
                <w:sz w:val="18"/>
              </w:rPr>
              <w:t>Engineering</w:t>
            </w:r>
          </w:p>
        </w:tc>
      </w:tr>
      <w:tr w14:paraId="5A5D5474">
        <w:trPr>
          <w:trHeight w:val="554" w:hRule="atLeast"/>
        </w:trPr>
        <w:tc>
          <w:tcPr>
            <w:tcW w:w="1800" w:type="dxa"/>
            <w:shd w:val="clear" w:color="auto" w:fill="D5E3EF"/>
          </w:tcPr>
          <w:p w14:paraId="3712EB49">
            <w:pPr>
              <w:pStyle w:val="20"/>
              <w:spacing w:before="172"/>
              <w:rPr>
                <w:rFonts w:ascii="Times New Roman"/>
                <w:b/>
                <w:sz w:val="18"/>
              </w:rPr>
            </w:pPr>
            <w:r>
              <w:rPr>
                <w:rFonts w:ascii="Times New Roman"/>
                <w:b/>
                <w:color w:val="1F4E79"/>
                <w:sz w:val="18"/>
              </w:rPr>
              <w:t>CO</w:t>
            </w:r>
            <w:r>
              <w:rPr>
                <w:rFonts w:ascii="Times New Roman"/>
                <w:b/>
                <w:color w:val="1F4E79"/>
                <w:spacing w:val="-1"/>
                <w:sz w:val="18"/>
              </w:rPr>
              <w:t xml:space="preserve"> </w:t>
            </w:r>
            <w:r>
              <w:rPr>
                <w:rFonts w:ascii="Times New Roman"/>
                <w:b/>
                <w:color w:val="1F4E79"/>
                <w:spacing w:val="-2"/>
                <w:sz w:val="18"/>
              </w:rPr>
              <w:t>Assessed:</w:t>
            </w:r>
          </w:p>
        </w:tc>
        <w:tc>
          <w:tcPr>
            <w:tcW w:w="3240" w:type="dxa"/>
          </w:tcPr>
          <w:p w14:paraId="51E7ED33">
            <w:pPr>
              <w:pStyle w:val="20"/>
              <w:spacing w:before="172"/>
              <w:ind w:left="120"/>
              <w:rPr>
                <w:rFonts w:ascii="Times New Roman"/>
                <w:sz w:val="18"/>
              </w:rPr>
            </w:pPr>
            <w:r>
              <w:rPr>
                <w:rFonts w:ascii="Times New Roman"/>
                <w:spacing w:val="-5"/>
                <w:sz w:val="18"/>
              </w:rPr>
              <w:t>CO1</w:t>
            </w:r>
          </w:p>
        </w:tc>
        <w:tc>
          <w:tcPr>
            <w:tcW w:w="1800" w:type="dxa"/>
            <w:shd w:val="clear" w:color="auto" w:fill="D5E3EF"/>
          </w:tcPr>
          <w:p w14:paraId="428993B8">
            <w:pPr>
              <w:pStyle w:val="20"/>
              <w:spacing w:before="172"/>
              <w:ind w:left="120"/>
              <w:rPr>
                <w:rFonts w:ascii="Times New Roman"/>
                <w:b/>
                <w:sz w:val="18"/>
              </w:rPr>
            </w:pPr>
            <w:r>
              <w:rPr>
                <w:rFonts w:ascii="Times New Roman"/>
                <w:b/>
                <w:color w:val="1F4E79"/>
                <w:spacing w:val="-2"/>
                <w:sz w:val="18"/>
              </w:rPr>
              <w:t>Assessment:</w:t>
            </w:r>
          </w:p>
        </w:tc>
        <w:tc>
          <w:tcPr>
            <w:tcW w:w="3240" w:type="dxa"/>
          </w:tcPr>
          <w:p w14:paraId="16D62976">
            <w:pPr>
              <w:pStyle w:val="20"/>
              <w:ind w:left="121" w:right="189"/>
              <w:rPr>
                <w:rFonts w:ascii="Times New Roman" w:hAnsi="Times New Roman"/>
                <w:sz w:val="18"/>
              </w:rPr>
            </w:pPr>
            <w:r>
              <w:rPr>
                <w:rFonts w:ascii="Times New Roman" w:hAnsi="Times New Roman"/>
                <w:sz w:val="18"/>
              </w:rPr>
              <w:t>Assessment</w:t>
            </w:r>
            <w:r>
              <w:rPr>
                <w:rFonts w:ascii="Times New Roman" w:hAnsi="Times New Roman"/>
                <w:spacing w:val="-8"/>
                <w:sz w:val="18"/>
              </w:rPr>
              <w:t xml:space="preserve"> </w:t>
            </w:r>
            <w:r>
              <w:rPr>
                <w:rFonts w:ascii="Times New Roman" w:hAnsi="Times New Roman"/>
                <w:sz w:val="18"/>
              </w:rPr>
              <w:t>Tool</w:t>
            </w:r>
            <w:r>
              <w:rPr>
                <w:rFonts w:ascii="Times New Roman" w:hAnsi="Times New Roman"/>
                <w:spacing w:val="-8"/>
                <w:sz w:val="18"/>
              </w:rPr>
              <w:t xml:space="preserve"> </w:t>
            </w:r>
            <w:r>
              <w:rPr>
                <w:rFonts w:ascii="Times New Roman" w:hAnsi="Times New Roman"/>
                <w:sz w:val="18"/>
              </w:rPr>
              <w:t>1</w:t>
            </w:r>
            <w:r>
              <w:rPr>
                <w:rFonts w:ascii="Times New Roman" w:hAnsi="Times New Roman"/>
                <w:spacing w:val="-8"/>
                <w:sz w:val="18"/>
              </w:rPr>
              <w:t xml:space="preserve"> </w:t>
            </w:r>
            <w:r>
              <w:rPr>
                <w:rFonts w:ascii="Times New Roman" w:hAnsi="Times New Roman"/>
                <w:sz w:val="18"/>
              </w:rPr>
              <w:t>–</w:t>
            </w:r>
            <w:r>
              <w:rPr>
                <w:rFonts w:ascii="Times New Roman" w:hAnsi="Times New Roman"/>
                <w:spacing w:val="-7"/>
                <w:sz w:val="18"/>
              </w:rPr>
              <w:t xml:space="preserve"> </w:t>
            </w:r>
            <w:r>
              <w:rPr>
                <w:rFonts w:ascii="Times New Roman" w:hAnsi="Times New Roman"/>
                <w:sz w:val="18"/>
              </w:rPr>
              <w:t>Case</w:t>
            </w:r>
            <w:r>
              <w:rPr>
                <w:rFonts w:ascii="Times New Roman" w:hAnsi="Times New Roman"/>
                <w:spacing w:val="-8"/>
                <w:sz w:val="18"/>
              </w:rPr>
              <w:t xml:space="preserve"> </w:t>
            </w:r>
            <w:r>
              <w:rPr>
                <w:rFonts w:ascii="Times New Roman" w:hAnsi="Times New Roman"/>
                <w:sz w:val="18"/>
              </w:rPr>
              <w:t xml:space="preserve">Study </w:t>
            </w:r>
            <w:r>
              <w:rPr>
                <w:rFonts w:ascii="Times New Roman" w:hAnsi="Times New Roman"/>
                <w:spacing w:val="-2"/>
                <w:sz w:val="18"/>
              </w:rPr>
              <w:t>Analysis</w:t>
            </w:r>
          </w:p>
        </w:tc>
      </w:tr>
      <w:tr w14:paraId="3ACE5546">
        <w:trPr>
          <w:trHeight w:val="345" w:hRule="atLeast"/>
        </w:trPr>
        <w:tc>
          <w:tcPr>
            <w:tcW w:w="1800" w:type="dxa"/>
            <w:shd w:val="clear" w:color="auto" w:fill="D5E3EF"/>
          </w:tcPr>
          <w:p w14:paraId="2C01264B">
            <w:pPr>
              <w:pStyle w:val="20"/>
              <w:rPr>
                <w:rFonts w:ascii="Times New Roman"/>
                <w:b/>
                <w:sz w:val="18"/>
              </w:rPr>
            </w:pPr>
            <w:r>
              <w:rPr>
                <w:rFonts w:ascii="Times New Roman"/>
                <w:b/>
                <w:color w:val="1F4E79"/>
                <w:spacing w:val="-2"/>
                <w:sz w:val="18"/>
              </w:rPr>
              <w:t>Weightage:</w:t>
            </w:r>
          </w:p>
        </w:tc>
        <w:tc>
          <w:tcPr>
            <w:tcW w:w="3240" w:type="dxa"/>
          </w:tcPr>
          <w:p w14:paraId="054987A9">
            <w:pPr>
              <w:pStyle w:val="20"/>
              <w:ind w:left="120"/>
              <w:rPr>
                <w:rFonts w:ascii="Times New Roman"/>
                <w:sz w:val="18"/>
              </w:rPr>
            </w:pPr>
            <w:r>
              <w:rPr>
                <w:rFonts w:ascii="Times New Roman"/>
                <w:spacing w:val="-5"/>
                <w:sz w:val="18"/>
              </w:rPr>
              <w:t>20%</w:t>
            </w:r>
          </w:p>
        </w:tc>
        <w:tc>
          <w:tcPr>
            <w:tcW w:w="1800" w:type="dxa"/>
            <w:shd w:val="clear" w:color="auto" w:fill="D5E3EF"/>
          </w:tcPr>
          <w:p w14:paraId="06FC4F58">
            <w:pPr>
              <w:pStyle w:val="20"/>
              <w:ind w:left="120"/>
              <w:rPr>
                <w:rFonts w:ascii="Times New Roman"/>
                <w:b/>
                <w:sz w:val="18"/>
              </w:rPr>
            </w:pPr>
            <w:r>
              <w:rPr>
                <w:rFonts w:ascii="Times New Roman"/>
                <w:b/>
                <w:color w:val="1F4E79"/>
                <w:sz w:val="18"/>
              </w:rPr>
              <w:t>Total</w:t>
            </w:r>
            <w:r>
              <w:rPr>
                <w:rFonts w:ascii="Times New Roman"/>
                <w:b/>
                <w:color w:val="1F4E79"/>
                <w:spacing w:val="-1"/>
                <w:sz w:val="18"/>
              </w:rPr>
              <w:t xml:space="preserve"> </w:t>
            </w:r>
            <w:r>
              <w:rPr>
                <w:rFonts w:ascii="Times New Roman"/>
                <w:b/>
                <w:color w:val="1F4E79"/>
                <w:spacing w:val="-2"/>
                <w:sz w:val="18"/>
              </w:rPr>
              <w:t>Marks:</w:t>
            </w:r>
          </w:p>
        </w:tc>
        <w:tc>
          <w:tcPr>
            <w:tcW w:w="3240" w:type="dxa"/>
          </w:tcPr>
          <w:p w14:paraId="303FA8C6">
            <w:pPr>
              <w:pStyle w:val="20"/>
              <w:ind w:left="121"/>
              <w:rPr>
                <w:rFonts w:ascii="Times New Roman"/>
                <w:sz w:val="18"/>
              </w:rPr>
            </w:pPr>
            <w:r>
              <w:rPr>
                <w:rFonts w:ascii="Times New Roman"/>
                <w:spacing w:val="-5"/>
                <w:sz w:val="18"/>
              </w:rPr>
              <w:t>25</w:t>
            </w:r>
          </w:p>
        </w:tc>
      </w:tr>
      <w:tr w14:paraId="5651A2C7">
        <w:trPr>
          <w:trHeight w:val="347" w:hRule="atLeast"/>
        </w:trPr>
        <w:tc>
          <w:tcPr>
            <w:tcW w:w="1800" w:type="dxa"/>
            <w:shd w:val="clear" w:color="auto" w:fill="D5E3EF"/>
          </w:tcPr>
          <w:p w14:paraId="4C36D9F1">
            <w:pPr>
              <w:pStyle w:val="20"/>
              <w:spacing w:before="71"/>
              <w:rPr>
                <w:rFonts w:ascii="Times New Roman"/>
                <w:b/>
                <w:sz w:val="18"/>
              </w:rPr>
            </w:pPr>
            <w:r>
              <w:rPr>
                <w:rFonts w:ascii="Times New Roman"/>
                <w:b/>
                <w:color w:val="1F4E79"/>
                <w:sz w:val="18"/>
              </w:rPr>
              <w:t>CO1</w:t>
            </w:r>
            <w:r>
              <w:rPr>
                <w:rFonts w:ascii="Times New Roman"/>
                <w:b/>
                <w:color w:val="1F4E79"/>
                <w:spacing w:val="-1"/>
                <w:sz w:val="18"/>
              </w:rPr>
              <w:t xml:space="preserve"> </w:t>
            </w:r>
            <w:r>
              <w:rPr>
                <w:rFonts w:ascii="Times New Roman"/>
                <w:b/>
                <w:color w:val="1F4E79"/>
                <w:spacing w:val="-2"/>
                <w:sz w:val="18"/>
              </w:rPr>
              <w:t>Statement:</w:t>
            </w:r>
          </w:p>
        </w:tc>
        <w:tc>
          <w:tcPr>
            <w:tcW w:w="8280" w:type="dxa"/>
            <w:gridSpan w:val="3"/>
            <w:shd w:val="clear" w:color="auto" w:fill="EBF3FA"/>
          </w:tcPr>
          <w:p w14:paraId="7D4FCB74">
            <w:pPr>
              <w:pStyle w:val="20"/>
              <w:spacing w:before="71"/>
              <w:ind w:left="120"/>
              <w:rPr>
                <w:rFonts w:ascii="Times New Roman"/>
                <w:i/>
                <w:sz w:val="18"/>
              </w:rPr>
            </w:pPr>
            <w:r>
              <w:rPr>
                <w:rFonts w:ascii="Times New Roman"/>
                <w:i/>
                <w:spacing w:val="-2"/>
                <w:sz w:val="18"/>
              </w:rPr>
              <w:t>Apply</w:t>
            </w:r>
            <w:r>
              <w:rPr>
                <w:rFonts w:ascii="Times New Roman"/>
                <w:i/>
                <w:sz w:val="18"/>
              </w:rPr>
              <w:t xml:space="preserve"> </w:t>
            </w:r>
            <w:r>
              <w:rPr>
                <w:rFonts w:ascii="Times New Roman"/>
                <w:i/>
                <w:spacing w:val="-2"/>
                <w:sz w:val="18"/>
              </w:rPr>
              <w:t>advanced</w:t>
            </w:r>
            <w:r>
              <w:rPr>
                <w:rFonts w:ascii="Times New Roman"/>
                <w:i/>
                <w:spacing w:val="1"/>
                <w:sz w:val="18"/>
              </w:rPr>
              <w:t xml:space="preserve"> </w:t>
            </w:r>
            <w:r>
              <w:rPr>
                <w:rFonts w:ascii="Times New Roman"/>
                <w:i/>
                <w:spacing w:val="-2"/>
                <w:sz w:val="18"/>
              </w:rPr>
              <w:t>methodologies</w:t>
            </w:r>
            <w:r>
              <w:rPr>
                <w:rFonts w:ascii="Times New Roman"/>
                <w:i/>
                <w:spacing w:val="-1"/>
                <w:sz w:val="18"/>
              </w:rPr>
              <w:t xml:space="preserve"> </w:t>
            </w:r>
            <w:r>
              <w:rPr>
                <w:rFonts w:ascii="Times New Roman"/>
                <w:i/>
                <w:spacing w:val="-2"/>
                <w:sz w:val="18"/>
              </w:rPr>
              <w:t>and</w:t>
            </w:r>
            <w:r>
              <w:rPr>
                <w:rFonts w:ascii="Times New Roman"/>
                <w:i/>
                <w:spacing w:val="2"/>
                <w:sz w:val="18"/>
              </w:rPr>
              <w:t xml:space="preserve"> </w:t>
            </w:r>
            <w:r>
              <w:rPr>
                <w:rFonts w:ascii="Times New Roman"/>
                <w:i/>
                <w:spacing w:val="-2"/>
                <w:sz w:val="18"/>
              </w:rPr>
              <w:t>agile</w:t>
            </w:r>
            <w:r>
              <w:rPr>
                <w:rFonts w:ascii="Times New Roman"/>
                <w:i/>
                <w:spacing w:val="3"/>
                <w:sz w:val="18"/>
              </w:rPr>
              <w:t xml:space="preserve"> </w:t>
            </w:r>
            <w:r>
              <w:rPr>
                <w:rFonts w:ascii="Times New Roman"/>
                <w:i/>
                <w:spacing w:val="-2"/>
                <w:sz w:val="18"/>
              </w:rPr>
              <w:t>project</w:t>
            </w:r>
            <w:r>
              <w:rPr>
                <w:rFonts w:ascii="Times New Roman"/>
                <w:i/>
                <w:spacing w:val="4"/>
                <w:sz w:val="18"/>
              </w:rPr>
              <w:t xml:space="preserve"> </w:t>
            </w:r>
            <w:r>
              <w:rPr>
                <w:rFonts w:ascii="Times New Roman"/>
                <w:i/>
                <w:spacing w:val="-2"/>
                <w:sz w:val="18"/>
              </w:rPr>
              <w:t>management</w:t>
            </w:r>
            <w:r>
              <w:rPr>
                <w:rFonts w:ascii="Times New Roman"/>
                <w:i/>
                <w:spacing w:val="1"/>
                <w:sz w:val="18"/>
              </w:rPr>
              <w:t xml:space="preserve"> </w:t>
            </w:r>
            <w:r>
              <w:rPr>
                <w:rFonts w:ascii="Times New Roman"/>
                <w:i/>
                <w:spacing w:val="-2"/>
                <w:sz w:val="18"/>
              </w:rPr>
              <w:t>techniques</w:t>
            </w:r>
            <w:r>
              <w:rPr>
                <w:rFonts w:ascii="Times New Roman"/>
                <w:i/>
                <w:spacing w:val="1"/>
                <w:sz w:val="18"/>
              </w:rPr>
              <w:t xml:space="preserve"> </w:t>
            </w:r>
            <w:r>
              <w:rPr>
                <w:rFonts w:ascii="Times New Roman"/>
                <w:i/>
                <w:spacing w:val="-2"/>
                <w:sz w:val="18"/>
              </w:rPr>
              <w:t>to</w:t>
            </w:r>
            <w:r>
              <w:rPr>
                <w:rFonts w:ascii="Times New Roman"/>
                <w:i/>
                <w:spacing w:val="3"/>
                <w:sz w:val="18"/>
              </w:rPr>
              <w:t xml:space="preserve"> </w:t>
            </w:r>
            <w:r>
              <w:rPr>
                <w:rFonts w:ascii="Times New Roman"/>
                <w:i/>
                <w:spacing w:val="-2"/>
                <w:sz w:val="18"/>
              </w:rPr>
              <w:t>manage</w:t>
            </w:r>
            <w:r>
              <w:rPr>
                <w:rFonts w:ascii="Times New Roman"/>
                <w:i/>
                <w:spacing w:val="2"/>
                <w:sz w:val="18"/>
              </w:rPr>
              <w:t xml:space="preserve"> </w:t>
            </w:r>
            <w:r>
              <w:rPr>
                <w:rFonts w:ascii="Times New Roman"/>
                <w:i/>
                <w:spacing w:val="-2"/>
                <w:sz w:val="18"/>
              </w:rPr>
              <w:t>software</w:t>
            </w:r>
            <w:r>
              <w:rPr>
                <w:rFonts w:ascii="Times New Roman"/>
                <w:i/>
                <w:spacing w:val="-1"/>
                <w:sz w:val="18"/>
              </w:rPr>
              <w:t xml:space="preserve"> </w:t>
            </w:r>
            <w:r>
              <w:rPr>
                <w:rFonts w:ascii="Times New Roman"/>
                <w:i/>
                <w:spacing w:val="-2"/>
                <w:sz w:val="18"/>
              </w:rPr>
              <w:t>projects</w:t>
            </w:r>
            <w:r>
              <w:rPr>
                <w:rFonts w:ascii="Times New Roman"/>
                <w:i/>
                <w:spacing w:val="1"/>
                <w:sz w:val="18"/>
              </w:rPr>
              <w:t xml:space="preserve"> </w:t>
            </w:r>
            <w:r>
              <w:rPr>
                <w:rFonts w:ascii="Times New Roman"/>
                <w:i/>
                <w:spacing w:val="-2"/>
                <w:sz w:val="18"/>
              </w:rPr>
              <w:t>effectively</w:t>
            </w:r>
          </w:p>
        </w:tc>
      </w:tr>
      <w:tr w14:paraId="24103A28">
        <w:trPr>
          <w:trHeight w:val="417" w:hRule="atLeast"/>
        </w:trPr>
        <w:tc>
          <w:tcPr>
            <w:tcW w:w="1800" w:type="dxa"/>
            <w:shd w:val="clear" w:color="auto" w:fill="D5E3EF"/>
          </w:tcPr>
          <w:p w14:paraId="49872D8F">
            <w:pPr>
              <w:pStyle w:val="20"/>
              <w:spacing w:before="105"/>
              <w:rPr>
                <w:rFonts w:ascii="Times New Roman"/>
                <w:b/>
                <w:sz w:val="18"/>
              </w:rPr>
            </w:pPr>
            <w:r>
              <w:rPr>
                <w:rFonts w:ascii="Times New Roman"/>
                <w:b/>
                <w:color w:val="1F4E79"/>
                <w:sz w:val="18"/>
              </w:rPr>
              <w:t>Student</w:t>
            </w:r>
            <w:r>
              <w:rPr>
                <w:rFonts w:ascii="Times New Roman"/>
                <w:b/>
                <w:color w:val="1F4E79"/>
                <w:spacing w:val="-4"/>
                <w:sz w:val="18"/>
              </w:rPr>
              <w:t xml:space="preserve"> </w:t>
            </w:r>
            <w:r>
              <w:rPr>
                <w:rFonts w:ascii="Times New Roman"/>
                <w:b/>
                <w:color w:val="1F4E79"/>
                <w:spacing w:val="-2"/>
                <w:sz w:val="18"/>
              </w:rPr>
              <w:t>Name:</w:t>
            </w:r>
          </w:p>
        </w:tc>
        <w:tc>
          <w:tcPr>
            <w:tcW w:w="3240" w:type="dxa"/>
          </w:tcPr>
          <w:p w14:paraId="13C9F9CB">
            <w:pPr>
              <w:pStyle w:val="20"/>
              <w:spacing w:before="0"/>
              <w:ind w:left="0"/>
              <w:rPr>
                <w:rFonts w:hint="default" w:ascii="Times New Roman"/>
                <w:sz w:val="20"/>
                <w:lang w:val="en-US"/>
              </w:rPr>
            </w:pPr>
            <w:r>
              <w:rPr>
                <w:rFonts w:hint="default" w:ascii="Times New Roman"/>
                <w:sz w:val="20"/>
                <w:lang w:val="en-US"/>
              </w:rPr>
              <w:t>Balu S</w:t>
            </w:r>
          </w:p>
        </w:tc>
        <w:tc>
          <w:tcPr>
            <w:tcW w:w="1800" w:type="dxa"/>
            <w:shd w:val="clear" w:color="auto" w:fill="D5E3EF"/>
          </w:tcPr>
          <w:p w14:paraId="33063F08">
            <w:pPr>
              <w:pStyle w:val="20"/>
              <w:spacing w:before="105"/>
              <w:ind w:left="120"/>
              <w:rPr>
                <w:rFonts w:ascii="Times New Roman"/>
                <w:b/>
                <w:sz w:val="18"/>
              </w:rPr>
            </w:pPr>
            <w:r>
              <w:rPr>
                <w:rFonts w:ascii="Times New Roman"/>
                <w:b/>
                <w:color w:val="1F4E79"/>
                <w:sz w:val="18"/>
              </w:rPr>
              <w:t>Reg.</w:t>
            </w:r>
            <w:r>
              <w:rPr>
                <w:rFonts w:ascii="Times New Roman"/>
                <w:b/>
                <w:color w:val="1F4E79"/>
                <w:spacing w:val="-1"/>
                <w:sz w:val="18"/>
              </w:rPr>
              <w:t xml:space="preserve"> </w:t>
            </w:r>
            <w:r>
              <w:rPr>
                <w:rFonts w:ascii="Times New Roman"/>
                <w:b/>
                <w:color w:val="1F4E79"/>
                <w:spacing w:val="-4"/>
                <w:sz w:val="18"/>
              </w:rPr>
              <w:t>No.:</w:t>
            </w:r>
          </w:p>
        </w:tc>
        <w:tc>
          <w:tcPr>
            <w:tcW w:w="3240" w:type="dxa"/>
          </w:tcPr>
          <w:p w14:paraId="47138BEB">
            <w:pPr>
              <w:pStyle w:val="20"/>
              <w:spacing w:before="0"/>
              <w:ind w:left="0"/>
              <w:rPr>
                <w:rFonts w:hint="default" w:ascii="Times New Roman"/>
                <w:sz w:val="20"/>
                <w:lang w:val="en-US"/>
              </w:rPr>
            </w:pPr>
            <w:r>
              <w:rPr>
                <w:rFonts w:hint="default" w:ascii="Times New Roman"/>
                <w:sz w:val="20"/>
                <w:lang w:val="en-US"/>
              </w:rPr>
              <w:t>192572015</w:t>
            </w:r>
          </w:p>
        </w:tc>
      </w:tr>
      <w:tr w14:paraId="5154F73E">
        <w:trPr>
          <w:trHeight w:val="414" w:hRule="atLeast"/>
        </w:trPr>
        <w:tc>
          <w:tcPr>
            <w:tcW w:w="1800" w:type="dxa"/>
            <w:shd w:val="clear" w:color="auto" w:fill="D5E3EF"/>
          </w:tcPr>
          <w:p w14:paraId="1D7C3B7F">
            <w:pPr>
              <w:pStyle w:val="20"/>
              <w:spacing w:before="103"/>
              <w:rPr>
                <w:rFonts w:ascii="Times New Roman"/>
                <w:b/>
                <w:sz w:val="18"/>
              </w:rPr>
            </w:pPr>
            <w:r>
              <w:rPr>
                <w:rFonts w:ascii="Times New Roman"/>
                <w:b/>
                <w:color w:val="1F4E79"/>
                <w:spacing w:val="-2"/>
                <w:sz w:val="18"/>
              </w:rPr>
              <w:t>Date:</w:t>
            </w:r>
          </w:p>
        </w:tc>
        <w:tc>
          <w:tcPr>
            <w:tcW w:w="3240" w:type="dxa"/>
          </w:tcPr>
          <w:p w14:paraId="327C19A1">
            <w:pPr>
              <w:pStyle w:val="20"/>
              <w:spacing w:before="0"/>
              <w:ind w:left="0"/>
              <w:rPr>
                <w:rFonts w:hint="default" w:ascii="Times New Roman"/>
                <w:sz w:val="20"/>
                <w:lang w:val="en-US"/>
              </w:rPr>
            </w:pPr>
            <w:r>
              <w:rPr>
                <w:rFonts w:hint="default" w:ascii="Times New Roman"/>
                <w:sz w:val="20"/>
                <w:lang w:val="en-US"/>
              </w:rPr>
              <w:t>11/10/2026</w:t>
            </w:r>
          </w:p>
        </w:tc>
        <w:tc>
          <w:tcPr>
            <w:tcW w:w="1800" w:type="dxa"/>
            <w:shd w:val="clear" w:color="auto" w:fill="D5E3EF"/>
          </w:tcPr>
          <w:p w14:paraId="4FA45190">
            <w:pPr>
              <w:pStyle w:val="20"/>
              <w:spacing w:before="103"/>
              <w:ind w:left="120"/>
              <w:rPr>
                <w:rFonts w:ascii="Times New Roman"/>
                <w:b/>
                <w:sz w:val="18"/>
              </w:rPr>
            </w:pPr>
            <w:r>
              <w:rPr>
                <w:rFonts w:ascii="Times New Roman"/>
                <w:b/>
                <w:color w:val="1F4E79"/>
                <w:spacing w:val="-2"/>
                <w:sz w:val="18"/>
              </w:rPr>
              <w:t>Duration:</w:t>
            </w:r>
          </w:p>
        </w:tc>
        <w:tc>
          <w:tcPr>
            <w:tcW w:w="3240" w:type="dxa"/>
          </w:tcPr>
          <w:p w14:paraId="7C5A60DF">
            <w:pPr>
              <w:pStyle w:val="20"/>
              <w:spacing w:before="68"/>
              <w:ind w:left="121"/>
              <w:rPr>
                <w:rFonts w:ascii="Times New Roman"/>
                <w:sz w:val="24"/>
              </w:rPr>
            </w:pPr>
            <w:r>
              <w:rPr>
                <w:rFonts w:ascii="Times New Roman"/>
                <w:sz w:val="24"/>
              </w:rPr>
              <w:t xml:space="preserve">60 </w:t>
            </w:r>
            <w:r>
              <w:rPr>
                <w:rFonts w:ascii="Times New Roman"/>
                <w:spacing w:val="-2"/>
                <w:sz w:val="24"/>
              </w:rPr>
              <w:t>minutes</w:t>
            </w:r>
          </w:p>
        </w:tc>
      </w:tr>
    </w:tbl>
    <w:p w14:paraId="2DE452E0">
      <w:pPr>
        <w:pStyle w:val="10"/>
        <w:spacing w:before="5" w:line="240" w:lineRule="auto"/>
        <w:ind w:left="0" w:firstLine="0"/>
        <w:rPr>
          <w:b/>
          <w:sz w:val="13"/>
        </w:rPr>
      </w:pPr>
      <w:r>
        <w:rPr>
          <w:b/>
          <w:sz w:val="13"/>
        </w:rPr>
        <mc:AlternateContent>
          <mc:Choice Requires="wps">
            <w:drawing>
              <wp:anchor distT="0" distB="0" distL="0" distR="0" simplePos="0" relativeHeight="251660288" behindDoc="1" locked="0" layoutInCell="1" allowOverlap="1">
                <wp:simplePos x="0" y="0"/>
                <wp:positionH relativeFrom="page">
                  <wp:posOffset>688340</wp:posOffset>
                </wp:positionH>
                <wp:positionV relativeFrom="paragraph">
                  <wp:posOffset>116840</wp:posOffset>
                </wp:positionV>
                <wp:extent cx="6569710" cy="741045"/>
                <wp:effectExtent l="6350" t="6350" r="27940" b="14605"/>
                <wp:wrapTopAndBottom/>
                <wp:docPr id="18" name="Textbox 2"/>
                <wp:cNvGraphicFramePr/>
                <a:graphic xmlns:a="http://schemas.openxmlformats.org/drawingml/2006/main">
                  <a:graphicData uri="http://schemas.microsoft.com/office/word/2010/wordprocessingShape">
                    <wps:wsp>
                      <wps:cNvSpPr txBox="1"/>
                      <wps:spPr>
                        <a:xfrm>
                          <a:off x="0" y="0"/>
                          <a:ext cx="6569709" cy="741045"/>
                        </a:xfrm>
                        <a:prstGeom prst="rect">
                          <a:avLst/>
                        </a:prstGeom>
                        <a:solidFill>
                          <a:srgbClr val="FFF8E6"/>
                        </a:solidFill>
                        <a:ln w="6095">
                          <a:solidFill>
                            <a:srgbClr val="1F4E79"/>
                          </a:solidFill>
                          <a:prstDash val="solid"/>
                        </a:ln>
                      </wps:spPr>
                      <wps:txbx>
                        <w:txbxContent>
                          <w:p w14:paraId="1C64403F">
                            <w:pPr>
                              <w:spacing w:before="100"/>
                              <w:ind w:left="194" w:right="0" w:firstLine="0"/>
                              <w:jc w:val="left"/>
                              <w:rPr>
                                <w:b/>
                                <w:color w:val="000000"/>
                                <w:sz w:val="24"/>
                              </w:rPr>
                            </w:pPr>
                            <w:r>
                              <w:rPr>
                                <w:b/>
                                <w:color w:val="C00000"/>
                                <w:sz w:val="24"/>
                              </w:rPr>
                              <w:t>Code of</w:t>
                            </w:r>
                            <w:r>
                              <w:rPr>
                                <w:b/>
                                <w:color w:val="C00000"/>
                                <w:spacing w:val="-2"/>
                                <w:sz w:val="24"/>
                              </w:rPr>
                              <w:t xml:space="preserve"> Conduct</w:t>
                            </w:r>
                          </w:p>
                          <w:p w14:paraId="5541C9C2">
                            <w:pPr>
                              <w:tabs>
                                <w:tab w:val="left" w:pos="2664"/>
                              </w:tabs>
                              <w:spacing w:before="1"/>
                              <w:ind w:left="194" w:right="194" w:firstLine="0"/>
                              <w:jc w:val="left"/>
                              <w:rPr>
                                <w:i/>
                                <w:color w:val="000000"/>
                                <w:sz w:val="18"/>
                              </w:rPr>
                            </w:pPr>
                            <w:r>
                              <w:rPr>
                                <w:i/>
                                <w:color w:val="000000"/>
                                <w:sz w:val="18"/>
                              </w:rPr>
                              <w:t>I</w:t>
                            </w:r>
                            <w:r>
                              <w:rPr>
                                <w:i/>
                                <w:color w:val="000000"/>
                                <w:spacing w:val="-12"/>
                                <w:sz w:val="18"/>
                              </w:rPr>
                              <w:t xml:space="preserve"> </w:t>
                            </w:r>
                            <w:r>
                              <w:rPr>
                                <w:rFonts w:hint="default"/>
                                <w:i/>
                                <w:color w:val="000000"/>
                                <w:sz w:val="18"/>
                                <w:u w:val="single"/>
                                <w:lang w:val="en-US"/>
                              </w:rPr>
                              <w:t>Balu S(192572015)</w:t>
                            </w:r>
                            <w:r>
                              <w:rPr>
                                <w:i/>
                                <w:color w:val="000000"/>
                                <w:spacing w:val="-11"/>
                                <w:sz w:val="18"/>
                              </w:rPr>
                              <w:t xml:space="preserve"> </w:t>
                            </w:r>
                            <w:r>
                              <w:rPr>
                                <w:i/>
                                <w:color w:val="000000"/>
                                <w:sz w:val="18"/>
                              </w:rPr>
                              <w:t>certify</w:t>
                            </w:r>
                            <w:r>
                              <w:rPr>
                                <w:i/>
                                <w:color w:val="000000"/>
                                <w:spacing w:val="-12"/>
                                <w:sz w:val="18"/>
                              </w:rPr>
                              <w:t xml:space="preserve"> </w:t>
                            </w:r>
                            <w:r>
                              <w:rPr>
                                <w:i/>
                                <w:color w:val="000000"/>
                                <w:sz w:val="18"/>
                              </w:rPr>
                              <w:t>that</w:t>
                            </w:r>
                            <w:r>
                              <w:rPr>
                                <w:i/>
                                <w:color w:val="000000"/>
                                <w:spacing w:val="-11"/>
                                <w:sz w:val="18"/>
                              </w:rPr>
                              <w:t xml:space="preserve"> </w:t>
                            </w:r>
                            <w:r>
                              <w:rPr>
                                <w:i/>
                                <w:color w:val="000000"/>
                                <w:sz w:val="18"/>
                              </w:rPr>
                              <w:t>this</w:t>
                            </w:r>
                            <w:r>
                              <w:rPr>
                                <w:i/>
                                <w:color w:val="000000"/>
                                <w:spacing w:val="-11"/>
                                <w:sz w:val="18"/>
                              </w:rPr>
                              <w:t xml:space="preserve"> </w:t>
                            </w:r>
                            <w:r>
                              <w:rPr>
                                <w:i/>
                                <w:color w:val="000000"/>
                                <w:sz w:val="18"/>
                              </w:rPr>
                              <w:t>submission</w:t>
                            </w:r>
                            <w:r>
                              <w:rPr>
                                <w:i/>
                                <w:color w:val="000000"/>
                                <w:spacing w:val="-11"/>
                                <w:sz w:val="18"/>
                              </w:rPr>
                              <w:t xml:space="preserve"> </w:t>
                            </w:r>
                            <w:r>
                              <w:rPr>
                                <w:i/>
                                <w:color w:val="000000"/>
                                <w:sz w:val="18"/>
                              </w:rPr>
                              <w:t>is</w:t>
                            </w:r>
                            <w:r>
                              <w:rPr>
                                <w:i/>
                                <w:color w:val="000000"/>
                                <w:spacing w:val="-12"/>
                                <w:sz w:val="18"/>
                              </w:rPr>
                              <w:t xml:space="preserve"> </w:t>
                            </w:r>
                            <w:r>
                              <w:rPr>
                                <w:i/>
                                <w:color w:val="000000"/>
                                <w:sz w:val="18"/>
                              </w:rPr>
                              <w:t>my</w:t>
                            </w:r>
                            <w:r>
                              <w:rPr>
                                <w:i/>
                                <w:color w:val="000000"/>
                                <w:spacing w:val="-11"/>
                                <w:sz w:val="18"/>
                              </w:rPr>
                              <w:t xml:space="preserve"> </w:t>
                            </w:r>
                            <w:r>
                              <w:rPr>
                                <w:i/>
                                <w:color w:val="000000"/>
                                <w:sz w:val="18"/>
                              </w:rPr>
                              <w:t>original</w:t>
                            </w:r>
                            <w:r>
                              <w:rPr>
                                <w:i/>
                                <w:color w:val="000000"/>
                                <w:spacing w:val="-11"/>
                                <w:sz w:val="18"/>
                              </w:rPr>
                              <w:t xml:space="preserve"> </w:t>
                            </w:r>
                            <w:r>
                              <w:rPr>
                                <w:i/>
                                <w:color w:val="000000"/>
                                <w:sz w:val="18"/>
                              </w:rPr>
                              <w:t>work</w:t>
                            </w:r>
                            <w:r>
                              <w:rPr>
                                <w:i/>
                                <w:color w:val="000000"/>
                                <w:spacing w:val="-11"/>
                                <w:sz w:val="18"/>
                              </w:rPr>
                              <w:t xml:space="preserve"> </w:t>
                            </w:r>
                            <w:r>
                              <w:rPr>
                                <w:i/>
                                <w:color w:val="000000"/>
                                <w:sz w:val="18"/>
                              </w:rPr>
                              <w:t>and</w:t>
                            </w:r>
                            <w:r>
                              <w:rPr>
                                <w:i/>
                                <w:color w:val="000000"/>
                                <w:spacing w:val="-12"/>
                                <w:sz w:val="18"/>
                              </w:rPr>
                              <w:t xml:space="preserve"> </w:t>
                            </w:r>
                            <w:r>
                              <w:rPr>
                                <w:i/>
                                <w:color w:val="000000"/>
                                <w:sz w:val="18"/>
                              </w:rPr>
                              <w:t>that</w:t>
                            </w:r>
                            <w:r>
                              <w:rPr>
                                <w:i/>
                                <w:color w:val="000000"/>
                                <w:spacing w:val="-11"/>
                                <w:sz w:val="18"/>
                              </w:rPr>
                              <w:t xml:space="preserve"> </w:t>
                            </w:r>
                            <w:r>
                              <w:rPr>
                                <w:i/>
                                <w:color w:val="000000"/>
                                <w:sz w:val="18"/>
                              </w:rPr>
                              <w:t>I</w:t>
                            </w:r>
                            <w:r>
                              <w:rPr>
                                <w:i/>
                                <w:color w:val="000000"/>
                                <w:spacing w:val="-12"/>
                                <w:sz w:val="18"/>
                              </w:rPr>
                              <w:t xml:space="preserve"> </w:t>
                            </w:r>
                            <w:r>
                              <w:rPr>
                                <w:i/>
                                <w:color w:val="000000"/>
                                <w:sz w:val="18"/>
                              </w:rPr>
                              <w:t>have</w:t>
                            </w:r>
                            <w:r>
                              <w:rPr>
                                <w:i/>
                                <w:color w:val="000000"/>
                                <w:spacing w:val="-11"/>
                                <w:sz w:val="18"/>
                              </w:rPr>
                              <w:t xml:space="preserve"> </w:t>
                            </w:r>
                            <w:r>
                              <w:rPr>
                                <w:i/>
                                <w:color w:val="000000"/>
                                <w:sz w:val="18"/>
                              </w:rPr>
                              <w:t>adhered</w:t>
                            </w:r>
                            <w:r>
                              <w:rPr>
                                <w:i/>
                                <w:color w:val="000000"/>
                                <w:spacing w:val="-11"/>
                                <w:sz w:val="18"/>
                              </w:rPr>
                              <w:t xml:space="preserve"> </w:t>
                            </w:r>
                            <w:r>
                              <w:rPr>
                                <w:i/>
                                <w:color w:val="000000"/>
                                <w:sz w:val="18"/>
                              </w:rPr>
                              <w:t>to</w:t>
                            </w:r>
                            <w:r>
                              <w:rPr>
                                <w:i/>
                                <w:color w:val="000000"/>
                                <w:spacing w:val="-10"/>
                                <w:sz w:val="18"/>
                              </w:rPr>
                              <w:t xml:space="preserve"> </w:t>
                            </w:r>
                            <w:r>
                              <w:rPr>
                                <w:i/>
                                <w:color w:val="000000"/>
                                <w:sz w:val="18"/>
                              </w:rPr>
                              <w:t>the</w:t>
                            </w:r>
                            <w:r>
                              <w:rPr>
                                <w:i/>
                                <w:color w:val="000000"/>
                                <w:spacing w:val="-5"/>
                                <w:sz w:val="18"/>
                              </w:rPr>
                              <w:t xml:space="preserve"> </w:t>
                            </w:r>
                            <w:r>
                              <w:rPr>
                                <w:i/>
                                <w:color w:val="000000"/>
                                <w:sz w:val="18"/>
                              </w:rPr>
                              <w:t>guidelines specified for this assessment. I understand that any violation of academic integrity rules will result in disciplinary action.</w:t>
                            </w:r>
                          </w:p>
                          <w:p w14:paraId="149EE798">
                            <w:pPr>
                              <w:tabs>
                                <w:tab w:val="left" w:pos="4323"/>
                              </w:tabs>
                              <w:spacing w:before="59"/>
                              <w:ind w:left="194" w:right="0" w:firstLine="0"/>
                              <w:jc w:val="left"/>
                              <w:rPr>
                                <w:color w:val="000000"/>
                                <w:sz w:val="18"/>
                              </w:rPr>
                            </w:pPr>
                            <w:r>
                              <w:rPr>
                                <w:color w:val="000000"/>
                                <w:sz w:val="18"/>
                              </w:rPr>
                              <w:t>Signature of</w:t>
                            </w:r>
                            <w:r>
                              <w:rPr>
                                <w:color w:val="000000"/>
                                <w:spacing w:val="-1"/>
                                <w:sz w:val="18"/>
                              </w:rPr>
                              <w:t xml:space="preserve"> </w:t>
                            </w:r>
                            <w:r>
                              <w:rPr>
                                <w:color w:val="000000"/>
                                <w:sz w:val="18"/>
                              </w:rPr>
                              <w:t>the Student:</w:t>
                            </w:r>
                            <w:r>
                              <w:rPr>
                                <w:color w:val="000000"/>
                                <w:spacing w:val="-1"/>
                                <w:sz w:val="18"/>
                              </w:rPr>
                              <w:t xml:space="preserve"> </w:t>
                            </w:r>
                            <w:r>
                              <w:rPr>
                                <w:color w:val="000000"/>
                                <w:sz w:val="18"/>
                                <w:u w:val="single"/>
                              </w:rPr>
                              <w:tab/>
                            </w:r>
                          </w:p>
                        </w:txbxContent>
                      </wps:txbx>
                      <wps:bodyPr wrap="square" lIns="0" tIns="0" rIns="0" bIns="0" rtlCol="0">
                        <a:noAutofit/>
                      </wps:bodyPr>
                    </wps:wsp>
                  </a:graphicData>
                </a:graphic>
              </wp:anchor>
            </w:drawing>
          </mc:Choice>
          <mc:Fallback>
            <w:pict>
              <v:shape id="Textbox 2" o:spid="_x0000_s1026" o:spt="202" type="#_x0000_t202" style="position:absolute;left:0pt;margin-left:54.2pt;margin-top:9.2pt;height:58.35pt;width:517.3pt;mso-position-horizontal-relative:page;mso-wrap-distance-bottom:0pt;mso-wrap-distance-top:0pt;z-index:-251656192;mso-width-relative:page;mso-height-relative:page;" fillcolor="#FFF8E6" filled="t" stroked="t" coordsize="21600,21600" o:gfxdata="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Ijb9DXAAAACwEAAA8AAAAAAAAAAQAgAAAAIgAAAGRycy9kb3ducmV2LnhtbFBLAQIUABQA&#10;AAAIAIdO4kAsRaUP8QEAAAwEAAAOAAAAAAAAAAEAIAAAACYBAABkcnMvZTJvRG9jLnhtbFBLBQYA&#10;AAAABgAGAFkBAACJBQAAAAA=&#10;">
                <v:fill on="t" focussize="0,0"/>
                <v:stroke weight="0.47992125984252pt" color="#1F4E79" joinstyle="round"/>
                <v:imagedata o:title=""/>
                <o:lock v:ext="edit" aspectratio="f"/>
                <v:textbox inset="0mm,0mm,0mm,0mm">
                  <w:txbxContent>
                    <w:p w14:paraId="1C64403F">
                      <w:pPr>
                        <w:spacing w:before="100"/>
                        <w:ind w:left="194" w:right="0" w:firstLine="0"/>
                        <w:jc w:val="left"/>
                        <w:rPr>
                          <w:b/>
                          <w:color w:val="000000"/>
                          <w:sz w:val="24"/>
                        </w:rPr>
                      </w:pPr>
                      <w:r>
                        <w:rPr>
                          <w:b/>
                          <w:color w:val="C00000"/>
                          <w:sz w:val="24"/>
                        </w:rPr>
                        <w:t>Code of</w:t>
                      </w:r>
                      <w:r>
                        <w:rPr>
                          <w:b/>
                          <w:color w:val="C00000"/>
                          <w:spacing w:val="-2"/>
                          <w:sz w:val="24"/>
                        </w:rPr>
                        <w:t xml:space="preserve"> Conduct</w:t>
                      </w:r>
                    </w:p>
                    <w:p w14:paraId="5541C9C2">
                      <w:pPr>
                        <w:tabs>
                          <w:tab w:val="left" w:pos="2664"/>
                        </w:tabs>
                        <w:spacing w:before="1"/>
                        <w:ind w:left="194" w:right="194" w:firstLine="0"/>
                        <w:jc w:val="left"/>
                        <w:rPr>
                          <w:i/>
                          <w:color w:val="000000"/>
                          <w:sz w:val="18"/>
                        </w:rPr>
                      </w:pPr>
                      <w:r>
                        <w:rPr>
                          <w:i/>
                          <w:color w:val="000000"/>
                          <w:sz w:val="18"/>
                        </w:rPr>
                        <w:t>I</w:t>
                      </w:r>
                      <w:r>
                        <w:rPr>
                          <w:i/>
                          <w:color w:val="000000"/>
                          <w:spacing w:val="-12"/>
                          <w:sz w:val="18"/>
                        </w:rPr>
                        <w:t xml:space="preserve"> </w:t>
                      </w:r>
                      <w:r>
                        <w:rPr>
                          <w:rFonts w:hint="default"/>
                          <w:i/>
                          <w:color w:val="000000"/>
                          <w:sz w:val="18"/>
                          <w:u w:val="single"/>
                          <w:lang w:val="en-US"/>
                        </w:rPr>
                        <w:t>Balu S(192572015)</w:t>
                      </w:r>
                      <w:r>
                        <w:rPr>
                          <w:i/>
                          <w:color w:val="000000"/>
                          <w:spacing w:val="-11"/>
                          <w:sz w:val="18"/>
                        </w:rPr>
                        <w:t xml:space="preserve"> </w:t>
                      </w:r>
                      <w:r>
                        <w:rPr>
                          <w:i/>
                          <w:color w:val="000000"/>
                          <w:sz w:val="18"/>
                        </w:rPr>
                        <w:t>certify</w:t>
                      </w:r>
                      <w:r>
                        <w:rPr>
                          <w:i/>
                          <w:color w:val="000000"/>
                          <w:spacing w:val="-12"/>
                          <w:sz w:val="18"/>
                        </w:rPr>
                        <w:t xml:space="preserve"> </w:t>
                      </w:r>
                      <w:r>
                        <w:rPr>
                          <w:i/>
                          <w:color w:val="000000"/>
                          <w:sz w:val="18"/>
                        </w:rPr>
                        <w:t>that</w:t>
                      </w:r>
                      <w:r>
                        <w:rPr>
                          <w:i/>
                          <w:color w:val="000000"/>
                          <w:spacing w:val="-11"/>
                          <w:sz w:val="18"/>
                        </w:rPr>
                        <w:t xml:space="preserve"> </w:t>
                      </w:r>
                      <w:r>
                        <w:rPr>
                          <w:i/>
                          <w:color w:val="000000"/>
                          <w:sz w:val="18"/>
                        </w:rPr>
                        <w:t>this</w:t>
                      </w:r>
                      <w:r>
                        <w:rPr>
                          <w:i/>
                          <w:color w:val="000000"/>
                          <w:spacing w:val="-11"/>
                          <w:sz w:val="18"/>
                        </w:rPr>
                        <w:t xml:space="preserve"> </w:t>
                      </w:r>
                      <w:r>
                        <w:rPr>
                          <w:i/>
                          <w:color w:val="000000"/>
                          <w:sz w:val="18"/>
                        </w:rPr>
                        <w:t>submission</w:t>
                      </w:r>
                      <w:r>
                        <w:rPr>
                          <w:i/>
                          <w:color w:val="000000"/>
                          <w:spacing w:val="-11"/>
                          <w:sz w:val="18"/>
                        </w:rPr>
                        <w:t xml:space="preserve"> </w:t>
                      </w:r>
                      <w:r>
                        <w:rPr>
                          <w:i/>
                          <w:color w:val="000000"/>
                          <w:sz w:val="18"/>
                        </w:rPr>
                        <w:t>is</w:t>
                      </w:r>
                      <w:r>
                        <w:rPr>
                          <w:i/>
                          <w:color w:val="000000"/>
                          <w:spacing w:val="-12"/>
                          <w:sz w:val="18"/>
                        </w:rPr>
                        <w:t xml:space="preserve"> </w:t>
                      </w:r>
                      <w:r>
                        <w:rPr>
                          <w:i/>
                          <w:color w:val="000000"/>
                          <w:sz w:val="18"/>
                        </w:rPr>
                        <w:t>my</w:t>
                      </w:r>
                      <w:r>
                        <w:rPr>
                          <w:i/>
                          <w:color w:val="000000"/>
                          <w:spacing w:val="-11"/>
                          <w:sz w:val="18"/>
                        </w:rPr>
                        <w:t xml:space="preserve"> </w:t>
                      </w:r>
                      <w:r>
                        <w:rPr>
                          <w:i/>
                          <w:color w:val="000000"/>
                          <w:sz w:val="18"/>
                        </w:rPr>
                        <w:t>original</w:t>
                      </w:r>
                      <w:r>
                        <w:rPr>
                          <w:i/>
                          <w:color w:val="000000"/>
                          <w:spacing w:val="-11"/>
                          <w:sz w:val="18"/>
                        </w:rPr>
                        <w:t xml:space="preserve"> </w:t>
                      </w:r>
                      <w:r>
                        <w:rPr>
                          <w:i/>
                          <w:color w:val="000000"/>
                          <w:sz w:val="18"/>
                        </w:rPr>
                        <w:t>work</w:t>
                      </w:r>
                      <w:r>
                        <w:rPr>
                          <w:i/>
                          <w:color w:val="000000"/>
                          <w:spacing w:val="-11"/>
                          <w:sz w:val="18"/>
                        </w:rPr>
                        <w:t xml:space="preserve"> </w:t>
                      </w:r>
                      <w:r>
                        <w:rPr>
                          <w:i/>
                          <w:color w:val="000000"/>
                          <w:sz w:val="18"/>
                        </w:rPr>
                        <w:t>and</w:t>
                      </w:r>
                      <w:r>
                        <w:rPr>
                          <w:i/>
                          <w:color w:val="000000"/>
                          <w:spacing w:val="-12"/>
                          <w:sz w:val="18"/>
                        </w:rPr>
                        <w:t xml:space="preserve"> </w:t>
                      </w:r>
                      <w:r>
                        <w:rPr>
                          <w:i/>
                          <w:color w:val="000000"/>
                          <w:sz w:val="18"/>
                        </w:rPr>
                        <w:t>that</w:t>
                      </w:r>
                      <w:r>
                        <w:rPr>
                          <w:i/>
                          <w:color w:val="000000"/>
                          <w:spacing w:val="-11"/>
                          <w:sz w:val="18"/>
                        </w:rPr>
                        <w:t xml:space="preserve"> </w:t>
                      </w:r>
                      <w:r>
                        <w:rPr>
                          <w:i/>
                          <w:color w:val="000000"/>
                          <w:sz w:val="18"/>
                        </w:rPr>
                        <w:t>I</w:t>
                      </w:r>
                      <w:r>
                        <w:rPr>
                          <w:i/>
                          <w:color w:val="000000"/>
                          <w:spacing w:val="-12"/>
                          <w:sz w:val="18"/>
                        </w:rPr>
                        <w:t xml:space="preserve"> </w:t>
                      </w:r>
                      <w:r>
                        <w:rPr>
                          <w:i/>
                          <w:color w:val="000000"/>
                          <w:sz w:val="18"/>
                        </w:rPr>
                        <w:t>have</w:t>
                      </w:r>
                      <w:r>
                        <w:rPr>
                          <w:i/>
                          <w:color w:val="000000"/>
                          <w:spacing w:val="-11"/>
                          <w:sz w:val="18"/>
                        </w:rPr>
                        <w:t xml:space="preserve"> </w:t>
                      </w:r>
                      <w:r>
                        <w:rPr>
                          <w:i/>
                          <w:color w:val="000000"/>
                          <w:sz w:val="18"/>
                        </w:rPr>
                        <w:t>adhered</w:t>
                      </w:r>
                      <w:r>
                        <w:rPr>
                          <w:i/>
                          <w:color w:val="000000"/>
                          <w:spacing w:val="-11"/>
                          <w:sz w:val="18"/>
                        </w:rPr>
                        <w:t xml:space="preserve"> </w:t>
                      </w:r>
                      <w:r>
                        <w:rPr>
                          <w:i/>
                          <w:color w:val="000000"/>
                          <w:sz w:val="18"/>
                        </w:rPr>
                        <w:t>to</w:t>
                      </w:r>
                      <w:r>
                        <w:rPr>
                          <w:i/>
                          <w:color w:val="000000"/>
                          <w:spacing w:val="-10"/>
                          <w:sz w:val="18"/>
                        </w:rPr>
                        <w:t xml:space="preserve"> </w:t>
                      </w:r>
                      <w:r>
                        <w:rPr>
                          <w:i/>
                          <w:color w:val="000000"/>
                          <w:sz w:val="18"/>
                        </w:rPr>
                        <w:t>the</w:t>
                      </w:r>
                      <w:r>
                        <w:rPr>
                          <w:i/>
                          <w:color w:val="000000"/>
                          <w:spacing w:val="-5"/>
                          <w:sz w:val="18"/>
                        </w:rPr>
                        <w:t xml:space="preserve"> </w:t>
                      </w:r>
                      <w:r>
                        <w:rPr>
                          <w:i/>
                          <w:color w:val="000000"/>
                          <w:sz w:val="18"/>
                        </w:rPr>
                        <w:t>guidelines specified for this assessment. I understand that any violation of academic integrity rules will result in disciplinary action.</w:t>
                      </w:r>
                    </w:p>
                    <w:p w14:paraId="149EE798">
                      <w:pPr>
                        <w:tabs>
                          <w:tab w:val="left" w:pos="4323"/>
                        </w:tabs>
                        <w:spacing w:before="59"/>
                        <w:ind w:left="194" w:right="0" w:firstLine="0"/>
                        <w:jc w:val="left"/>
                        <w:rPr>
                          <w:color w:val="000000"/>
                          <w:sz w:val="18"/>
                        </w:rPr>
                      </w:pPr>
                      <w:r>
                        <w:rPr>
                          <w:color w:val="000000"/>
                          <w:sz w:val="18"/>
                        </w:rPr>
                        <w:t>Signature of</w:t>
                      </w:r>
                      <w:r>
                        <w:rPr>
                          <w:color w:val="000000"/>
                          <w:spacing w:val="-1"/>
                          <w:sz w:val="18"/>
                        </w:rPr>
                        <w:t xml:space="preserve"> </w:t>
                      </w:r>
                      <w:r>
                        <w:rPr>
                          <w:color w:val="000000"/>
                          <w:sz w:val="18"/>
                        </w:rPr>
                        <w:t>the Student:</w:t>
                      </w:r>
                      <w:r>
                        <w:rPr>
                          <w:color w:val="000000"/>
                          <w:spacing w:val="-1"/>
                          <w:sz w:val="18"/>
                        </w:rPr>
                        <w:t xml:space="preserve"> </w:t>
                      </w:r>
                      <w:r>
                        <w:rPr>
                          <w:color w:val="000000"/>
                          <w:sz w:val="18"/>
                          <w:u w:val="single"/>
                        </w:rPr>
                        <w:tab/>
                      </w:r>
                    </w:p>
                  </w:txbxContent>
                </v:textbox>
                <w10:wrap type="topAndBottom"/>
              </v:shape>
            </w:pict>
          </mc:Fallback>
        </mc:AlternateContent>
      </w:r>
    </w:p>
    <w:p w14:paraId="02513135">
      <w:pPr>
        <w:spacing w:before="83" w:after="23"/>
        <w:ind w:left="360" w:right="0" w:firstLine="0"/>
        <w:jc w:val="both"/>
        <w:rPr>
          <w:b/>
          <w:sz w:val="24"/>
        </w:rPr>
      </w:pPr>
      <w:r>
        <w:rPr>
          <w:b/>
          <w:color w:val="C00000"/>
          <w:sz w:val="22"/>
        </w:rPr>
        <w:t>Annexure</w:t>
      </w:r>
      <w:r>
        <w:rPr>
          <w:b/>
          <w:color w:val="C00000"/>
          <w:spacing w:val="-2"/>
          <w:sz w:val="22"/>
        </w:rPr>
        <w:t xml:space="preserve"> </w:t>
      </w:r>
      <w:r>
        <w:rPr>
          <w:b/>
          <w:color w:val="C00000"/>
          <w:sz w:val="22"/>
        </w:rPr>
        <w:t>A</w:t>
      </w:r>
      <w:r>
        <w:rPr>
          <w:b/>
          <w:color w:val="C00000"/>
          <w:spacing w:val="-3"/>
          <w:sz w:val="22"/>
        </w:rPr>
        <w:t xml:space="preserve"> </w:t>
      </w:r>
      <w:r>
        <w:rPr>
          <w:b/>
          <w:color w:val="C00000"/>
          <w:sz w:val="22"/>
        </w:rPr>
        <w:t>–</w:t>
      </w:r>
      <w:r>
        <w:rPr>
          <w:b/>
          <w:color w:val="C00000"/>
          <w:spacing w:val="-1"/>
          <w:sz w:val="22"/>
        </w:rPr>
        <w:t xml:space="preserve"> </w:t>
      </w:r>
      <w:r>
        <w:rPr>
          <w:b/>
          <w:color w:val="C00000"/>
          <w:sz w:val="24"/>
        </w:rPr>
        <w:t>Case</w:t>
      </w:r>
      <w:r>
        <w:rPr>
          <w:b/>
          <w:color w:val="C00000"/>
          <w:spacing w:val="-4"/>
          <w:sz w:val="24"/>
        </w:rPr>
        <w:t xml:space="preserve"> </w:t>
      </w:r>
      <w:r>
        <w:rPr>
          <w:b/>
          <w:color w:val="C00000"/>
          <w:sz w:val="24"/>
        </w:rPr>
        <w:t>Study</w:t>
      </w:r>
      <w:r>
        <w:rPr>
          <w:b/>
          <w:color w:val="C00000"/>
          <w:spacing w:val="-1"/>
          <w:sz w:val="24"/>
        </w:rPr>
        <w:t xml:space="preserve"> </w:t>
      </w:r>
      <w:r>
        <w:rPr>
          <w:b/>
          <w:color w:val="C00000"/>
          <w:spacing w:val="-2"/>
          <w:sz w:val="24"/>
        </w:rPr>
        <w:t>Analysis</w:t>
      </w:r>
    </w:p>
    <w:p w14:paraId="585AC8FC">
      <w:pPr>
        <w:spacing w:line="20" w:lineRule="exact"/>
        <w:ind w:left="331" w:right="0" w:firstLine="0"/>
        <w:rPr>
          <w:sz w:val="2"/>
        </w:rPr>
      </w:pPr>
      <w:r>
        <w:rPr>
          <w:sz w:val="2"/>
        </w:rPr>
        <mc:AlternateContent>
          <mc:Choice Requires="wpg">
            <w:drawing>
              <wp:inline distT="0" distB="0" distL="0" distR="0">
                <wp:extent cx="6438900" cy="6350"/>
                <wp:effectExtent l="0" t="0" r="0" b="0"/>
                <wp:docPr id="19" name="Group 19"/>
                <wp:cNvGraphicFramePr/>
                <a:graphic xmlns:a="http://schemas.openxmlformats.org/drawingml/2006/main">
                  <a:graphicData uri="http://schemas.microsoft.com/office/word/2010/wordprocessingGroup">
                    <wpg:wgp>
                      <wpg:cNvGrpSpPr/>
                      <wpg:grpSpPr>
                        <a:xfrm>
                          <a:off x="0" y="0"/>
                          <a:ext cx="6438900" cy="6350"/>
                          <a:chOff x="0" y="0"/>
                          <a:chExt cx="6438900" cy="6350"/>
                        </a:xfrm>
                      </wpg:grpSpPr>
                      <wps:wsp>
                        <wps:cNvPr id="20" name="Graphic 4"/>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C00000"/>
                          </a:solidFill>
                        </wps:spPr>
                        <wps:bodyPr wrap="square" lIns="0" tIns="0" rIns="0" bIns="0" rtlCol="0">
                          <a:noAutofit/>
                        </wps:bodyPr>
                      </wps:wsp>
                    </wpg:wgp>
                  </a:graphicData>
                </a:graphic>
              </wp:inline>
            </w:drawing>
          </mc:Choice>
          <mc:Fallback>
            <w:pict>
              <v:group id="_x0000_s1026" o:spid="_x0000_s1026" o:spt="203" style="height:0.5pt;width:507pt;" coordsize="6438900,6350" o:gfxdata="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Ja/bm0wAAAAQBAAAPAAAAAAAAAAEAIAAAACIAAABkcnMvZG93bnJldi54bWxQSwECFAAU&#10;AAAACACHTuJAjVuqimgCAAAJBgAADgAAAAAAAAABACAAAAAiAQAAZHJzL2Uyb0RvYy54bWxQSwUG&#10;AAAAAAYABgBZAQAA/AUAAAAA&#10;">
                <o:lock v:ext="edit" aspectratio="f"/>
                <v:shape id="Graphic 4" o:spid="_x0000_s1026" o:spt="100" style="position:absolute;left:0;top:0;height:6350;width:6438900;" fillcolor="#C00000" filled="t" stroked="f" coordsize="6438900,6350" o:gfxdata="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Mt1C5AAAA2wAA&#10;AA8AAAAAAAAAAQAgAAAAIgAAAGRycy9kb3ducmV2LnhtbFBLAQIUABQAAAAIAIdO4kAzLwWeOwAA&#10;ADkAAAAQAAAAAAAAAAEAIAAAAAgBAABkcnMvc2hhcGV4bWwueG1sUEsFBgAAAAAGAAYAWwEAALID&#10;AAAAAA==&#10;" path="m6438645,0l0,0,0,6095,6438645,6095,6438645,0xe">
                  <v:fill on="t" focussize="0,0"/>
                  <v:stroke on="f"/>
                  <v:imagedata o:title=""/>
                  <o:lock v:ext="edit" aspectratio="f"/>
                  <v:textbox inset="0mm,0mm,0mm,0mm"/>
                </v:shape>
                <w10:wrap type="none"/>
                <w10:anchorlock/>
              </v:group>
            </w:pict>
          </mc:Fallback>
        </mc:AlternateContent>
      </w:r>
    </w:p>
    <w:p w14:paraId="2BA20B1C">
      <w:pPr>
        <w:pStyle w:val="4"/>
        <w:spacing w:before="29"/>
        <w:ind w:left="36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Instructions</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to</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pacing w:val="-2"/>
          <w:sz w:val="24"/>
          <w:szCs w:val="24"/>
        </w:rPr>
        <w:t>Students:</w:t>
      </w:r>
    </w:p>
    <w:p w14:paraId="6A922379">
      <w:pPr>
        <w:pStyle w:val="10"/>
        <w:spacing w:line="240" w:lineRule="auto"/>
        <w:ind w:left="360" w:right="717"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Each student will be allotted</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b/>
          <w:sz w:val="24"/>
          <w:szCs w:val="24"/>
        </w:rPr>
        <w:t>one problem statement</w:t>
      </w:r>
      <w:r>
        <w:rPr>
          <w:rFonts w:hint="default" w:ascii="Times New Roman Regular" w:hAnsi="Times New Roman Regular" w:cs="Times New Roman Regular"/>
          <w:sz w:val="24"/>
          <w:szCs w:val="24"/>
        </w:rPr>
        <w:t>. Analyze the assigned problem systematically by following the steps given below. Your report should demonstrate your understanding of software engineering concepts and your ability to design an appropriate software solution.</w:t>
      </w:r>
    </w:p>
    <w:p w14:paraId="0B202998">
      <w:pPr>
        <w:pStyle w:val="10"/>
        <w:spacing w:before="1" w:line="252" w:lineRule="exact"/>
        <w:ind w:left="360" w:firstLine="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Based</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on</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your</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allotted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problem</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statement,</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prepare</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a</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report</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by</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answering</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following</w:t>
      </w:r>
      <w:r>
        <w:rPr>
          <w:rFonts w:hint="default" w:ascii="Times New Roman Regular" w:hAnsi="Times New Roman Regular" w:cs="Times New Roman Regular"/>
          <w:spacing w:val="-2"/>
          <w:sz w:val="24"/>
          <w:szCs w:val="24"/>
        </w:rPr>
        <w:t xml:space="preserve"> questions:</w:t>
      </w:r>
    </w:p>
    <w:p w14:paraId="3490DEE5">
      <w:pPr>
        <w:pStyle w:val="4"/>
        <w:numPr>
          <w:ilvl w:val="0"/>
          <w:numId w:val="1"/>
        </w:numPr>
        <w:tabs>
          <w:tab w:val="left" w:pos="1079"/>
        </w:tabs>
        <w:spacing w:before="0" w:after="0" w:line="252" w:lineRule="exact"/>
        <w:ind w:left="1079" w:right="0" w:hanging="359"/>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Understand</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Problem</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pacing w:val="-2"/>
          <w:sz w:val="24"/>
          <w:szCs w:val="24"/>
        </w:rPr>
        <w:t>Statement</w:t>
      </w:r>
    </w:p>
    <w:p w14:paraId="13E97FC2">
      <w:pPr>
        <w:pStyle w:val="17"/>
        <w:numPr>
          <w:ilvl w:val="1"/>
          <w:numId w:val="1"/>
        </w:numPr>
        <w:tabs>
          <w:tab w:val="left" w:pos="1799"/>
        </w:tabs>
        <w:spacing w:before="0" w:after="0" w:line="260"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Explain</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problem</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in</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your</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own</w:t>
      </w:r>
      <w:r>
        <w:rPr>
          <w:rFonts w:hint="default" w:ascii="Times New Roman Regular" w:hAnsi="Times New Roman Regular" w:cs="Times New Roman Regular"/>
          <w:spacing w:val="-2"/>
          <w:sz w:val="24"/>
          <w:szCs w:val="24"/>
        </w:rPr>
        <w:t xml:space="preserve"> words.</w:t>
      </w:r>
    </w:p>
    <w:p w14:paraId="401CB231">
      <w:pPr>
        <w:pStyle w:val="17"/>
        <w:numPr>
          <w:ilvl w:val="1"/>
          <w:numId w:val="1"/>
        </w:numPr>
        <w:tabs>
          <w:tab w:val="left" w:pos="1799"/>
        </w:tabs>
        <w:spacing w:before="0" w:after="0" w:line="253"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Identify</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objectives</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of</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proposed</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pacing w:val="-2"/>
          <w:sz w:val="24"/>
          <w:szCs w:val="24"/>
        </w:rPr>
        <w:t>system.</w:t>
      </w:r>
    </w:p>
    <w:p w14:paraId="71A56D17">
      <w:pPr>
        <w:pStyle w:val="17"/>
        <w:numPr>
          <w:ilvl w:val="1"/>
          <w:numId w:val="1"/>
        </w:numPr>
        <w:tabs>
          <w:tab w:val="left" w:pos="1799"/>
        </w:tabs>
        <w:spacing w:before="0" w:after="0" w:line="253"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State</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scope</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of</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2"/>
          <w:sz w:val="24"/>
          <w:szCs w:val="24"/>
        </w:rPr>
        <w:t xml:space="preserve"> problem.</w:t>
      </w:r>
    </w:p>
    <w:p w14:paraId="102D1872">
      <w:pPr>
        <w:pStyle w:val="4"/>
        <w:numPr>
          <w:ilvl w:val="0"/>
          <w:numId w:val="1"/>
        </w:numPr>
        <w:tabs>
          <w:tab w:val="left" w:pos="1079"/>
        </w:tabs>
        <w:spacing w:before="0" w:after="0" w:line="247" w:lineRule="exact"/>
        <w:ind w:left="107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Identify</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z w:val="24"/>
          <w:szCs w:val="24"/>
        </w:rPr>
        <w:t>Key</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Stakeholders</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and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2"/>
          <w:sz w:val="24"/>
          <w:szCs w:val="24"/>
        </w:rPr>
        <w:t>Challenges</w:t>
      </w:r>
    </w:p>
    <w:p w14:paraId="5F35DEE5">
      <w:pPr>
        <w:pStyle w:val="17"/>
        <w:numPr>
          <w:ilvl w:val="1"/>
          <w:numId w:val="1"/>
        </w:numPr>
        <w:tabs>
          <w:tab w:val="left" w:pos="1799"/>
        </w:tabs>
        <w:spacing w:before="0" w:after="0" w:line="258"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Identify</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all</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stakeholders</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involved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in</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2"/>
          <w:sz w:val="24"/>
          <w:szCs w:val="24"/>
        </w:rPr>
        <w:t>system.</w:t>
      </w:r>
    </w:p>
    <w:p w14:paraId="49CA75B4">
      <w:pPr>
        <w:pStyle w:val="17"/>
        <w:numPr>
          <w:ilvl w:val="1"/>
          <w:numId w:val="1"/>
        </w:numPr>
        <w:tabs>
          <w:tab w:val="left" w:pos="1799"/>
        </w:tabs>
        <w:spacing w:before="0" w:after="0" w:line="253"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Explain</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roles</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and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responsibilities</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of</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each</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2"/>
          <w:sz w:val="24"/>
          <w:szCs w:val="24"/>
        </w:rPr>
        <w:t>stakeholder.</w:t>
      </w:r>
    </w:p>
    <w:p w14:paraId="65835BC0">
      <w:pPr>
        <w:pStyle w:val="17"/>
        <w:numPr>
          <w:ilvl w:val="1"/>
          <w:numId w:val="1"/>
        </w:numPr>
        <w:tabs>
          <w:tab w:val="left" w:pos="1799"/>
        </w:tabs>
        <w:spacing w:before="0" w:after="0" w:line="253"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Discuss</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major</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challenges</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and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issues</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faced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by</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2"/>
          <w:sz w:val="24"/>
          <w:szCs w:val="24"/>
        </w:rPr>
        <w:t xml:space="preserve"> stakeholders.</w:t>
      </w:r>
    </w:p>
    <w:p w14:paraId="624EA84A">
      <w:pPr>
        <w:pStyle w:val="4"/>
        <w:numPr>
          <w:ilvl w:val="0"/>
          <w:numId w:val="1"/>
        </w:numPr>
        <w:tabs>
          <w:tab w:val="left" w:pos="1079"/>
        </w:tabs>
        <w:spacing w:before="0" w:after="0" w:line="246" w:lineRule="exact"/>
        <w:ind w:left="107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Analyze</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Current</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2"/>
          <w:sz w:val="24"/>
          <w:szCs w:val="24"/>
        </w:rPr>
        <w:t>Approach</w:t>
      </w:r>
    </w:p>
    <w:p w14:paraId="5B6DC944">
      <w:pPr>
        <w:pStyle w:val="17"/>
        <w:numPr>
          <w:ilvl w:val="1"/>
          <w:numId w:val="1"/>
        </w:numPr>
        <w:tabs>
          <w:tab w:val="left" w:pos="1799"/>
        </w:tabs>
        <w:spacing w:before="2" w:after="0" w:line="259"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Describe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existing</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system</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or</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current</w:t>
      </w:r>
      <w:r>
        <w:rPr>
          <w:rFonts w:hint="default" w:ascii="Times New Roman Regular" w:hAnsi="Times New Roman Regular" w:cs="Times New Roman Regular"/>
          <w:spacing w:val="-2"/>
          <w:sz w:val="24"/>
          <w:szCs w:val="24"/>
        </w:rPr>
        <w:t xml:space="preserve"> process.</w:t>
      </w:r>
    </w:p>
    <w:p w14:paraId="5CBFDB06">
      <w:pPr>
        <w:pStyle w:val="17"/>
        <w:numPr>
          <w:ilvl w:val="1"/>
          <w:numId w:val="1"/>
        </w:numPr>
        <w:tabs>
          <w:tab w:val="left" w:pos="1799"/>
        </w:tabs>
        <w:spacing w:before="0" w:after="0" w:line="252"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Identify</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its</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strengths</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and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2"/>
          <w:sz w:val="24"/>
          <w:szCs w:val="24"/>
        </w:rPr>
        <w:t>limitations.</w:t>
      </w:r>
    </w:p>
    <w:p w14:paraId="19081A7E">
      <w:pPr>
        <w:pStyle w:val="17"/>
        <w:numPr>
          <w:ilvl w:val="1"/>
          <w:numId w:val="1"/>
        </w:numPr>
        <w:tabs>
          <w:tab w:val="left" w:pos="1799"/>
        </w:tabs>
        <w:spacing w:before="0" w:after="0" w:line="253"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Analyze</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problems</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or</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gaps</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that</w:t>
      </w:r>
      <w:r>
        <w:rPr>
          <w:rFonts w:hint="default" w:ascii="Times New Roman Regular" w:hAnsi="Times New Roman Regular" w:cs="Times New Roman Regular"/>
          <w:spacing w:val="-1"/>
          <w:sz w:val="24"/>
          <w:szCs w:val="24"/>
        </w:rPr>
        <w:t xml:space="preserve"> </w:t>
      </w:r>
      <w:r>
        <w:rPr>
          <w:rFonts w:hint="default" w:ascii="Times New Roman Regular" w:hAnsi="Times New Roman Regular" w:cs="Times New Roman Regular"/>
          <w:sz w:val="24"/>
          <w:szCs w:val="24"/>
        </w:rPr>
        <w:t>need</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to</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be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2"/>
          <w:sz w:val="24"/>
          <w:szCs w:val="24"/>
        </w:rPr>
        <w:t>addressed.</w:t>
      </w:r>
    </w:p>
    <w:p w14:paraId="36E7A693">
      <w:pPr>
        <w:pStyle w:val="4"/>
        <w:numPr>
          <w:ilvl w:val="0"/>
          <w:numId w:val="1"/>
        </w:numPr>
        <w:tabs>
          <w:tab w:val="left" w:pos="1079"/>
        </w:tabs>
        <w:spacing w:before="0" w:after="0" w:line="247" w:lineRule="exact"/>
        <w:ind w:left="107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Propose</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z w:val="24"/>
          <w:szCs w:val="24"/>
        </w:rPr>
        <w:t>a</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Suitable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Solution</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Using</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Software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Engineering</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2"/>
          <w:sz w:val="24"/>
          <w:szCs w:val="24"/>
        </w:rPr>
        <w:t>Principles</w:t>
      </w:r>
    </w:p>
    <w:p w14:paraId="3A046831">
      <w:pPr>
        <w:pStyle w:val="17"/>
        <w:numPr>
          <w:ilvl w:val="1"/>
          <w:numId w:val="1"/>
        </w:numPr>
        <w:tabs>
          <w:tab w:val="left" w:pos="1799"/>
        </w:tabs>
        <w:spacing w:before="0" w:after="0" w:line="259"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Design</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a</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software-based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solution</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for</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given</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pacing w:val="-2"/>
          <w:sz w:val="24"/>
          <w:szCs w:val="24"/>
        </w:rPr>
        <w:t>problem.</w:t>
      </w:r>
    </w:p>
    <w:p w14:paraId="3C7643DB">
      <w:pPr>
        <w:pStyle w:val="17"/>
        <w:numPr>
          <w:ilvl w:val="1"/>
          <w:numId w:val="1"/>
        </w:numPr>
        <w:tabs>
          <w:tab w:val="left" w:pos="1799"/>
        </w:tabs>
        <w:spacing w:before="0" w:after="0" w:line="253"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Describe</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major</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functional</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modules</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of</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proposed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pacing w:val="-2"/>
          <w:sz w:val="24"/>
          <w:szCs w:val="24"/>
        </w:rPr>
        <w:t>system.</w:t>
      </w:r>
    </w:p>
    <w:p w14:paraId="48BB159E">
      <w:pPr>
        <w:pStyle w:val="17"/>
        <w:numPr>
          <w:ilvl w:val="1"/>
          <w:numId w:val="1"/>
        </w:numPr>
        <w:tabs>
          <w:tab w:val="left" w:pos="1799"/>
        </w:tabs>
        <w:spacing w:before="0" w:after="0" w:line="252"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Identify</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functional</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and</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non-functional</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pacing w:val="-2"/>
          <w:sz w:val="24"/>
          <w:szCs w:val="24"/>
        </w:rPr>
        <w:t>requirements.</w:t>
      </w:r>
    </w:p>
    <w:p w14:paraId="4ADFA463">
      <w:pPr>
        <w:pStyle w:val="17"/>
        <w:numPr>
          <w:ilvl w:val="1"/>
          <w:numId w:val="1"/>
        </w:numPr>
        <w:tabs>
          <w:tab w:val="left" w:pos="1800"/>
        </w:tabs>
        <w:spacing w:before="1" w:after="0" w:line="230" w:lineRule="auto"/>
        <w:ind w:left="1800" w:right="1186" w:hanging="36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Explain</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how</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software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engineering</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principles</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such</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as</w:t>
      </w:r>
      <w:r>
        <w:rPr>
          <w:rFonts w:hint="default" w:ascii="Times New Roman Regular" w:hAnsi="Times New Roman Regular" w:cs="Times New Roman Regular"/>
          <w:spacing w:val="-9"/>
          <w:sz w:val="24"/>
          <w:szCs w:val="24"/>
        </w:rPr>
        <w:t xml:space="preserve"> </w:t>
      </w:r>
      <w:r>
        <w:rPr>
          <w:rFonts w:hint="default" w:ascii="Times New Roman Regular" w:hAnsi="Times New Roman Regular" w:cs="Times New Roman Regular"/>
          <w:sz w:val="24"/>
          <w:szCs w:val="24"/>
        </w:rPr>
        <w:t>modularity,</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scalability,</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maintainability, reliability, usability, and security are incorporated into your solution.</w:t>
      </w:r>
    </w:p>
    <w:p w14:paraId="07C03DC7">
      <w:pPr>
        <w:pStyle w:val="4"/>
        <w:numPr>
          <w:ilvl w:val="0"/>
          <w:numId w:val="1"/>
        </w:numPr>
        <w:tabs>
          <w:tab w:val="left" w:pos="1079"/>
        </w:tabs>
        <w:spacing w:before="0" w:after="0" w:line="240" w:lineRule="auto"/>
        <w:ind w:left="107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Justify</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Chosen</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pacing w:val="-2"/>
          <w:sz w:val="24"/>
          <w:szCs w:val="24"/>
        </w:rPr>
        <w:t>Methodology/Framework</w:t>
      </w:r>
    </w:p>
    <w:p w14:paraId="5255DF17">
      <w:pPr>
        <w:pStyle w:val="17"/>
        <w:numPr>
          <w:ilvl w:val="1"/>
          <w:numId w:val="1"/>
        </w:numPr>
        <w:tabs>
          <w:tab w:val="left" w:pos="1800"/>
        </w:tabs>
        <w:spacing w:before="11" w:after="0" w:line="228" w:lineRule="auto"/>
        <w:ind w:left="1800" w:right="813" w:hanging="36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Select</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an</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appropriate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Software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Development</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Life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Cycle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(SDLC)</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model</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or</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software</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development framework (e.g., Agile, Scrum, Waterfall, Spiral, DevOps).</w:t>
      </w:r>
    </w:p>
    <w:p w14:paraId="14AE6EA4">
      <w:pPr>
        <w:pStyle w:val="17"/>
        <w:numPr>
          <w:ilvl w:val="1"/>
          <w:numId w:val="1"/>
        </w:numPr>
        <w:tabs>
          <w:tab w:val="left" w:pos="1799"/>
        </w:tabs>
        <w:spacing w:before="2" w:after="0" w:line="260"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Justify</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why</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selected</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methodology/framework</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is</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suitable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for</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proposed</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pacing w:val="-2"/>
          <w:sz w:val="24"/>
          <w:szCs w:val="24"/>
        </w:rPr>
        <w:t>system.</w:t>
      </w:r>
    </w:p>
    <w:p w14:paraId="6E87D272">
      <w:pPr>
        <w:pStyle w:val="17"/>
        <w:numPr>
          <w:ilvl w:val="1"/>
          <w:numId w:val="1"/>
        </w:numPr>
        <w:tabs>
          <w:tab w:val="left" w:pos="1799"/>
        </w:tabs>
        <w:spacing w:before="0" w:after="0" w:line="253"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Explain</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how</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it</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supports</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successful</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project</w:t>
      </w:r>
      <w:r>
        <w:rPr>
          <w:rFonts w:hint="default" w:ascii="Times New Roman Regular" w:hAnsi="Times New Roman Regular" w:cs="Times New Roman Regular"/>
          <w:spacing w:val="-2"/>
          <w:sz w:val="24"/>
          <w:szCs w:val="24"/>
        </w:rPr>
        <w:t xml:space="preserve"> </w:t>
      </w:r>
      <w:r>
        <w:rPr>
          <w:rFonts w:hint="default" w:ascii="Times New Roman Regular" w:hAnsi="Times New Roman Regular" w:cs="Times New Roman Regular"/>
          <w:sz w:val="24"/>
          <w:szCs w:val="24"/>
        </w:rPr>
        <w:t>development</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and</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pacing w:val="-2"/>
          <w:sz w:val="24"/>
          <w:szCs w:val="24"/>
        </w:rPr>
        <w:t>maintenance.</w:t>
      </w:r>
    </w:p>
    <w:p w14:paraId="6FD3338E">
      <w:pPr>
        <w:pStyle w:val="4"/>
        <w:numPr>
          <w:ilvl w:val="0"/>
          <w:numId w:val="1"/>
        </w:numPr>
        <w:tabs>
          <w:tab w:val="left" w:pos="1079"/>
        </w:tabs>
        <w:spacing w:before="0" w:after="0" w:line="246" w:lineRule="exact"/>
        <w:ind w:left="107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Discuss</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Expected</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z w:val="24"/>
          <w:szCs w:val="24"/>
        </w:rPr>
        <w:t>Outcomes</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and</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pacing w:val="-2"/>
          <w:sz w:val="24"/>
          <w:szCs w:val="24"/>
        </w:rPr>
        <w:t>Limitations</w:t>
      </w:r>
    </w:p>
    <w:p w14:paraId="08E8B6FA">
      <w:pPr>
        <w:pStyle w:val="17"/>
        <w:numPr>
          <w:ilvl w:val="1"/>
          <w:numId w:val="1"/>
        </w:numPr>
        <w:tabs>
          <w:tab w:val="left" w:pos="1799"/>
        </w:tabs>
        <w:spacing w:before="1" w:after="0" w:line="259"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Describe</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expected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benefits</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z w:val="24"/>
          <w:szCs w:val="24"/>
        </w:rPr>
        <w:t>of</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proposed</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pacing w:val="-2"/>
          <w:sz w:val="24"/>
          <w:szCs w:val="24"/>
        </w:rPr>
        <w:t>solution.</w:t>
      </w:r>
    </w:p>
    <w:p w14:paraId="4D055804">
      <w:pPr>
        <w:pStyle w:val="17"/>
        <w:numPr>
          <w:ilvl w:val="1"/>
          <w:numId w:val="1"/>
        </w:numPr>
        <w:tabs>
          <w:tab w:val="left" w:pos="1799"/>
        </w:tabs>
        <w:spacing w:before="0" w:after="0" w:line="253" w:lineRule="exact"/>
        <w:ind w:left="1799" w:right="0" w:hanging="359"/>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Explain</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how</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solution</w:t>
      </w:r>
      <w:r>
        <w:rPr>
          <w:rFonts w:hint="default" w:ascii="Times New Roman Regular" w:hAnsi="Times New Roman Regular" w:cs="Times New Roman Regular"/>
          <w:spacing w:val="-3"/>
          <w:sz w:val="24"/>
          <w:szCs w:val="24"/>
        </w:rPr>
        <w:t xml:space="preserve"> </w:t>
      </w:r>
      <w:r>
        <w:rPr>
          <w:rFonts w:hint="default" w:ascii="Times New Roman Regular" w:hAnsi="Times New Roman Regular" w:cs="Times New Roman Regular"/>
          <w:sz w:val="24"/>
          <w:szCs w:val="24"/>
        </w:rPr>
        <w:t>addresses</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the</w:t>
      </w:r>
      <w:r>
        <w:rPr>
          <w:rFonts w:hint="default" w:ascii="Times New Roman Regular" w:hAnsi="Times New Roman Regular" w:cs="Times New Roman Regular"/>
          <w:spacing w:val="-5"/>
          <w:sz w:val="24"/>
          <w:szCs w:val="24"/>
        </w:rPr>
        <w:t xml:space="preserve"> </w:t>
      </w:r>
      <w:r>
        <w:rPr>
          <w:rFonts w:hint="default" w:ascii="Times New Roman Regular" w:hAnsi="Times New Roman Regular" w:cs="Times New Roman Regular"/>
          <w:sz w:val="24"/>
          <w:szCs w:val="24"/>
        </w:rPr>
        <w:t>identified</w:t>
      </w:r>
      <w:r>
        <w:rPr>
          <w:rFonts w:hint="default" w:ascii="Times New Roman Regular" w:hAnsi="Times New Roman Regular" w:cs="Times New Roman Regular"/>
          <w:spacing w:val="-4"/>
          <w:sz w:val="24"/>
          <w:szCs w:val="24"/>
        </w:rPr>
        <w:t xml:space="preserve"> </w:t>
      </w:r>
      <w:r>
        <w:rPr>
          <w:rFonts w:hint="default" w:ascii="Times New Roman Regular" w:hAnsi="Times New Roman Regular" w:cs="Times New Roman Regular"/>
          <w:spacing w:val="-2"/>
          <w:sz w:val="24"/>
          <w:szCs w:val="24"/>
        </w:rPr>
        <w:t>challenges.</w:t>
      </w:r>
    </w:p>
    <w:p w14:paraId="4FA7D0AF">
      <w:pPr>
        <w:pStyle w:val="17"/>
        <w:numPr>
          <w:ilvl w:val="1"/>
          <w:numId w:val="1"/>
        </w:numPr>
        <w:tabs>
          <w:tab w:val="left" w:pos="1799"/>
        </w:tabs>
        <w:spacing w:before="0" w:after="0" w:line="253" w:lineRule="exact"/>
        <w:ind w:left="1799" w:right="0" w:hanging="359"/>
        <w:jc w:val="left"/>
        <w:rPr>
          <w:sz w:val="22"/>
        </w:rPr>
        <w:sectPr>
          <w:pgSz w:w="12240" w:h="15840"/>
          <w:pgMar w:top="1020" w:right="360" w:bottom="280" w:left="720" w:header="720" w:footer="720" w:gutter="0"/>
          <w:cols w:space="720" w:num="1"/>
        </w:sectPr>
      </w:pPr>
      <w:r>
        <w:rPr>
          <w:rFonts w:hint="default" w:ascii="Times New Roman Regular" w:hAnsi="Times New Roman Regular" w:cs="Times New Roman Regular"/>
          <w:sz w:val="24"/>
          <w:szCs w:val="24"/>
        </w:rPr>
        <w:t>Discuss</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z w:val="24"/>
          <w:szCs w:val="24"/>
        </w:rPr>
        <w:t>potential</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z w:val="24"/>
          <w:szCs w:val="24"/>
        </w:rPr>
        <w:t>risks,</w:t>
      </w:r>
      <w:r>
        <w:rPr>
          <w:rFonts w:hint="default" w:ascii="Times New Roman Regular" w:hAnsi="Times New Roman Regular" w:cs="Times New Roman Regular"/>
          <w:spacing w:val="-8"/>
          <w:sz w:val="24"/>
          <w:szCs w:val="24"/>
        </w:rPr>
        <w:t xml:space="preserve"> </w:t>
      </w:r>
      <w:r>
        <w:rPr>
          <w:rFonts w:hint="default" w:ascii="Times New Roman Regular" w:hAnsi="Times New Roman Regular" w:cs="Times New Roman Regular"/>
          <w:sz w:val="24"/>
          <w:szCs w:val="24"/>
        </w:rPr>
        <w:t>implementation</w:t>
      </w:r>
      <w:r>
        <w:rPr>
          <w:rFonts w:hint="default" w:ascii="Times New Roman Regular" w:hAnsi="Times New Roman Regular" w:cs="Times New Roman Regular"/>
          <w:spacing w:val="-9"/>
          <w:sz w:val="24"/>
          <w:szCs w:val="24"/>
        </w:rPr>
        <w:t xml:space="preserve"> </w:t>
      </w:r>
      <w:r>
        <w:rPr>
          <w:rFonts w:hint="default" w:ascii="Times New Roman Regular" w:hAnsi="Times New Roman Regular" w:cs="Times New Roman Regular"/>
          <w:sz w:val="24"/>
          <w:szCs w:val="24"/>
        </w:rPr>
        <w:t>challenges,</w:t>
      </w:r>
      <w:r>
        <w:rPr>
          <w:rFonts w:hint="default" w:ascii="Times New Roman Regular" w:hAnsi="Times New Roman Regular" w:cs="Times New Roman Regular"/>
          <w:spacing w:val="-6"/>
          <w:sz w:val="24"/>
          <w:szCs w:val="24"/>
        </w:rPr>
        <w:t xml:space="preserve"> </w:t>
      </w:r>
      <w:r>
        <w:rPr>
          <w:rFonts w:hint="default" w:ascii="Times New Roman Regular" w:hAnsi="Times New Roman Regular" w:cs="Times New Roman Regular"/>
          <w:sz w:val="24"/>
          <w:szCs w:val="24"/>
        </w:rPr>
        <w:t>and</w:t>
      </w:r>
      <w:r>
        <w:rPr>
          <w:rFonts w:hint="default" w:ascii="Times New Roman Regular" w:hAnsi="Times New Roman Regular" w:cs="Times New Roman Regular"/>
          <w:spacing w:val="-7"/>
          <w:sz w:val="24"/>
          <w:szCs w:val="24"/>
        </w:rPr>
        <w:t xml:space="preserve"> </w:t>
      </w:r>
      <w:r>
        <w:rPr>
          <w:rFonts w:hint="default" w:ascii="Times New Roman Regular" w:hAnsi="Times New Roman Regular" w:cs="Times New Roman Regular"/>
          <w:spacing w:val="-2"/>
          <w:sz w:val="24"/>
          <w:szCs w:val="24"/>
        </w:rPr>
        <w:t>limitations</w:t>
      </w:r>
    </w:p>
    <w:p w14:paraId="1DAED13A">
      <w:pPr>
        <w:spacing w:after="160"/>
        <w:jc w:val="center"/>
        <w:rPr>
          <w:rFonts w:hint="default" w:ascii="Times New Roman Regular" w:hAnsi="Times New Roman Regular" w:cs="Times New Roman Regular"/>
          <w:color w:val="000000" w:themeColor="text1"/>
          <w:sz w:val="52"/>
          <w:szCs w:val="52"/>
          <w14:textFill>
            <w14:solidFill>
              <w14:schemeClr w14:val="tx1"/>
            </w14:solidFill>
          </w14:textFill>
        </w:rPr>
      </w:pPr>
      <w:r>
        <w:rPr>
          <w:rFonts w:hint="default" w:ascii="Times New Roman Regular" w:hAnsi="Times New Roman Regular" w:eastAsia="Calibri" w:cs="Times New Roman Regular"/>
          <w:b/>
          <w:bCs/>
          <w:color w:val="000000" w:themeColor="text1"/>
          <w:sz w:val="52"/>
          <w:szCs w:val="52"/>
          <w14:textFill>
            <w14:solidFill>
              <w14:schemeClr w14:val="tx1"/>
            </w14:solidFill>
          </w14:textFill>
        </w:rPr>
        <w:t>Smart Campus Energy &amp; Sustainability Platform</w:t>
      </w:r>
    </w:p>
    <w:p w14:paraId="3D55B4C0">
      <w:pPr>
        <w:spacing w:after="90" w:line="259" w:lineRule="auto"/>
        <w:jc w:val="both"/>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Abstract:</w:t>
      </w:r>
    </w:p>
    <w:p w14:paraId="55F68509">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Campus estates in higher education and corporate settings combine academic, residential and research buildings with very different operating patterns, and many lack a single real-time view of energy, water, occupancy and renewable output. This report analyses one year of hourly telemetry (105,120 building-hour records across eight data streams) from 12 buildings on two campuses with a combined floor area of 111,300 m². It quantifies consumption and emissions, benchmarks buildings, detects wasteful operation and equipment faults, forecasts portfolio demand, and assesses indoor environmental quality (IEQ) and solar contribution.</w:t>
      </w:r>
    </w:p>
    <w:p w14:paraId="5ED27A0C">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Headline results. </w:t>
      </w:r>
      <w:r>
        <w:rPr>
          <w:rFonts w:hint="default" w:ascii="Times New Roman Regular" w:hAnsi="Times New Roman Regular" w:eastAsia="Calibri" w:cs="Times New Roman Regular"/>
          <w:color w:val="000000" w:themeColor="text1"/>
          <w:sz w:val="24"/>
          <w:szCs w:val="24"/>
          <w14:textFill>
            <w14:solidFill>
              <w14:schemeClr w14:val="tx1"/>
            </w14:solidFill>
          </w14:textFill>
        </w:rPr>
        <w:t>The portfolio used 13,186.7 GWh of electricity, 12,932.6 GWh of gas and 275,846 m³ of water, giving an energy use intensity (EUI) of 234.7 kWh/m² and estimated emissions of 7,654 tCO₂e. Research buildings account for 43.0% of energy on 33.7% of the floor area. The coincident electrical peak was 3,657 kW (load factor 41.2%). Three sustained electrical anomalies (24,186 kWh excess), a concealed water leak of about 549 L/h in Residence Hall 2, and persistent night-time loads in two buildings were identified. A gradient-boosting model forecast hourly demand with a mean absolute percentage error (MAPE) of 1.78% on held-out data, compared with 3.32% for a seasonal-naive benchmark. Solar PV (530 kWp across four buildings) supplied 3.9% of electricity.</w:t>
      </w:r>
    </w:p>
    <w:p w14:paraId="44D20F4A">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Keywords: </w:t>
      </w:r>
      <w:r>
        <w:rPr>
          <w:rFonts w:hint="default" w:ascii="Times New Roman Regular" w:hAnsi="Times New Roman Regular" w:eastAsia="Calibri" w:cs="Times New Roman Regular"/>
          <w:color w:val="000000" w:themeColor="text1"/>
          <w:sz w:val="24"/>
          <w:szCs w:val="24"/>
          <w14:textFill>
            <w14:solidFill>
              <w14:schemeClr w14:val="tx1"/>
            </w14:solidFill>
          </w14:textFill>
        </w:rPr>
        <w:t>smart campus, energy analytics, IoT telemetry, anomaly detection, demand forecasting, benchmarking, sustainability reporting.</w:t>
      </w:r>
    </w:p>
    <w:p w14:paraId="43CEE924">
      <w:pPr>
        <w:pStyle w:val="3"/>
        <w:rPr>
          <w:rFonts w:hint="default" w:ascii="Times New Roman Regular" w:hAnsi="Times New Roman Regular" w:eastAsia="Calibri" w:cs="Times New Roman Regular"/>
          <w:color w:val="000000" w:themeColor="text1"/>
          <w:sz w:val="24"/>
          <w:szCs w:val="24"/>
          <w14:textFill>
            <w14:solidFill>
              <w14:schemeClr w14:val="tx1"/>
            </w14:solidFill>
          </w14:textFill>
        </w:rPr>
      </w:pPr>
    </w:p>
    <w:p w14:paraId="3A1BB24D">
      <w:pPr>
        <w:pStyle w:val="2"/>
        <w:pageBreakBefore/>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1. Introduction and objectives</w:t>
      </w:r>
    </w:p>
    <w:p w14:paraId="3B598F61">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1.1 Background</w:t>
      </w:r>
    </w:p>
    <w:p w14:paraId="48BB3279">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University and corporate campuses operate diverse building portfolios with significant energy consumption and public sustainability commitments. Academic buildings follow the teaching calendar, residences operate around the clock, and research buildings carry heavy ventilation and process loads. Without continuous monitoring and analytics, estates teams struggle to meet carbon-reduction targets, control operating costs and prove progress to regulators and stakeholders.</w:t>
      </w:r>
    </w:p>
    <w:p w14:paraId="46A6BFD7">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1.2 Problem statement</w:t>
      </w:r>
    </w:p>
    <w:p w14:paraId="0B74FFE2">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proposed Smart Campus Energy &amp; Sustainability Platform continuously ingests telemetry from IoT sensors and meters (electricity, gas, water, occupancy, indoor environmental quality and renewable generation). Using configurable efficiency and sustainability targets it detects waste, predicts demand peaks, recommends operational and capital interventions, notifies facilities teams in real time and generates sustainability and compliance reports across multi-building and multi-campus portfolios, with secure transmission, edge resilience and high availability.</w:t>
      </w:r>
    </w:p>
    <w:p w14:paraId="1556D84D">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1.3 Objectives of this analysis</w:t>
      </w:r>
    </w:p>
    <w:p w14:paraId="0784F7E7">
      <w:pPr>
        <w:pStyle w:val="17"/>
        <w:numPr>
          <w:ilvl w:val="0"/>
          <w:numId w:val="2"/>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Consolidate energy, water, occupancy and environmental data into one analysis-ready dataset.</w:t>
      </w:r>
    </w:p>
    <w:p w14:paraId="3387E5CC">
      <w:pPr>
        <w:pStyle w:val="17"/>
        <w:numPr>
          <w:ilvl w:val="0"/>
          <w:numId w:val="2"/>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Quantify consumption, cost and emissions at building, building-type, campus and portfolio level.</w:t>
      </w:r>
    </w:p>
    <w:p w14:paraId="1863B766">
      <w:pPr>
        <w:pStyle w:val="17"/>
        <w:numPr>
          <w:ilvl w:val="0"/>
          <w:numId w:val="2"/>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Benchmark buildings using energy use intensity and identify the largest performance gaps.</w:t>
      </w:r>
    </w:p>
    <w:p w14:paraId="5788BC7F">
      <w:pPr>
        <w:pStyle w:val="17"/>
        <w:numPr>
          <w:ilvl w:val="0"/>
          <w:numId w:val="2"/>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Detect wasteful operating patterns and equipment or metering anomalies.</w:t>
      </w:r>
    </w:p>
    <w:p w14:paraId="2E9D49DF">
      <w:pPr>
        <w:pStyle w:val="17"/>
        <w:numPr>
          <w:ilvl w:val="0"/>
          <w:numId w:val="2"/>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Forecast portfolio demand and assess peak-management potential.</w:t>
      </w:r>
    </w:p>
    <w:p w14:paraId="6530A394">
      <w:pPr>
        <w:pStyle w:val="17"/>
        <w:numPr>
          <w:ilvl w:val="0"/>
          <w:numId w:val="2"/>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Assess indoor environmental quality against comfort and ventilation thresholds.</w:t>
      </w:r>
    </w:p>
    <w:p w14:paraId="413F2F99">
      <w:pPr>
        <w:pStyle w:val="17"/>
        <w:numPr>
          <w:ilvl w:val="0"/>
          <w:numId w:val="2"/>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Evaluate renewable contribution and self-consumption.</w:t>
      </w:r>
    </w:p>
    <w:p w14:paraId="2E58D22F">
      <w:pPr>
        <w:pStyle w:val="17"/>
        <w:numPr>
          <w:ilvl w:val="0"/>
          <w:numId w:val="2"/>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Translate findings into prioritised operational and capital recommendations and platform alert rules.</w:t>
      </w:r>
    </w:p>
    <w:p w14:paraId="06945ED2">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1.4 Scope and structure</w:t>
      </w:r>
    </w:p>
    <w:p w14:paraId="07320571">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analysis covers 12 buildings (5 academic, 3 research, 3 residential and 1 office) on a North and a South campus for calendar year 2025. Section 2 describes the data and methods, Section 3 presents statistical results, Section 4 discusses them, and Sections 5 to 7 give conclusions, recommendations and limitations.</w:t>
      </w:r>
    </w:p>
    <w:p w14:paraId="7FDBA38A">
      <w:pPr>
        <w:pStyle w:val="2"/>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2. Data description and methodology</w:t>
      </w:r>
    </w:p>
    <w:p w14:paraId="305F65C1">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2.1 Data sources</w:t>
      </w:r>
    </w:p>
    <w:p w14:paraId="79EC684C">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dataset contains one record per building per hour (8,760 hours × 12 buildings = 105,120 records) with eight measured streams. Table 1 summarises each stream and the share of readings missing before cleaning. Missing readings were simulated as random sensor dropouts to reflect real telemetry conditions.</w:t>
      </w:r>
    </w:p>
    <w:p w14:paraId="527B6074">
      <w:pPr>
        <w:keepNext/>
        <w:spacing w:before="80" w:after="60"/>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 Data streams and raw completeness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1300"/>
        <w:gridCol w:w="1500"/>
        <w:gridCol w:w="1426"/>
      </w:tblGrid>
      <w:tr w14:paraId="3BE08592">
        <w:trPr>
          <w:tblHeader/>
        </w:trPr>
        <w:tc>
          <w:tcPr>
            <w:tcW w:w="26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CC75C75">
            <w:pPr>
              <w:jc w:val="left"/>
              <w:rPr>
                <w:rFonts w:hint="default" w:ascii="Times New Roman Bold" w:hAnsi="Times New Roman Bold" w:cs="Times New Roman Bold"/>
                <w:b/>
                <w:bCs/>
                <w:color w:val="000000" w:themeColor="text1"/>
                <w:sz w:val="24"/>
                <w:szCs w:val="24"/>
                <w:highlight w:val="none"/>
                <w14:textFill>
                  <w14:solidFill>
                    <w14:schemeClr w14:val="tx1"/>
                  </w14:solidFill>
                </w14:textFill>
              </w:rPr>
            </w:pPr>
            <w:r>
              <w:rPr>
                <w:rFonts w:hint="default" w:ascii="Times New Roman Bold" w:hAnsi="Times New Roman Bold" w:eastAsia="Calibri" w:cs="Times New Roman Bold"/>
                <w:b/>
                <w:bCs/>
                <w:color w:val="000000" w:themeColor="text1"/>
                <w:sz w:val="24"/>
                <w:szCs w:val="24"/>
                <w:highlight w:val="none"/>
                <w14:textFill>
                  <w14:solidFill>
                    <w14:schemeClr w14:val="tx1"/>
                  </w14:solidFill>
                </w14:textFill>
              </w:rPr>
              <w:t>Stream</w:t>
            </w:r>
          </w:p>
        </w:tc>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3DFC557">
            <w:pPr>
              <w:jc w:val="left"/>
              <w:rPr>
                <w:rFonts w:hint="default" w:ascii="Times New Roman Bold" w:hAnsi="Times New Roman Bold" w:cs="Times New Roman Bold"/>
                <w:b/>
                <w:bCs/>
                <w:color w:val="000000" w:themeColor="text1"/>
                <w:sz w:val="24"/>
                <w:szCs w:val="24"/>
                <w:highlight w:val="none"/>
                <w14:textFill>
                  <w14:solidFill>
                    <w14:schemeClr w14:val="tx1"/>
                  </w14:solidFill>
                </w14:textFill>
              </w:rPr>
            </w:pPr>
            <w:r>
              <w:rPr>
                <w:rFonts w:hint="default" w:ascii="Times New Roman Bold" w:hAnsi="Times New Roman Bold" w:eastAsia="Calibri" w:cs="Times New Roman Bold"/>
                <w:b/>
                <w:bCs/>
                <w:color w:val="000000" w:themeColor="text1"/>
                <w:sz w:val="24"/>
                <w:szCs w:val="24"/>
                <w:highlight w:val="none"/>
                <w14:textFill>
                  <w14:solidFill>
                    <w14:schemeClr w14:val="tx1"/>
                  </w14:solidFill>
                </w14:textFill>
              </w:rPr>
              <w:t>Unit</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6442207">
            <w:pPr>
              <w:jc w:val="right"/>
              <w:rPr>
                <w:rFonts w:hint="default" w:ascii="Times New Roman Bold" w:hAnsi="Times New Roman Bold" w:cs="Times New Roman Bold"/>
                <w:b/>
                <w:bCs/>
                <w:color w:val="000000" w:themeColor="text1"/>
                <w:sz w:val="24"/>
                <w:szCs w:val="24"/>
                <w:highlight w:val="none"/>
                <w14:textFill>
                  <w14:solidFill>
                    <w14:schemeClr w14:val="tx1"/>
                  </w14:solidFill>
                </w14:textFill>
              </w:rPr>
            </w:pPr>
            <w:r>
              <w:rPr>
                <w:rFonts w:hint="default" w:ascii="Times New Roman Bold" w:hAnsi="Times New Roman Bold" w:eastAsia="Calibri" w:cs="Times New Roman Bold"/>
                <w:b/>
                <w:bCs/>
                <w:color w:val="000000" w:themeColor="text1"/>
                <w:sz w:val="24"/>
                <w:szCs w:val="24"/>
                <w:highlight w:val="none"/>
                <w14:textFill>
                  <w14:solidFill>
                    <w14:schemeClr w14:val="tx1"/>
                  </w14:solidFill>
                </w14:textFill>
              </w:rPr>
              <w:t>Interval</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BC995BA">
            <w:pPr>
              <w:jc w:val="right"/>
              <w:rPr>
                <w:rFonts w:hint="default" w:ascii="Times New Roman Bold" w:hAnsi="Times New Roman Bold" w:cs="Times New Roman Bold"/>
                <w:b/>
                <w:bCs/>
                <w:color w:val="000000" w:themeColor="text1"/>
                <w:sz w:val="24"/>
                <w:szCs w:val="24"/>
                <w:highlight w:val="none"/>
                <w14:textFill>
                  <w14:solidFill>
                    <w14:schemeClr w14:val="tx1"/>
                  </w14:solidFill>
                </w14:textFill>
              </w:rPr>
            </w:pPr>
            <w:r>
              <w:rPr>
                <w:rFonts w:hint="default" w:ascii="Times New Roman Bold" w:hAnsi="Times New Roman Bold" w:eastAsia="Calibri" w:cs="Times New Roman Bold"/>
                <w:b/>
                <w:bCs/>
                <w:color w:val="000000" w:themeColor="text1"/>
                <w:sz w:val="24"/>
                <w:szCs w:val="24"/>
                <w:highlight w:val="none"/>
                <w14:textFill>
                  <w14:solidFill>
                    <w14:schemeClr w14:val="tx1"/>
                  </w14:solidFill>
                </w14:textFill>
              </w:rPr>
              <w:t>Records</w:t>
            </w:r>
          </w:p>
        </w:tc>
        <w:tc>
          <w:tcPr>
            <w:tcW w:w="14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084DDB7">
            <w:pPr>
              <w:jc w:val="right"/>
              <w:rPr>
                <w:rFonts w:hint="default" w:ascii="Times New Roman Bold" w:hAnsi="Times New Roman Bold" w:cs="Times New Roman Bold"/>
                <w:b/>
                <w:bCs/>
                <w:color w:val="000000" w:themeColor="text1"/>
                <w:sz w:val="24"/>
                <w:szCs w:val="24"/>
                <w:highlight w:val="none"/>
                <w14:textFill>
                  <w14:solidFill>
                    <w14:schemeClr w14:val="tx1"/>
                  </w14:solidFill>
                </w14:textFill>
              </w:rPr>
            </w:pPr>
            <w:r>
              <w:rPr>
                <w:rFonts w:hint="default" w:ascii="Times New Roman Bold" w:hAnsi="Times New Roman Bold" w:eastAsia="Calibri" w:cs="Times New Roman Bold"/>
                <w:b/>
                <w:bCs/>
                <w:color w:val="000000" w:themeColor="text1"/>
                <w:sz w:val="24"/>
                <w:szCs w:val="24"/>
                <w:highlight w:val="none"/>
                <w14:textFill>
                  <w14:solidFill>
                    <w14:schemeClr w14:val="tx1"/>
                  </w14:solidFill>
                </w14:textFill>
              </w:rPr>
              <w:t>Missing (%)</w:t>
            </w:r>
          </w:p>
        </w:tc>
      </w:tr>
      <w:tr w14:paraId="2ADB0C1F">
        <w:trPr>
          <w:cantSplit/>
        </w:trPr>
        <w:tc>
          <w:tcPr>
            <w:tcW w:w="26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5ACB67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Electricity demand</w:t>
            </w:r>
          </w:p>
        </w:tc>
        <w:tc>
          <w:tcPr>
            <w:tcW w:w="2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354D48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kW (hourly mean)</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EAF82B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 hour</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8D1515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105,120</w:t>
            </w:r>
          </w:p>
        </w:tc>
        <w:tc>
          <w:tcPr>
            <w:tcW w:w="14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8F7B0E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0.62</w:t>
            </w:r>
          </w:p>
        </w:tc>
      </w:tr>
      <w:tr w14:paraId="6876F3BA">
        <w:trPr>
          <w:cantSplit/>
        </w:trPr>
        <w:tc>
          <w:tcPr>
            <w:tcW w:w="26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A5C19C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Natural gas</w:t>
            </w:r>
          </w:p>
        </w:tc>
        <w:tc>
          <w:tcPr>
            <w:tcW w:w="2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E29A08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kWh per hour</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B3F728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 hour</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1E8DB1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105,120</w:t>
            </w:r>
          </w:p>
        </w:tc>
        <w:tc>
          <w:tcPr>
            <w:tcW w:w="14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CE2FC3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0.85</w:t>
            </w:r>
          </w:p>
        </w:tc>
      </w:tr>
      <w:tr w14:paraId="19A29578">
        <w:trPr>
          <w:cantSplit/>
        </w:trPr>
        <w:tc>
          <w:tcPr>
            <w:tcW w:w="26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134AC3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Water</w:t>
            </w:r>
          </w:p>
        </w:tc>
        <w:tc>
          <w:tcPr>
            <w:tcW w:w="2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5C02C7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m³ per hour</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45360F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 hour</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05F63C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105,120</w:t>
            </w:r>
          </w:p>
        </w:tc>
        <w:tc>
          <w:tcPr>
            <w:tcW w:w="14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90C6E0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1.22</w:t>
            </w:r>
          </w:p>
        </w:tc>
      </w:tr>
      <w:tr w14:paraId="1EE9D226">
        <w:trPr>
          <w:cantSplit/>
        </w:trPr>
        <w:tc>
          <w:tcPr>
            <w:tcW w:w="26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0FB466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Occupancy</w:t>
            </w:r>
          </w:p>
        </w:tc>
        <w:tc>
          <w:tcPr>
            <w:tcW w:w="2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A843AE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persons</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DA1446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 hour</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046805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105,120</w:t>
            </w:r>
          </w:p>
        </w:tc>
        <w:tc>
          <w:tcPr>
            <w:tcW w:w="14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D9388B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3.09</w:t>
            </w:r>
          </w:p>
        </w:tc>
      </w:tr>
      <w:tr w14:paraId="25A25408">
        <w:trPr>
          <w:cantSplit/>
        </w:trPr>
        <w:tc>
          <w:tcPr>
            <w:tcW w:w="26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2FB84B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Indoor temperature</w:t>
            </w:r>
          </w:p>
        </w:tc>
        <w:tc>
          <w:tcPr>
            <w:tcW w:w="2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5E3561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E6A012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 hour</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388575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105,120</w:t>
            </w:r>
          </w:p>
        </w:tc>
        <w:tc>
          <w:tcPr>
            <w:tcW w:w="14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425B47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1.36</w:t>
            </w:r>
          </w:p>
        </w:tc>
      </w:tr>
      <w:tr w14:paraId="1CC187A6">
        <w:trPr>
          <w:cantSplit/>
        </w:trPr>
        <w:tc>
          <w:tcPr>
            <w:tcW w:w="26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57001B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Indoor CO₂</w:t>
            </w:r>
          </w:p>
        </w:tc>
        <w:tc>
          <w:tcPr>
            <w:tcW w:w="2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318883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ppm</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1219C3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 hour</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2B6DED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105,120</w:t>
            </w:r>
          </w:p>
        </w:tc>
        <w:tc>
          <w:tcPr>
            <w:tcW w:w="14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1DC4F8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2.21</w:t>
            </w:r>
          </w:p>
        </w:tc>
      </w:tr>
      <w:tr w14:paraId="461190F5">
        <w:trPr>
          <w:cantSplit/>
        </w:trPr>
        <w:tc>
          <w:tcPr>
            <w:tcW w:w="26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53F50A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Relative humidity</w:t>
            </w:r>
          </w:p>
        </w:tc>
        <w:tc>
          <w:tcPr>
            <w:tcW w:w="2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A0099A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%RH</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9C0678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 hour</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0647C6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105,120</w:t>
            </w:r>
          </w:p>
        </w:tc>
        <w:tc>
          <w:tcPr>
            <w:tcW w:w="14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86ECA8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1.35</w:t>
            </w:r>
          </w:p>
        </w:tc>
      </w:tr>
      <w:tr w14:paraId="6F9FE01D">
        <w:trPr>
          <w:cantSplit/>
        </w:trPr>
        <w:tc>
          <w:tcPr>
            <w:tcW w:w="26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ED1464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Solar generation</w:t>
            </w:r>
          </w:p>
        </w:tc>
        <w:tc>
          <w:tcPr>
            <w:tcW w:w="2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BA65EF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kWh per hour</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1354F6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 hour</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4AFD7F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105,120</w:t>
            </w:r>
          </w:p>
        </w:tc>
        <w:tc>
          <w:tcPr>
            <w:tcW w:w="14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A87A85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0.82</w:t>
            </w:r>
          </w:p>
        </w:tc>
      </w:tr>
    </w:tbl>
    <w:p w14:paraId="74608EF1">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4B864249">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2.2 Building inventory</w:t>
      </w:r>
    </w:p>
    <w:p w14:paraId="3A5D4C84">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2. Building inventory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8"/>
        <w:gridCol w:w="2691"/>
        <w:gridCol w:w="1014"/>
        <w:gridCol w:w="1300"/>
        <w:gridCol w:w="1198"/>
        <w:gridCol w:w="1100"/>
        <w:gridCol w:w="1025"/>
      </w:tblGrid>
      <w:tr w14:paraId="4C74309C">
        <w:trPr>
          <w:tblHeader/>
        </w:trPr>
        <w:tc>
          <w:tcPr>
            <w:tcW w:w="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5688380">
            <w:pPr>
              <w:jc w:val="lef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ID</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46B01AE">
            <w:pPr>
              <w:jc w:val="lef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Building</w:t>
            </w:r>
          </w:p>
        </w:tc>
        <w:tc>
          <w:tcPr>
            <w:tcW w:w="1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26E83A8">
            <w:pPr>
              <w:jc w:val="lef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Campus</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E177DDA">
            <w:pPr>
              <w:jc w:val="lef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Type</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5588055">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Area (m²)</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1D1BE5C">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Capacity</w:t>
            </w:r>
          </w:p>
        </w:tc>
        <w:tc>
          <w:tcPr>
            <w:tcW w:w="10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76CB3C3">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PV (kWp)</w:t>
            </w:r>
          </w:p>
        </w:tc>
      </w:tr>
      <w:tr w14:paraId="3E3FD430">
        <w:trPr>
          <w:cantSplit/>
        </w:trPr>
        <w:tc>
          <w:tcPr>
            <w:tcW w:w="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7F5DDF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B01</w:t>
            </w:r>
          </w:p>
        </w:tc>
        <w:tc>
          <w:tcPr>
            <w:tcW w:w="2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E5265C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Science Block</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0D55A6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North</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DFE60D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DB7A5A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14,000</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2ED84A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900</w:t>
            </w:r>
          </w:p>
        </w:tc>
        <w:tc>
          <w:tcPr>
            <w:tcW w:w="10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1E148C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w:t>
            </w:r>
          </w:p>
        </w:tc>
      </w:tr>
      <w:tr w14:paraId="7EAD2EF1">
        <w:trPr>
          <w:cantSplit/>
        </w:trPr>
        <w:tc>
          <w:tcPr>
            <w:tcW w:w="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A3D705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B02</w:t>
            </w:r>
          </w:p>
        </w:tc>
        <w:tc>
          <w:tcPr>
            <w:tcW w:w="2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7661CC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Engineering Lab</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552897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North</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D9E284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C43718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11,000</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016677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700</w:t>
            </w:r>
          </w:p>
        </w:tc>
        <w:tc>
          <w:tcPr>
            <w:tcW w:w="10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B1BFD1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120</w:t>
            </w:r>
          </w:p>
        </w:tc>
      </w:tr>
      <w:tr w14:paraId="78E8A848">
        <w:trPr>
          <w:cantSplit/>
        </w:trPr>
        <w:tc>
          <w:tcPr>
            <w:tcW w:w="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AAC722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B03</w:t>
            </w:r>
          </w:p>
        </w:tc>
        <w:tc>
          <w:tcPr>
            <w:tcW w:w="2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6F191D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Central Library</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31DD59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North</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FB6037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7BCCC9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9,000</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F2E4B3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1,200</w:t>
            </w:r>
          </w:p>
        </w:tc>
        <w:tc>
          <w:tcPr>
            <w:tcW w:w="10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8C9F60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w:t>
            </w:r>
          </w:p>
        </w:tc>
      </w:tr>
      <w:tr w14:paraId="2037CD64">
        <w:trPr>
          <w:cantSplit/>
        </w:trPr>
        <w:tc>
          <w:tcPr>
            <w:tcW w:w="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3FD252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B04</w:t>
            </w:r>
          </w:p>
        </w:tc>
        <w:tc>
          <w:tcPr>
            <w:tcW w:w="2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C7AA7B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Lecture Hall A</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BEAF6D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North</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A02BC1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1B382F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7,500</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82C7FB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1,500</w:t>
            </w:r>
          </w:p>
        </w:tc>
        <w:tc>
          <w:tcPr>
            <w:tcW w:w="10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4DF56C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w:t>
            </w:r>
          </w:p>
        </w:tc>
      </w:tr>
      <w:tr w14:paraId="1264F587">
        <w:trPr>
          <w:cantSplit/>
        </w:trPr>
        <w:tc>
          <w:tcPr>
            <w:tcW w:w="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B90237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B05</w:t>
            </w:r>
          </w:p>
        </w:tc>
        <w:tc>
          <w:tcPr>
            <w:tcW w:w="2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A7A139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1</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A271E4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North</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422C51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6FB183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8,500</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061969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600</w:t>
            </w:r>
          </w:p>
        </w:tc>
        <w:tc>
          <w:tcPr>
            <w:tcW w:w="10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C7BEAC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60</w:t>
            </w:r>
          </w:p>
        </w:tc>
      </w:tr>
      <w:tr w14:paraId="7ACEAB5E">
        <w:trPr>
          <w:cantSplit/>
        </w:trPr>
        <w:tc>
          <w:tcPr>
            <w:tcW w:w="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B2EE8F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B06</w:t>
            </w:r>
          </w:p>
        </w:tc>
        <w:tc>
          <w:tcPr>
            <w:tcW w:w="2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C0E299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2</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F21062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North</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13CC66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C86F6D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8,000</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C75E01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560</w:t>
            </w:r>
          </w:p>
        </w:tc>
        <w:tc>
          <w:tcPr>
            <w:tcW w:w="10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689CDF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w:t>
            </w:r>
          </w:p>
        </w:tc>
      </w:tr>
      <w:tr w14:paraId="3608E87C">
        <w:trPr>
          <w:cantSplit/>
        </w:trPr>
        <w:tc>
          <w:tcPr>
            <w:tcW w:w="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A411E5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B07</w:t>
            </w:r>
          </w:p>
        </w:tc>
        <w:tc>
          <w:tcPr>
            <w:tcW w:w="2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E9FD28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Admin &amp; Corporate Office</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02A980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South</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87A333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Office</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638E1C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6,500</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BC6FBA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420</w:t>
            </w:r>
          </w:p>
        </w:tc>
        <w:tc>
          <w:tcPr>
            <w:tcW w:w="10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C330C8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200</w:t>
            </w:r>
          </w:p>
        </w:tc>
      </w:tr>
      <w:tr w14:paraId="08A5578F">
        <w:trPr>
          <w:cantSplit/>
        </w:trPr>
        <w:tc>
          <w:tcPr>
            <w:tcW w:w="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40CC1E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B08</w:t>
            </w:r>
          </w:p>
        </w:tc>
        <w:tc>
          <w:tcPr>
            <w:tcW w:w="2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64B302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Business School</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201268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South</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EA12DF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DE50FF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8,800</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9A9727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1,100</w:t>
            </w:r>
          </w:p>
        </w:tc>
        <w:tc>
          <w:tcPr>
            <w:tcW w:w="10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2F4AE5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w:t>
            </w:r>
          </w:p>
        </w:tc>
      </w:tr>
      <w:tr w14:paraId="3085305D">
        <w:trPr>
          <w:cantSplit/>
        </w:trPr>
        <w:tc>
          <w:tcPr>
            <w:tcW w:w="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C6DC55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B09</w:t>
            </w:r>
          </w:p>
        </w:tc>
        <w:tc>
          <w:tcPr>
            <w:tcW w:w="2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B580CD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Biotech Research Centre</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03DD9D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South</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CAD7CC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53DC43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12,500</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6A9530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500</w:t>
            </w:r>
          </w:p>
        </w:tc>
        <w:tc>
          <w:tcPr>
            <w:tcW w:w="10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A2938A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w:t>
            </w:r>
          </w:p>
        </w:tc>
      </w:tr>
      <w:tr w14:paraId="50B2B929">
        <w:trPr>
          <w:cantSplit/>
        </w:trPr>
        <w:tc>
          <w:tcPr>
            <w:tcW w:w="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5BC38C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B10</w:t>
            </w:r>
          </w:p>
        </w:tc>
        <w:tc>
          <w:tcPr>
            <w:tcW w:w="2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E0367A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Student Centre</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EBF2B1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South</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659686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6DEE00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6,000</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5F0C20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900</w:t>
            </w:r>
          </w:p>
        </w:tc>
        <w:tc>
          <w:tcPr>
            <w:tcW w:w="10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0919AD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150</w:t>
            </w:r>
          </w:p>
        </w:tc>
      </w:tr>
      <w:tr w14:paraId="2F009E8A">
        <w:trPr>
          <w:cantSplit/>
        </w:trPr>
        <w:tc>
          <w:tcPr>
            <w:tcW w:w="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3DADD1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B11</w:t>
            </w:r>
          </w:p>
        </w:tc>
        <w:tc>
          <w:tcPr>
            <w:tcW w:w="2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9A74E0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3</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402BDA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South</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4D4879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16D6AA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9,000</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34CD16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650</w:t>
            </w:r>
          </w:p>
        </w:tc>
        <w:tc>
          <w:tcPr>
            <w:tcW w:w="10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BCE9D9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w:t>
            </w:r>
          </w:p>
        </w:tc>
      </w:tr>
      <w:tr w14:paraId="1B60718F">
        <w:trPr>
          <w:cantSplit/>
        </w:trPr>
        <w:tc>
          <w:tcPr>
            <w:tcW w:w="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385BBF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B12</w:t>
            </w:r>
          </w:p>
        </w:tc>
        <w:tc>
          <w:tcPr>
            <w:tcW w:w="2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96E1AD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Sports Complex</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6BC8DB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South</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27727B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C4B346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10,500</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78D3FE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700</w:t>
            </w:r>
          </w:p>
        </w:tc>
        <w:tc>
          <w:tcPr>
            <w:tcW w:w="10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9B6B79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w:t>
            </w:r>
          </w:p>
        </w:tc>
      </w:tr>
    </w:tbl>
    <w:p w14:paraId="6D5E75C4">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47D38114">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2.3 Data preparation</w:t>
      </w:r>
    </w:p>
    <w:p w14:paraId="0F63BD61">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Timestamps were aligned to a single hourly index; no duplicates were present.</w:t>
      </w:r>
    </w:p>
    <w:p w14:paraId="7250290C">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Short gaps (up to 6 consecutive hours) were filled by linear interpolation within each building; after this step no missing values remained in any stream (raw missingness is reported in Table 1, with occupancy the highest at 3.09%).</w:t>
      </w:r>
    </w:p>
    <w:p w14:paraId="0BB3FE52">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Consumption was normalised by gross floor area (kWh/m²) and, for water, by area (L/m²).</w:t>
      </w:r>
    </w:p>
    <w:p w14:paraId="3F0B7175">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Outliers were not deleted; extreme values were examined through the anomaly-detection step below.</w:t>
      </w:r>
    </w:p>
    <w:p w14:paraId="55464E55">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Weather was synthetic hourly temperature; heating and cooling degree-hours (bases 15.5 °C and 20 °C) were used as drivers.</w:t>
      </w:r>
    </w:p>
    <w:p w14:paraId="5D63A73A">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2.4 Analytical methods</w:t>
      </w:r>
    </w:p>
    <w:p w14:paraId="1621795B">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Descriptive statistics: </w:t>
      </w:r>
      <w:r>
        <w:rPr>
          <w:rFonts w:hint="default" w:ascii="Times New Roman Regular" w:hAnsi="Times New Roman Regular" w:eastAsia="Calibri" w:cs="Times New Roman Regular"/>
          <w:color w:val="000000" w:themeColor="text1"/>
          <w:sz w:val="24"/>
          <w:szCs w:val="24"/>
          <w14:textFill>
            <w14:solidFill>
              <w14:schemeClr w14:val="tx1"/>
            </w14:solidFill>
          </w14:textFill>
        </w:rPr>
        <w:t>mean, median, standard deviation, quartiles and extremes at hourly portfolio level and by building.</w:t>
      </w:r>
    </w:p>
    <w:p w14:paraId="2E3D8F52">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Temporal analysis: </w:t>
      </w:r>
      <w:r>
        <w:rPr>
          <w:rFonts w:hint="default" w:ascii="Times New Roman Regular" w:hAnsi="Times New Roman Regular" w:eastAsia="Calibri" w:cs="Times New Roman Regular"/>
          <w:color w:val="000000" w:themeColor="text1"/>
          <w:sz w:val="24"/>
          <w:szCs w:val="24"/>
          <w14:textFill>
            <w14:solidFill>
              <w14:schemeClr w14:val="tx1"/>
            </w14:solidFill>
          </w14:textFill>
        </w:rPr>
        <w:t>24-hour weekday and weekend profiles, monthly totals and term-time versus break comparisons.</w:t>
      </w:r>
    </w:p>
    <w:p w14:paraId="1DD9B6E7">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Benchmarking: </w:t>
      </w:r>
      <w:r>
        <w:rPr>
          <w:rFonts w:hint="default" w:ascii="Times New Roman Regular" w:hAnsi="Times New Roman Regular" w:eastAsia="Calibri" w:cs="Times New Roman Regular"/>
          <w:color w:val="000000" w:themeColor="text1"/>
          <w:sz w:val="24"/>
          <w:szCs w:val="24"/>
          <w14:textFill>
            <w14:solidFill>
              <w14:schemeClr w14:val="tx1"/>
            </w14:solidFill>
          </w14:textFill>
        </w:rPr>
        <w:t>EUI (kWh/m²/year), load factor (mean/peak demand) and after-hours share (electricity used outside Monday–Friday 07:00–19:00, non-residential buildings).</w:t>
      </w:r>
    </w:p>
    <w:p w14:paraId="6DC1DA2B">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Anomaly detection: </w:t>
      </w:r>
      <w:r>
        <w:rPr>
          <w:rFonts w:hint="default" w:ascii="Times New Roman Regular" w:hAnsi="Times New Roman Regular" w:eastAsia="Calibri" w:cs="Times New Roman Regular"/>
          <w:color w:val="000000" w:themeColor="text1"/>
          <w:sz w:val="24"/>
          <w:szCs w:val="24"/>
          <w14:textFill>
            <w14:solidFill>
              <w14:schemeClr w14:val="tx1"/>
            </w14:solidFill>
          </w14:textFill>
        </w:rPr>
        <w:t>for each building a robust gradient-boosting baseline (absolute-error loss) predicts hourly demand from hour-of-week, break flag and temperature. Residuals are scaled with the median absolute deviation (Leys et al., 2013). An hour is flagged if the scaled residual exceeds 6 and the excess is above 12% of the prediction; events require at least 8 flagged hours within a 12-hour window and flags separated by up to 6 hours are merged.</w:t>
      </w:r>
    </w:p>
    <w:p w14:paraId="32E72E5B">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Night-load screening: </w:t>
      </w:r>
      <w:r>
        <w:rPr>
          <w:rFonts w:hint="default" w:ascii="Times New Roman Regular" w:hAnsi="Times New Roman Regular" w:eastAsia="Calibri" w:cs="Times New Roman Regular"/>
          <w:color w:val="000000" w:themeColor="text1"/>
          <w:sz w:val="24"/>
          <w:szCs w:val="24"/>
          <w14:textFill>
            <w14:solidFill>
              <w14:schemeClr w14:val="tx1"/>
            </w14:solidFill>
          </w14:textFill>
        </w:rPr>
        <w:t>mean 22:00–05:59 demand per m² compared with the median of the same building type; buildings more than 15% above their peer median are reported as candidates and the excess above the median is quantified.</w:t>
      </w:r>
    </w:p>
    <w:p w14:paraId="7E9E2912">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Forecasting: </w:t>
      </w:r>
      <w:r>
        <w:rPr>
          <w:rFonts w:hint="default" w:ascii="Times New Roman Regular" w:hAnsi="Times New Roman Regular" w:eastAsia="Calibri" w:cs="Times New Roman Regular"/>
          <w:color w:val="000000" w:themeColor="text1"/>
          <w:sz w:val="24"/>
          <w:szCs w:val="24"/>
          <w14:textFill>
            <w14:solidFill>
              <w14:schemeClr w14:val="tx1"/>
            </w14:solidFill>
          </w14:textFill>
        </w:rPr>
        <w:t>a gradient-boosting regressor (300 trees, depth 4) using hour, weekday, temperature, term flag, day-of-year and the demand one week earlier, trained on January–September and tested on October–December, compared with a seasonal-naive benchmark. Metrics: MAE, RMSE and MAPE.</w:t>
      </w:r>
    </w:p>
    <w:p w14:paraId="2DDC9E04">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Correlation and regression: </w:t>
      </w:r>
      <w:r>
        <w:rPr>
          <w:rFonts w:hint="default" w:ascii="Times New Roman Regular" w:hAnsi="Times New Roman Regular" w:eastAsia="Calibri" w:cs="Times New Roman Regular"/>
          <w:color w:val="000000" w:themeColor="text1"/>
          <w:sz w:val="24"/>
          <w:szCs w:val="24"/>
          <w14:textFill>
            <w14:solidFill>
              <w14:schemeClr w14:val="tx1"/>
            </w14:solidFill>
          </w14:textFill>
        </w:rPr>
        <w:t>Pearson correlation of daily electricity with mean occupancy, and an ordinary least squares model with occupancy and cooling temperature as predictors (R²).</w:t>
      </w:r>
    </w:p>
    <w:p w14:paraId="27754735">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Leak detection: </w:t>
      </w:r>
      <w:r>
        <w:rPr>
          <w:rFonts w:hint="default" w:ascii="Times New Roman Regular" w:hAnsi="Times New Roman Regular" w:eastAsia="Calibri" w:cs="Times New Roman Regular"/>
          <w:color w:val="000000" w:themeColor="text1"/>
          <w:sz w:val="24"/>
          <w:szCs w:val="24"/>
          <w14:textFill>
            <w14:solidFill>
              <w14:schemeClr w14:val="tx1"/>
            </w14:solidFill>
          </w14:textFill>
        </w:rPr>
        <w:t>water use in Residence Hall 2 compared with the average of its two sister residences, using a ratio calibrated before 5 August.</w:t>
      </w:r>
    </w:p>
    <w:p w14:paraId="74A3CBFF">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2.5 Assumptions</w:t>
      </w:r>
    </w:p>
    <w:p w14:paraId="7AB66415">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Emission factors and tariffs were not supplied and are therefore stated assumptions chosen for illustration. Cost and emission results scale linearly with these values and should be replaced with local figures.</w:t>
      </w:r>
    </w:p>
    <w:p w14:paraId="73561701">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3. Assumed emission factors and tariffs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900"/>
        <w:gridCol w:w="2626"/>
      </w:tblGrid>
      <w:tr w14:paraId="6E66C91D">
        <w:trPr>
          <w:tblHeader/>
        </w:trPr>
        <w:tc>
          <w:tcPr>
            <w:tcW w:w="3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AAFCBF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Parameter</w:t>
            </w:r>
          </w:p>
        </w:tc>
        <w:tc>
          <w:tcPr>
            <w:tcW w:w="2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B295C8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Value</w:t>
            </w:r>
          </w:p>
        </w:tc>
        <w:tc>
          <w:tcPr>
            <w:tcW w:w="26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4FEDE8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Used for</w:t>
            </w:r>
          </w:p>
        </w:tc>
      </w:tr>
      <w:tr w14:paraId="0E2D1AAC">
        <w:trPr>
          <w:cantSplit/>
        </w:trPr>
        <w:tc>
          <w:tcPr>
            <w:tcW w:w="3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84419A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Grid electricity emission factor</w:t>
            </w:r>
          </w:p>
        </w:tc>
        <w:tc>
          <w:tcPr>
            <w:tcW w:w="2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CC73BE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0.4 kgCO₂e/kWh</w:t>
            </w:r>
          </w:p>
        </w:tc>
        <w:tc>
          <w:tcPr>
            <w:tcW w:w="26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4A2D86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Emissions</w:t>
            </w:r>
          </w:p>
        </w:tc>
      </w:tr>
      <w:tr w14:paraId="75665B51">
        <w:trPr>
          <w:cantSplit/>
        </w:trPr>
        <w:tc>
          <w:tcPr>
            <w:tcW w:w="3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D9B800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Natural gas emission factor</w:t>
            </w:r>
          </w:p>
        </w:tc>
        <w:tc>
          <w:tcPr>
            <w:tcW w:w="2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5B578C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0.184 kgCO₂e/kWh</w:t>
            </w:r>
          </w:p>
        </w:tc>
        <w:tc>
          <w:tcPr>
            <w:tcW w:w="26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4DB162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Emissions</w:t>
            </w:r>
          </w:p>
        </w:tc>
      </w:tr>
      <w:tr w14:paraId="7AB01A7E">
        <w:trPr>
          <w:cantSplit/>
        </w:trPr>
        <w:tc>
          <w:tcPr>
            <w:tcW w:w="3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8FF129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Electricity energy price</w:t>
            </w:r>
          </w:p>
        </w:tc>
        <w:tc>
          <w:tcPr>
            <w:tcW w:w="2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F95E59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$0.14/kWh</w:t>
            </w:r>
          </w:p>
        </w:tc>
        <w:tc>
          <w:tcPr>
            <w:tcW w:w="26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59C2F3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Cost</w:t>
            </w:r>
          </w:p>
        </w:tc>
      </w:tr>
      <w:tr w14:paraId="449AD792">
        <w:trPr>
          <w:cantSplit/>
        </w:trPr>
        <w:tc>
          <w:tcPr>
            <w:tcW w:w="3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FBA405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Demand charge</w:t>
            </w:r>
          </w:p>
        </w:tc>
        <w:tc>
          <w:tcPr>
            <w:tcW w:w="2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615CFD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$12/kW-month</w:t>
            </w:r>
          </w:p>
        </w:tc>
        <w:tc>
          <w:tcPr>
            <w:tcW w:w="26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551498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Cost (applied to portfolio monthly peak)</w:t>
            </w:r>
          </w:p>
        </w:tc>
      </w:tr>
      <w:tr w14:paraId="6BE97FFB">
        <w:trPr>
          <w:cantSplit/>
        </w:trPr>
        <w:tc>
          <w:tcPr>
            <w:tcW w:w="3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365312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Gas price</w:t>
            </w:r>
          </w:p>
        </w:tc>
        <w:tc>
          <w:tcPr>
            <w:tcW w:w="2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6F58C8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$0.045/kWh</w:t>
            </w:r>
          </w:p>
        </w:tc>
        <w:tc>
          <w:tcPr>
            <w:tcW w:w="26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FD7CB7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Cost</w:t>
            </w:r>
          </w:p>
        </w:tc>
      </w:tr>
      <w:tr w14:paraId="666AE0E2">
        <w:trPr>
          <w:cantSplit/>
        </w:trPr>
        <w:tc>
          <w:tcPr>
            <w:tcW w:w="3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39395D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Water price</w:t>
            </w:r>
          </w:p>
        </w:tc>
        <w:tc>
          <w:tcPr>
            <w:tcW w:w="2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D76CB2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$2.1/m³</w:t>
            </w:r>
          </w:p>
        </w:tc>
        <w:tc>
          <w:tcPr>
            <w:tcW w:w="26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7BF080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Cost</w:t>
            </w:r>
          </w:p>
        </w:tc>
      </w:tr>
      <w:tr w14:paraId="7F7FC722">
        <w:trPr>
          <w:cantSplit/>
        </w:trPr>
        <w:tc>
          <w:tcPr>
            <w:tcW w:w="3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0FEF60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Comfort limits</w:t>
            </w:r>
          </w:p>
        </w:tc>
        <w:tc>
          <w:tcPr>
            <w:tcW w:w="2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A2CA28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 °C; CO₂ ≤ 1,000 ppm; 30–60 %RH</w:t>
            </w:r>
          </w:p>
        </w:tc>
        <w:tc>
          <w:tcPr>
            <w:tcW w:w="26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96E49A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IEQ screening</w:t>
            </w:r>
          </w:p>
        </w:tc>
      </w:tr>
    </w:tbl>
    <w:p w14:paraId="1F1F09EB">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75F13062">
      <w:pPr>
        <w:pStyle w:val="2"/>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 Statistical analysis and findings</w:t>
      </w:r>
    </w:p>
    <w:p w14:paraId="5A8A4665">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3.1 Portfolio overview</w:t>
      </w:r>
    </w:p>
    <w:p w14:paraId="473432BE">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Across 2025 the portfolio consumed 13,187 MWh of electricity and 12,933 MWh of gas, an EUI of 234.7 kWh/m² (electricity 118.5, gas 116.2). Solar PV generated 527 MWh, of which 97.3% was consumed on site, covering 3.9% of electricity demand.</w:t>
      </w:r>
    </w:p>
    <w:p w14:paraId="2FBE15D6">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4. Portfolio overview, 2025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4726"/>
      </w:tblGrid>
      <w:tr w14:paraId="06BA1A25">
        <w:trPr>
          <w:tblHeader/>
        </w:trPr>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790BD14">
            <w:pPr>
              <w:jc w:val="lef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Metric</w:t>
            </w:r>
          </w:p>
        </w:tc>
        <w:tc>
          <w:tcPr>
            <w:tcW w:w="47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230511D">
            <w:pPr>
              <w:jc w:val="lef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Value</w:t>
            </w:r>
          </w:p>
        </w:tc>
      </w:tr>
      <w:tr w14:paraId="1D983864">
        <w:trPr>
          <w:cantSplit/>
        </w:trPr>
        <w:tc>
          <w:tcPr>
            <w:tcW w:w="4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026FA3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Gross floor area</w:t>
            </w:r>
          </w:p>
        </w:tc>
        <w:tc>
          <w:tcPr>
            <w:tcW w:w="47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945200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111,300 m²</w:t>
            </w:r>
          </w:p>
        </w:tc>
      </w:tr>
      <w:tr w14:paraId="126B285F">
        <w:trPr>
          <w:cantSplit/>
        </w:trPr>
        <w:tc>
          <w:tcPr>
            <w:tcW w:w="4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D9DD3F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Electricity consumption</w:t>
            </w:r>
          </w:p>
        </w:tc>
        <w:tc>
          <w:tcPr>
            <w:tcW w:w="47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9C4B7D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13,187 MWh</w:t>
            </w:r>
          </w:p>
        </w:tc>
      </w:tr>
      <w:tr w14:paraId="24D8AFE8">
        <w:trPr>
          <w:cantSplit/>
        </w:trPr>
        <w:tc>
          <w:tcPr>
            <w:tcW w:w="4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7CB060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Gas consumption</w:t>
            </w:r>
          </w:p>
        </w:tc>
        <w:tc>
          <w:tcPr>
            <w:tcW w:w="47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529C3D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12,933 MWh</w:t>
            </w:r>
          </w:p>
        </w:tc>
      </w:tr>
      <w:tr w14:paraId="5CC3CC5C">
        <w:trPr>
          <w:cantSplit/>
        </w:trPr>
        <w:tc>
          <w:tcPr>
            <w:tcW w:w="4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086F0A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Water consumption</w:t>
            </w:r>
          </w:p>
        </w:tc>
        <w:tc>
          <w:tcPr>
            <w:tcW w:w="47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8507E2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275,846 m³</w:t>
            </w:r>
          </w:p>
        </w:tc>
      </w:tr>
      <w:tr w14:paraId="3C0796F2">
        <w:trPr>
          <w:cantSplit/>
        </w:trPr>
        <w:tc>
          <w:tcPr>
            <w:tcW w:w="4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79CFDF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Solar generation</w:t>
            </w:r>
          </w:p>
        </w:tc>
        <w:tc>
          <w:tcPr>
            <w:tcW w:w="47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16F463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527 MWh</w:t>
            </w:r>
          </w:p>
        </w:tc>
      </w:tr>
      <w:tr w14:paraId="4615E79E">
        <w:trPr>
          <w:cantSplit/>
        </w:trPr>
        <w:tc>
          <w:tcPr>
            <w:tcW w:w="4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8C3AB4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Solar self-consumed</w:t>
            </w:r>
          </w:p>
        </w:tc>
        <w:tc>
          <w:tcPr>
            <w:tcW w:w="47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D64881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513 MWh (97.3% of generation)</w:t>
            </w:r>
          </w:p>
        </w:tc>
      </w:tr>
      <w:tr w14:paraId="03371129">
        <w:trPr>
          <w:cantSplit/>
        </w:trPr>
        <w:tc>
          <w:tcPr>
            <w:tcW w:w="4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CFEB45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Solar share of electricity</w:t>
            </w:r>
          </w:p>
        </w:tc>
        <w:tc>
          <w:tcPr>
            <w:tcW w:w="47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E68CAF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3.9%</w:t>
            </w:r>
          </w:p>
        </w:tc>
      </w:tr>
      <w:tr w14:paraId="7114936D">
        <w:trPr>
          <w:cantSplit/>
        </w:trPr>
        <w:tc>
          <w:tcPr>
            <w:tcW w:w="4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5D81C6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Portfolio EUI</w:t>
            </w:r>
          </w:p>
        </w:tc>
        <w:tc>
          <w:tcPr>
            <w:tcW w:w="47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515E30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234.7 kWh/m²</w:t>
            </w:r>
          </w:p>
        </w:tc>
      </w:tr>
      <w:tr w14:paraId="1D136B36">
        <w:trPr>
          <w:cantSplit/>
        </w:trPr>
        <w:tc>
          <w:tcPr>
            <w:tcW w:w="4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657D7F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Estimated emissions</w:t>
            </w:r>
          </w:p>
        </w:tc>
        <w:tc>
          <w:tcPr>
            <w:tcW w:w="47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1DAD44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7,654 tCO₂e (68.8 kgCO₂e/m²)</w:t>
            </w:r>
          </w:p>
        </w:tc>
      </w:tr>
      <w:tr w14:paraId="0DE35735">
        <w:trPr>
          <w:cantSplit/>
        </w:trPr>
        <w:tc>
          <w:tcPr>
            <w:tcW w:w="4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73A896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Emissions avoided by solar</w:t>
            </w:r>
          </w:p>
        </w:tc>
        <w:tc>
          <w:tcPr>
            <w:tcW w:w="47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06C415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205 tCO₂e</w:t>
            </w:r>
          </w:p>
        </w:tc>
      </w:tr>
      <w:tr w14:paraId="5656E8B7">
        <w:trPr>
          <w:cantSplit/>
        </w:trPr>
        <w:tc>
          <w:tcPr>
            <w:tcW w:w="4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9A2CAE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Coincident peak demand</w:t>
            </w:r>
          </w:p>
        </w:tc>
        <w:tc>
          <w:tcPr>
            <w:tcW w:w="47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24BDF0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3,657 kW on 24 Jun 2025, 15:00</w:t>
            </w:r>
          </w:p>
        </w:tc>
      </w:tr>
      <w:tr w14:paraId="2755473B">
        <w:trPr>
          <w:cantSplit/>
        </w:trPr>
        <w:tc>
          <w:tcPr>
            <w:tcW w:w="4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29D245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Load factor</w:t>
            </w:r>
          </w:p>
        </w:tc>
        <w:tc>
          <w:tcPr>
            <w:tcW w:w="47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2A68FD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41.2%</w:t>
            </w:r>
          </w:p>
        </w:tc>
      </w:tr>
    </w:tbl>
    <w:p w14:paraId="20430143">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70D790B3">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3.2 Descriptive statistics</w:t>
      </w:r>
    </w:p>
    <w:p w14:paraId="1D2A8813">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5. Hourly portfolio statistics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67"/>
        <w:gridCol w:w="899"/>
        <w:gridCol w:w="947"/>
        <w:gridCol w:w="899"/>
        <w:gridCol w:w="895"/>
        <w:gridCol w:w="899"/>
        <w:gridCol w:w="899"/>
        <w:gridCol w:w="1121"/>
      </w:tblGrid>
      <w:tr w14:paraId="629094BE">
        <w:trPr>
          <w:tblHeader/>
        </w:trPr>
        <w:tc>
          <w:tcPr>
            <w:tcW w:w="2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8CFCBC7">
            <w:pPr>
              <w:jc w:val="lef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Stream</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6312300">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Mean</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1166035">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Median</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4D09412">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Std dev</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E38BAA2">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Min</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1C0AE5F">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Q1</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CE0B2E2">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Q3</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187AE83">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Max</w:t>
            </w:r>
          </w:p>
        </w:tc>
      </w:tr>
      <w:tr w14:paraId="353BF9A8">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B95927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Electricity (kW)</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F0A675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1,505.3</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4952FC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1,295.3</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4A7362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493.5</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FF35B6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998.9</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DD516C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1,212.3</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7AEB52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1,473.3</w:t>
            </w:r>
          </w:p>
        </w:tc>
        <w:tc>
          <w:tcPr>
            <w:tcW w:w="11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8EC9D0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3,656.6</w:t>
            </w:r>
          </w:p>
        </w:tc>
      </w:tr>
      <w:tr w14:paraId="1B806611">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A840DC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Gas (kWh/h)</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73F7A6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1,476.3</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925459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598.2</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D7E3EA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1,568.5</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3E6F5C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185.7</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88D8DB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198.0</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9FDC7C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2,527.1</w:t>
            </w:r>
          </w:p>
        </w:tc>
        <w:tc>
          <w:tcPr>
            <w:tcW w:w="11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6C19B9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6,426.8</w:t>
            </w:r>
          </w:p>
        </w:tc>
      </w:tr>
      <w:tr w14:paraId="06C69177">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68A1DC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Water (m3/h)</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6A25BA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31.5</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A22EA0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32.7</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C59079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6.5</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BD117D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19.1</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5C72DC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26.4</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6DA2C0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36.2</w:t>
            </w:r>
          </w:p>
        </w:tc>
        <w:tc>
          <w:tcPr>
            <w:tcW w:w="11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475452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47.2</w:t>
            </w:r>
          </w:p>
        </w:tc>
      </w:tr>
      <w:tr w14:paraId="73BA8203">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B4500E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Occupancy (persons)</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9C3D1D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3,490.3</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8D21EE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2,102.2</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24900F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2,745.1</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40F3A6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437.1</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47DB5F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1,900.5</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196C3C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7,526.7</w:t>
            </w:r>
          </w:p>
        </w:tc>
        <w:tc>
          <w:tcPr>
            <w:tcW w:w="11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0CBDFC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9,007.6</w:t>
            </w:r>
          </w:p>
        </w:tc>
      </w:tr>
      <w:tr w14:paraId="49365A4C">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5D0E8C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Solar (kWh/h)</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DC60D3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60.1</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CF50D4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14.0</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38C5A2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88.0</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B391F6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0DD0EE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6F53C9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93.8</w:t>
            </w:r>
          </w:p>
        </w:tc>
        <w:tc>
          <w:tcPr>
            <w:tcW w:w="11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B59314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415.9</w:t>
            </w:r>
          </w:p>
        </w:tc>
      </w:tr>
    </w:tbl>
    <w:p w14:paraId="31BD62D2">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644392F2">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Portfolio demand ranged from 999 kW to 3,657 kW with a mean of 1,505 kW. The 95th and 99th percentiles were 2,737 kW and 3,138 kW, indicating that high-demand hours are infrequent: the top 2% of hours (176 hours) exceeded 3,010 kW.</w:t>
      </w:r>
    </w:p>
    <w:p w14:paraId="79294D3B">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3.3 Building-level benchmarking</w:t>
      </w:r>
    </w:p>
    <w:p w14:paraId="5ABE1D0A">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6. Building performance summary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8"/>
        <w:gridCol w:w="1240"/>
        <w:gridCol w:w="891"/>
        <w:gridCol w:w="891"/>
        <w:gridCol w:w="939"/>
        <w:gridCol w:w="888"/>
        <w:gridCol w:w="1000"/>
        <w:gridCol w:w="919"/>
      </w:tblGrid>
      <w:tr w14:paraId="60AACD98">
        <w:trPr>
          <w:tblHeader/>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7CC54D3">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Building</w:t>
            </w:r>
          </w:p>
        </w:tc>
        <w:tc>
          <w:tcPr>
            <w:tcW w:w="115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FB942E2">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Type</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D7A3E25">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Elec EUI</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AC1AB19">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Gas EUI</w:t>
            </w:r>
          </w:p>
        </w:tc>
        <w:tc>
          <w:tcPr>
            <w:tcW w:w="95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007DB8E">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Total EUI</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A0C82EF">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Peak kW</w:t>
            </w:r>
          </w:p>
        </w:tc>
        <w:tc>
          <w:tcPr>
            <w:tcW w:w="1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EA4E3E9">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Load factor %</w:t>
            </w:r>
          </w:p>
        </w:tc>
        <w:tc>
          <w:tcPr>
            <w:tcW w:w="9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C3899F3">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After-hrs %</w:t>
            </w:r>
          </w:p>
        </w:tc>
      </w:tr>
      <w:tr w14:paraId="120A73FE">
        <w:trPr>
          <w:cantSplit/>
        </w:trPr>
        <w:tc>
          <w:tcPr>
            <w:tcW w:w="2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B39D33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Biotech Research Centre</w:t>
            </w:r>
          </w:p>
        </w:tc>
        <w:tc>
          <w:tcPr>
            <w:tcW w:w="11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4ABAAC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5D50FC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206.8</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5AAC3C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136.5</w:t>
            </w:r>
          </w:p>
        </w:tc>
        <w:tc>
          <w:tcPr>
            <w:tcW w:w="9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4C29AC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343.3</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CB9FC5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678</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C29B0C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43.5</w:t>
            </w:r>
          </w:p>
        </w:tc>
        <w:tc>
          <w:tcPr>
            <w:tcW w:w="9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338649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60.7</w:t>
            </w:r>
          </w:p>
        </w:tc>
      </w:tr>
      <w:tr w14:paraId="13DC8A39">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E7C559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Engineering Lab</w:t>
            </w:r>
          </w:p>
        </w:tc>
        <w:tc>
          <w:tcPr>
            <w:tcW w:w="11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30818D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5C9F67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177.3</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572CAE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117.6</w:t>
            </w:r>
          </w:p>
        </w:tc>
        <w:tc>
          <w:tcPr>
            <w:tcW w:w="9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8D9183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294.9</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CA06CD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535</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B06D3F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41.6</w:t>
            </w:r>
          </w:p>
        </w:tc>
        <w:tc>
          <w:tcPr>
            <w:tcW w:w="9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CB74CE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59.6</w:t>
            </w:r>
          </w:p>
        </w:tc>
      </w:tr>
      <w:tr w14:paraId="48410363">
        <w:trPr>
          <w:cantSplit/>
        </w:trPr>
        <w:tc>
          <w:tcPr>
            <w:tcW w:w="2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D62B85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Science Block</w:t>
            </w:r>
          </w:p>
        </w:tc>
        <w:tc>
          <w:tcPr>
            <w:tcW w:w="11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60BDD3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5397A3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138.8</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D8B63C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125.2</w:t>
            </w:r>
          </w:p>
        </w:tc>
        <w:tc>
          <w:tcPr>
            <w:tcW w:w="9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17F333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264.1</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5023B5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603</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036FDD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36.8</w:t>
            </w:r>
          </w:p>
        </w:tc>
        <w:tc>
          <w:tcPr>
            <w:tcW w:w="9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F10F3E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58.7</w:t>
            </w:r>
          </w:p>
        </w:tc>
      </w:tr>
      <w:tr w14:paraId="336BC4C6">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632611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Sports Complex</w:t>
            </w:r>
          </w:p>
        </w:tc>
        <w:tc>
          <w:tcPr>
            <w:tcW w:w="11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B09F9F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C4E156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80.2</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F20E3A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142.1</w:t>
            </w:r>
          </w:p>
        </w:tc>
        <w:tc>
          <w:tcPr>
            <w:tcW w:w="9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8A07F2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222.3</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269599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266</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1F731B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36.1</w:t>
            </w:r>
          </w:p>
        </w:tc>
        <w:tc>
          <w:tcPr>
            <w:tcW w:w="9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4EDE1E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56.8</w:t>
            </w:r>
          </w:p>
        </w:tc>
      </w:tr>
      <w:tr w14:paraId="16CDE9F8">
        <w:trPr>
          <w:cantSplit/>
        </w:trPr>
        <w:tc>
          <w:tcPr>
            <w:tcW w:w="2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FE531D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Lecture Hall A</w:t>
            </w:r>
          </w:p>
        </w:tc>
        <w:tc>
          <w:tcPr>
            <w:tcW w:w="11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52D8C8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853B06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117.1</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3AF326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91.6</w:t>
            </w:r>
          </w:p>
        </w:tc>
        <w:tc>
          <w:tcPr>
            <w:tcW w:w="9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E2C2AA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208.7</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0EF303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234</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D3B420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42.8</w:t>
            </w:r>
          </w:p>
        </w:tc>
        <w:tc>
          <w:tcPr>
            <w:tcW w:w="9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F200D6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61.4</w:t>
            </w:r>
          </w:p>
        </w:tc>
      </w:tr>
      <w:tr w14:paraId="6318E8E1">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A253C8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Student Centre</w:t>
            </w:r>
          </w:p>
        </w:tc>
        <w:tc>
          <w:tcPr>
            <w:tcW w:w="11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77A828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256E42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104.7</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7C29D4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101.8</w:t>
            </w:r>
          </w:p>
        </w:tc>
        <w:tc>
          <w:tcPr>
            <w:tcW w:w="9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CA09CA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206.5</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479616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208</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BEDB7D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34.5</w:t>
            </w:r>
          </w:p>
        </w:tc>
        <w:tc>
          <w:tcPr>
            <w:tcW w:w="9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DE6943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55.0</w:t>
            </w:r>
          </w:p>
        </w:tc>
      </w:tr>
      <w:tr w14:paraId="078F0E78">
        <w:trPr>
          <w:cantSplit/>
        </w:trPr>
        <w:tc>
          <w:tcPr>
            <w:tcW w:w="2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AA1EEA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2</w:t>
            </w:r>
          </w:p>
        </w:tc>
        <w:tc>
          <w:tcPr>
            <w:tcW w:w="11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E44B0C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4DC2E0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83.1</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03C9C0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121.7</w:t>
            </w:r>
          </w:p>
        </w:tc>
        <w:tc>
          <w:tcPr>
            <w:tcW w:w="9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70F927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204.8</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09BAFF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156</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9FC3C7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48.5</w:t>
            </w:r>
          </w:p>
        </w:tc>
        <w:tc>
          <w:tcPr>
            <w:tcW w:w="9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C525E7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n/a</w:t>
            </w:r>
          </w:p>
        </w:tc>
      </w:tr>
      <w:tr w14:paraId="662C9E5B">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156B77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3</w:t>
            </w:r>
          </w:p>
        </w:tc>
        <w:tc>
          <w:tcPr>
            <w:tcW w:w="11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BF0E81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D5206D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79.6</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3F6BDE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123.0</w:t>
            </w:r>
          </w:p>
        </w:tc>
        <w:tc>
          <w:tcPr>
            <w:tcW w:w="9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4FFABA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E0B576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168</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52AE0A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48.7</w:t>
            </w:r>
          </w:p>
        </w:tc>
        <w:tc>
          <w:tcPr>
            <w:tcW w:w="9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CB8168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n/a</w:t>
            </w:r>
          </w:p>
        </w:tc>
      </w:tr>
      <w:tr w14:paraId="36EEBDD5">
        <w:trPr>
          <w:cantSplit/>
        </w:trPr>
        <w:tc>
          <w:tcPr>
            <w:tcW w:w="2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A0DBBD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1</w:t>
            </w:r>
          </w:p>
        </w:tc>
        <w:tc>
          <w:tcPr>
            <w:tcW w:w="11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9AF0B7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F80EAA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79.9</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3BB981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121.8</w:t>
            </w:r>
          </w:p>
        </w:tc>
        <w:tc>
          <w:tcPr>
            <w:tcW w:w="9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8367EF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201.7</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8F2965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158</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1612C8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49.2</w:t>
            </w:r>
          </w:p>
        </w:tc>
        <w:tc>
          <w:tcPr>
            <w:tcW w:w="9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7FD334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n/a</w:t>
            </w:r>
          </w:p>
        </w:tc>
      </w:tr>
      <w:tr w14:paraId="477AEDB5">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435241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Central Library</w:t>
            </w:r>
          </w:p>
        </w:tc>
        <w:tc>
          <w:tcPr>
            <w:tcW w:w="11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8337ED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C0F89D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96.6</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3C4397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100.4</w:t>
            </w:r>
          </w:p>
        </w:tc>
        <w:tc>
          <w:tcPr>
            <w:tcW w:w="9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436761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197.0</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8CED6D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287</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4C8350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34.6</w:t>
            </w:r>
          </w:p>
        </w:tc>
        <w:tc>
          <w:tcPr>
            <w:tcW w:w="9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6CCAF7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55.4</w:t>
            </w:r>
          </w:p>
        </w:tc>
      </w:tr>
      <w:tr w14:paraId="0F216738">
        <w:trPr>
          <w:cantSplit/>
        </w:trPr>
        <w:tc>
          <w:tcPr>
            <w:tcW w:w="2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66DB12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Admin &amp; Corporate Office</w:t>
            </w:r>
          </w:p>
        </w:tc>
        <w:tc>
          <w:tcPr>
            <w:tcW w:w="11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538CD5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Office</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4E9EDB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106.5</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E62ADB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85.6</w:t>
            </w:r>
          </w:p>
        </w:tc>
        <w:tc>
          <w:tcPr>
            <w:tcW w:w="9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C284FC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192.1</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317204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217</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7B5155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36.4</w:t>
            </w:r>
          </w:p>
        </w:tc>
        <w:tc>
          <w:tcPr>
            <w:tcW w:w="9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9EAF0C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59.9</w:t>
            </w:r>
          </w:p>
        </w:tc>
      </w:tr>
      <w:tr w14:paraId="68C39745">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BF8073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Business School</w:t>
            </w:r>
          </w:p>
        </w:tc>
        <w:tc>
          <w:tcPr>
            <w:tcW w:w="11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F66DBE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691CCE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83.8</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EAAFAF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92.6</w:t>
            </w:r>
          </w:p>
        </w:tc>
        <w:tc>
          <w:tcPr>
            <w:tcW w:w="9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0DEEEF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176.4</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E96772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255</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51233B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32.9</w:t>
            </w:r>
          </w:p>
        </w:tc>
        <w:tc>
          <w:tcPr>
            <w:tcW w:w="9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A72649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54.8</w:t>
            </w:r>
          </w:p>
        </w:tc>
      </w:tr>
    </w:tbl>
    <w:p w14:paraId="2F75C41C">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0AE30E7F">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Biotech Research Centre had the highest EUI (343.3 kWh/m²), followed by Engineering Lab (294.9) and Science Block (264.1); Business School was the lowest (176.4). Research buildings are inherently more intensive because of ventilation and laboratory loads, so peer comparison within building type is more informative than a single portfolio ranking.</w:t>
      </w:r>
    </w:p>
    <w:p w14:paraId="604D7D2D">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2505075"/>
            <wp:effectExtent l="0" t="0" r="0" b="0"/>
            <wp:docPr id="1" name="c1_eui" descr="Energy use intensity by building (electricity and gas), 2025" title="Energy use intensity by building (electricity and ga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1_eui" descr="Energy use intensity by building (electricity and gas), 2025" title="Energy use intensity by building (electricity and gas), 2025"/>
                    <pic:cNvPicPr>
                      <a:picLocks noChangeAspect="1" noChangeArrowheads="1"/>
                    </pic:cNvPicPr>
                  </pic:nvPicPr>
                  <pic:blipFill>
                    <a:blip r:embed="rId5"/>
                    <a:srcRect/>
                    <a:stretch>
                      <a:fillRect/>
                    </a:stretch>
                  </pic:blipFill>
                  <pic:spPr>
                    <a:xfrm>
                      <a:off x="0" y="0"/>
                      <a:ext cx="4476750" cy="2505075"/>
                    </a:xfrm>
                    <a:prstGeom prst="rect">
                      <a:avLst/>
                    </a:prstGeom>
                  </pic:spPr>
                </pic:pic>
              </a:graphicData>
            </a:graphic>
          </wp:inline>
        </w:drawing>
      </w:r>
    </w:p>
    <w:p w14:paraId="639682F2">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1. Energy use intensity by building (electricity and gas), 2025</w:t>
      </w:r>
    </w:p>
    <w:p w14:paraId="016DFF58">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7. Summary by building type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0"/>
        <w:gridCol w:w="1134"/>
        <w:gridCol w:w="1172"/>
        <w:gridCol w:w="1480"/>
        <w:gridCol w:w="1179"/>
        <w:gridCol w:w="1290"/>
        <w:gridCol w:w="1291"/>
      </w:tblGrid>
      <w:tr w14:paraId="45E1ED6C">
        <w:trPr>
          <w:tblHeader/>
        </w:trPr>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86EA07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Type</w:t>
            </w:r>
          </w:p>
        </w:tc>
        <w:tc>
          <w:tcPr>
            <w:tcW w:w="1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D13C92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Buildings</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6990A0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Area (m²)</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28BC23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Electricity (MWh)</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094877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Gas (MWh)</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331D53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EUI (kWh/m²)</w:t>
            </w:r>
          </w:p>
        </w:tc>
        <w:tc>
          <w:tcPr>
            <w:tcW w:w="13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DC0210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Share of energy (%)</w:t>
            </w:r>
          </w:p>
        </w:tc>
      </w:tr>
      <w:tr w14:paraId="7C7B7E77">
        <w:trPr>
          <w:cantSplit/>
        </w:trPr>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84892B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3341EA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711F73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41,800</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E1409E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3,955</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ABA560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4,508</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61F762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w:t>
            </w:r>
          </w:p>
        </w:tc>
        <w:tc>
          <w:tcPr>
            <w:tcW w:w="13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001AF9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32.4</w:t>
            </w:r>
          </w:p>
        </w:tc>
      </w:tr>
      <w:tr w14:paraId="27E6AA19">
        <w:trPr>
          <w:cantSplit/>
        </w:trPr>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5E53D2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Office</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BBA6C9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FAC513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6,500</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0BFA10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692</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42338D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556</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DB9570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192.1</w:t>
            </w:r>
          </w:p>
        </w:tc>
        <w:tc>
          <w:tcPr>
            <w:tcW w:w="13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58A38E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4.8</w:t>
            </w:r>
          </w:p>
        </w:tc>
      </w:tr>
      <w:tr w14:paraId="43DA7ECB">
        <w:trPr>
          <w:cantSplit/>
        </w:trPr>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A24398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4FB141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A68ACD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37,500</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A45332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6,479</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23F597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4,753</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17A1A7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299.5</w:t>
            </w:r>
          </w:p>
        </w:tc>
        <w:tc>
          <w:tcPr>
            <w:tcW w:w="13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5E9895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43.0</w:t>
            </w:r>
          </w:p>
        </w:tc>
      </w:tr>
      <w:tr w14:paraId="496F11CE">
        <w:trPr>
          <w:cantSplit/>
        </w:trPr>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7759EF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F48E7D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6323FD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25,500</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22FDF4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2,060</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A281D7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3,115</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BF56C8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203.0</w:t>
            </w:r>
          </w:p>
        </w:tc>
        <w:tc>
          <w:tcPr>
            <w:tcW w:w="13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3C751B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19.8</w:t>
            </w:r>
          </w:p>
        </w:tc>
      </w:tr>
    </w:tbl>
    <w:p w14:paraId="747C575D">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0EAB63AE">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8. Campus comparison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0"/>
        <w:gridCol w:w="1134"/>
        <w:gridCol w:w="1070"/>
        <w:gridCol w:w="1337"/>
        <w:gridCol w:w="1036"/>
        <w:gridCol w:w="1127"/>
        <w:gridCol w:w="1081"/>
        <w:gridCol w:w="1151"/>
      </w:tblGrid>
      <w:tr w14:paraId="2C342FF8">
        <w:trPr>
          <w:tblHeader/>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39EF92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Campus</w:t>
            </w:r>
          </w:p>
        </w:tc>
        <w:tc>
          <w:tcPr>
            <w:tcW w:w="1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15ED94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Buildings</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68FD29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Area (m²)</w:t>
            </w:r>
          </w:p>
        </w:tc>
        <w:tc>
          <w:tcPr>
            <w:tcW w:w="135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D1CA50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Electricity (MWh)</w:t>
            </w:r>
          </w:p>
        </w:tc>
        <w:tc>
          <w:tcPr>
            <w:tcW w:w="105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CFCFA9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Gas (MWh)</w:t>
            </w:r>
          </w:p>
        </w:tc>
        <w:tc>
          <w:tcPr>
            <w:tcW w:w="115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488D33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Water (m³)</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7190FC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Solar (MWh)</w:t>
            </w:r>
          </w:p>
        </w:tc>
        <w:tc>
          <w:tcPr>
            <w:tcW w:w="117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2FCA23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tCO₂e</w:t>
            </w:r>
          </w:p>
        </w:tc>
      </w:tr>
      <w:tr w14:paraId="2456D15A">
        <w:trPr>
          <w:cantSplit/>
        </w:trPr>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61ADBB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North</w:t>
            </w:r>
          </w:p>
        </w:tc>
        <w:tc>
          <w:tcPr>
            <w:tcW w:w="10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E6C50A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6C5D0C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58,000</w:t>
            </w:r>
          </w:p>
        </w:tc>
        <w:tc>
          <w:tcPr>
            <w:tcW w:w="13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8AC142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6,987</w:t>
            </w:r>
          </w:p>
        </w:tc>
        <w:tc>
          <w:tcPr>
            <w:tcW w:w="10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1433A0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6,646</w:t>
            </w:r>
          </w:p>
        </w:tc>
        <w:tc>
          <w:tcPr>
            <w:tcW w:w="115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C81E64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153,028</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530B34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179</w:t>
            </w:r>
          </w:p>
        </w:tc>
        <w:tc>
          <w:tcPr>
            <w:tcW w:w="117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ECAAC4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4,017</w:t>
            </w:r>
          </w:p>
        </w:tc>
      </w:tr>
      <w:tr w14:paraId="2575D407">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35A709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South</w:t>
            </w:r>
          </w:p>
        </w:tc>
        <w:tc>
          <w:tcPr>
            <w:tcW w:w="10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3DC1BC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0A9067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53,300</w:t>
            </w:r>
          </w:p>
        </w:tc>
        <w:tc>
          <w:tcPr>
            <w:tcW w:w="13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74A7CD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6,200</w:t>
            </w:r>
          </w:p>
        </w:tc>
        <w:tc>
          <w:tcPr>
            <w:tcW w:w="10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3C2FFF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6,287</w:t>
            </w:r>
          </w:p>
        </w:tc>
        <w:tc>
          <w:tcPr>
            <w:tcW w:w="115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76FC5A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122,819</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394680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348</w:t>
            </w:r>
          </w:p>
        </w:tc>
        <w:tc>
          <w:tcPr>
            <w:tcW w:w="117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7EA45F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3,637</w:t>
            </w:r>
          </w:p>
        </w:tc>
      </w:tr>
    </w:tbl>
    <w:p w14:paraId="734A421C">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101010C4">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two campuses are almost identical in intensity (North 235.0 kWh/m², South 234.3 kWh/m²), so campus-level averages hide the building-level differences that matter. South hosts most of the installed PV (348 MWh versus 179 MWh generated at North).</w:t>
      </w:r>
    </w:p>
    <w:p w14:paraId="207A00D3">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3.4 Temporal patterns</w:t>
      </w:r>
    </w:p>
    <w:p w14:paraId="0225A86B">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2171700"/>
            <wp:effectExtent l="0" t="0" r="0" b="0"/>
            <wp:docPr id="2" name="c2_monthly" descr="Monthly electricity, gas and solar generation" title="Monthly electricity, gas and solar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2_monthly" descr="Monthly electricity, gas and solar generation" title="Monthly electricity, gas and solar generation"/>
                    <pic:cNvPicPr>
                      <a:picLocks noChangeAspect="1" noChangeArrowheads="1"/>
                    </pic:cNvPicPr>
                  </pic:nvPicPr>
                  <pic:blipFill>
                    <a:blip r:embed="rId6"/>
                    <a:srcRect/>
                    <a:stretch>
                      <a:fillRect/>
                    </a:stretch>
                  </pic:blipFill>
                  <pic:spPr>
                    <a:xfrm>
                      <a:off x="0" y="0"/>
                      <a:ext cx="4476750" cy="2171700"/>
                    </a:xfrm>
                    <a:prstGeom prst="rect">
                      <a:avLst/>
                    </a:prstGeom>
                  </pic:spPr>
                </pic:pic>
              </a:graphicData>
            </a:graphic>
          </wp:inline>
        </w:drawing>
      </w:r>
    </w:p>
    <w:p w14:paraId="0BBC927E">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2. Monthly electricity, gas and solar generation</w:t>
      </w:r>
    </w:p>
    <w:p w14:paraId="4E9B013A">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Gas follows the heating season, with winter months well above summer, while electricity rises in summer as cooling load increases (Appendix A). Average portfolio demand was 1,424 kW in term time and 1,756 kW during breaks, i.e. 23.3% higher during breaks. This is counter-intuitive and arises because the main break is the summer vacation, when cooling demand is highest; it also means that buildings are conditioned heavily while mostly empty, an important opportunity for set-back control.</w:t>
      </w:r>
    </w:p>
    <w:p w14:paraId="3B529C27">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2038350"/>
            <wp:effectExtent l="0" t="0" r="0" b="0"/>
            <wp:docPr id="3" name="c3_profile" descr="Average 24-hour portfolio demand profile, weekday versus weekend" title="Average 24-hour portfolio demand profile, weekday versus we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3_profile" descr="Average 24-hour portfolio demand profile, weekday versus weekend" title="Average 24-hour portfolio demand profile, weekday versus weekend"/>
                    <pic:cNvPicPr>
                      <a:picLocks noChangeAspect="1" noChangeArrowheads="1"/>
                    </pic:cNvPicPr>
                  </pic:nvPicPr>
                  <pic:blipFill>
                    <a:blip r:embed="rId7"/>
                    <a:srcRect/>
                    <a:stretch>
                      <a:fillRect/>
                    </a:stretch>
                  </pic:blipFill>
                  <pic:spPr>
                    <a:xfrm>
                      <a:off x="0" y="0"/>
                      <a:ext cx="4476750" cy="2038350"/>
                    </a:xfrm>
                    <a:prstGeom prst="rect">
                      <a:avLst/>
                    </a:prstGeom>
                  </pic:spPr>
                </pic:pic>
              </a:graphicData>
            </a:graphic>
          </wp:inline>
        </w:drawing>
      </w:r>
    </w:p>
    <w:p w14:paraId="339CCD47">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3. Average 24-hour portfolio demand profile, weekday versus weekend</w:t>
      </w:r>
    </w:p>
    <w:p w14:paraId="5F02D661">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weekday profile reaches its low of 1,193 kW at 07:00 and its high of 1,923 kW at 17:00. Weekend demand averages 1,446 kW against 1,529 kW on weekdays, a gap of only 5.5%, which signals a high baseload that does not follow occupancy.</w:t>
      </w:r>
    </w:p>
    <w:p w14:paraId="618777C6">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3.5 Waste and anomaly detection</w:t>
      </w:r>
    </w:p>
    <w:p w14:paraId="7481BE84">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anomaly algorithm found 3 sustained electrical events totalling 24,186 kWh of excess consumption ($3,386 at the assumed tariff). The largest was a 6-day event at the Science Block.</w:t>
      </w:r>
    </w:p>
    <w:p w14:paraId="16AA33FE">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9. Detected electrical anomaly events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6"/>
        <w:gridCol w:w="1477"/>
        <w:gridCol w:w="1478"/>
        <w:gridCol w:w="801"/>
        <w:gridCol w:w="1093"/>
        <w:gridCol w:w="1091"/>
        <w:gridCol w:w="920"/>
      </w:tblGrid>
      <w:tr w14:paraId="3DF0BFD9">
        <w:trPr>
          <w:tblHeader/>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107567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Building</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FC49A2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Start</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0616DD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End</w:t>
            </w:r>
          </w:p>
        </w:tc>
        <w:tc>
          <w:tcPr>
            <w:tcW w:w="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86FF6F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Hours</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728412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Excess (kWh)</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891061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Max excess (kW)</w:t>
            </w:r>
          </w:p>
        </w:tc>
        <w:tc>
          <w:tcPr>
            <w:tcW w:w="9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20B537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Cost ($)</w:t>
            </w:r>
          </w:p>
        </w:tc>
      </w:tr>
      <w:tr w14:paraId="106861DE">
        <w:trPr>
          <w:cantSplit/>
        </w:trPr>
        <w:tc>
          <w:tcPr>
            <w:tcW w:w="2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E18108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Science Block</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6B892C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2025-06-10 00:00</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560536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2025-06-15 23:00</w:t>
            </w:r>
          </w:p>
        </w:tc>
        <w:tc>
          <w:tcPr>
            <w:tcW w:w="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21591A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144</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495968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13,047</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110075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120</w:t>
            </w:r>
          </w:p>
        </w:tc>
        <w:tc>
          <w:tcPr>
            <w:tcW w:w="9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66BCF4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1,827</w:t>
            </w:r>
          </w:p>
        </w:tc>
      </w:tr>
      <w:tr w14:paraId="6A21EEFE">
        <w:trPr>
          <w:cantSplit/>
        </w:trPr>
        <w:tc>
          <w:tcPr>
            <w:tcW w:w="2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B5AE1E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Biotech Research Centre</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8EBAC2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2025-10-02 00:00</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738C57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2025-10-06 23:00</w:t>
            </w:r>
          </w:p>
        </w:tc>
        <w:tc>
          <w:tcPr>
            <w:tcW w:w="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354ABA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120</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C02481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8,293</w:t>
            </w:r>
          </w:p>
        </w:tc>
        <w:tc>
          <w:tcPr>
            <w:tcW w:w="11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DA694A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90</w:t>
            </w:r>
          </w:p>
        </w:tc>
        <w:tc>
          <w:tcPr>
            <w:tcW w:w="9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88E33C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1,161</w:t>
            </w:r>
          </w:p>
        </w:tc>
      </w:tr>
      <w:tr w14:paraId="79FDC4AC">
        <w:trPr>
          <w:cantSplit/>
        </w:trPr>
        <w:tc>
          <w:tcPr>
            <w:tcW w:w="2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DED4C2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Sports Complex</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A55857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2025-02-14 00:00</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84D98A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2025-02-16 23:00</w:t>
            </w:r>
          </w:p>
        </w:tc>
        <w:tc>
          <w:tcPr>
            <w:tcW w:w="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6BB586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72</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30A917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2,846</w:t>
            </w:r>
          </w:p>
        </w:tc>
        <w:tc>
          <w:tcPr>
            <w:tcW w:w="11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2FBBC4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45</w:t>
            </w:r>
          </w:p>
        </w:tc>
        <w:tc>
          <w:tcPr>
            <w:tcW w:w="9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2ADD24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398</w:t>
            </w:r>
          </w:p>
        </w:tc>
      </w:tr>
    </w:tbl>
    <w:p w14:paraId="4791E597">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17B91732">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2038350"/>
            <wp:effectExtent l="0" t="0" r="0" b="0"/>
            <wp:docPr id="4" name="c6_anom" descr="Anomaly events by building and date (bubble size proportional to excess energy)" title="Anomaly events by building and date (bubble size proportional to excess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6_anom" descr="Anomaly events by building and date (bubble size proportional to excess energy)" title="Anomaly events by building and date (bubble size proportional to excess energy)"/>
                    <pic:cNvPicPr>
                      <a:picLocks noChangeAspect="1" noChangeArrowheads="1"/>
                    </pic:cNvPicPr>
                  </pic:nvPicPr>
                  <pic:blipFill>
                    <a:blip r:embed="rId8"/>
                    <a:srcRect/>
                    <a:stretch>
                      <a:fillRect/>
                    </a:stretch>
                  </pic:blipFill>
                  <pic:spPr>
                    <a:xfrm>
                      <a:off x="0" y="0"/>
                      <a:ext cx="4476750" cy="2038350"/>
                    </a:xfrm>
                    <a:prstGeom prst="rect">
                      <a:avLst/>
                    </a:prstGeom>
                  </pic:spPr>
                </pic:pic>
              </a:graphicData>
            </a:graphic>
          </wp:inline>
        </w:drawing>
      </w:r>
    </w:p>
    <w:p w14:paraId="1A65B3B4">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4. Anomaly events by building and date (bubble size proportional to excess energy)</w:t>
      </w:r>
    </w:p>
    <w:p w14:paraId="7FD6E1C9">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A week-on-week check of gas data also revealed a rise of 13,791 kWh in Residence Hall 3 during the week beginning 3 November compared with the preceding week (about $621), consistent with a boiler or heating-control fault, and warranting site inspection.</w:t>
      </w:r>
    </w:p>
    <w:p w14:paraId="3CF81F09">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3.6 After-hours and baseload waste</w:t>
      </w:r>
    </w:p>
    <w:p w14:paraId="582495E0">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2038350"/>
            <wp:effectExtent l="0" t="0" r="0" b="0"/>
            <wp:docPr id="5" name="c5_afterhours" descr="Share of electricity used outside Monday–Friday 07:00–19:00 (non-residential buildings)" title="Share of electricity used outside Monday–Friday 07:00–19:00 (non-residential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5_afterhours" descr="Share of electricity used outside Monday–Friday 07:00–19:00 (non-residential buildings)" title="Share of electricity used outside Monday–Friday 07:00–19:00 (non-residential buildings)"/>
                    <pic:cNvPicPr>
                      <a:picLocks noChangeAspect="1" noChangeArrowheads="1"/>
                    </pic:cNvPicPr>
                  </pic:nvPicPr>
                  <pic:blipFill>
                    <a:blip r:embed="rId9"/>
                    <a:srcRect/>
                    <a:stretch>
                      <a:fillRect/>
                    </a:stretch>
                  </pic:blipFill>
                  <pic:spPr>
                    <a:xfrm>
                      <a:off x="0" y="0"/>
                      <a:ext cx="4476750" cy="2038350"/>
                    </a:xfrm>
                    <a:prstGeom prst="rect">
                      <a:avLst/>
                    </a:prstGeom>
                  </pic:spPr>
                </pic:pic>
              </a:graphicData>
            </a:graphic>
          </wp:inline>
        </w:drawing>
      </w:r>
    </w:p>
    <w:p w14:paraId="0D306AB5">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5. Share of electricity used outside Monday–Friday 07:00–19:00 (non-residential buildings)</w:t>
      </w:r>
    </w:p>
    <w:p w14:paraId="38F02769">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After-hours consumption accounts for 55–61% of non-residential electricity, because a high baseload runs continuously. Night-time intensity (22:00–05:59) was compared with building-type peers. Two buildings exceeded their peer median by more than 15%.</w:t>
      </w:r>
    </w:p>
    <w:p w14:paraId="7CCB9322">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10. Night-time load screening (candidates above peer median)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200"/>
        <w:gridCol w:w="1300"/>
        <w:gridCol w:w="900"/>
        <w:gridCol w:w="1700"/>
        <w:gridCol w:w="1426"/>
      </w:tblGrid>
      <w:tr w14:paraId="5601CADE">
        <w:trPr>
          <w:tblHeader/>
        </w:trPr>
        <w:tc>
          <w:tcPr>
            <w:tcW w:w="2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512333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Building</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5061E4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Type</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160F34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Night load (kW)</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89DDFE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W/m²</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FD3800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Excess vs peers (kW)</w:t>
            </w:r>
          </w:p>
        </w:tc>
        <w:tc>
          <w:tcPr>
            <w:tcW w:w="14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0CA8F6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Excess (MWh/yr)</w:t>
            </w:r>
          </w:p>
        </w:tc>
      </w:tr>
      <w:tr w14:paraId="0F311909">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DEAABA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Lecture Hall A</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D2B977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19377D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109.8</w:t>
            </w:r>
          </w:p>
        </w:tc>
        <w:tc>
          <w:tcPr>
            <w:tcW w:w="9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13FE53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14.65</w:t>
            </w:r>
          </w:p>
        </w:tc>
        <w:tc>
          <w:tcPr>
            <w:tcW w:w="17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21528F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48.2</w:t>
            </w:r>
          </w:p>
        </w:tc>
        <w:tc>
          <w:tcPr>
            <w:tcW w:w="14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C90A21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105.6</w:t>
            </w:r>
          </w:p>
        </w:tc>
      </w:tr>
      <w:tr w14:paraId="47BC3964">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558575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Biotech Research Centre</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2600CB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7FA718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255.8</w:t>
            </w:r>
          </w:p>
        </w:tc>
        <w:tc>
          <w:tcPr>
            <w:tcW w:w="9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F424CE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20.47</w:t>
            </w:r>
          </w:p>
        </w:tc>
        <w:tc>
          <w:tcPr>
            <w:tcW w:w="17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5AF5B6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43.4</w:t>
            </w:r>
          </w:p>
        </w:tc>
        <w:tc>
          <w:tcPr>
            <w:tcW w:w="14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45AB56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95.1</w:t>
            </w:r>
          </w:p>
        </w:tc>
      </w:tr>
    </w:tbl>
    <w:p w14:paraId="7CFE2D3F">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1B8F2F36">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1895475"/>
            <wp:effectExtent l="0" t="0" r="0" b="0"/>
            <wp:docPr id="6" name="c4_heat" descr="Lecture Hall A: mean demand by day of week and hour (night and weekend load is visible)" title="Lecture Hall A: mean demand by day of week and hour (night and weekend load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4_heat" descr="Lecture Hall A: mean demand by day of week and hour (night and weekend load is visible)" title="Lecture Hall A: mean demand by day of week and hour (night and weekend load is visible)"/>
                    <pic:cNvPicPr>
                      <a:picLocks noChangeAspect="1" noChangeArrowheads="1"/>
                    </pic:cNvPicPr>
                  </pic:nvPicPr>
                  <pic:blipFill>
                    <a:blip r:embed="rId10"/>
                    <a:srcRect/>
                    <a:stretch>
                      <a:fillRect/>
                    </a:stretch>
                  </pic:blipFill>
                  <pic:spPr>
                    <a:xfrm>
                      <a:off x="0" y="0"/>
                      <a:ext cx="4476750" cy="1895475"/>
                    </a:xfrm>
                    <a:prstGeom prst="rect">
                      <a:avLst/>
                    </a:prstGeom>
                  </pic:spPr>
                </pic:pic>
              </a:graphicData>
            </a:graphic>
          </wp:inline>
        </w:drawing>
      </w:r>
    </w:p>
    <w:p w14:paraId="050D54C4">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6. Lecture Hall A: mean demand by day of week and hour (night and weekend load is visible)</w:t>
      </w:r>
    </w:p>
    <w:p w14:paraId="70E1A76F">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Lecture Hall A heat map shows demand remaining high between 22:00 and 05:00 on every day, consistent with air-handling plant left running overnight. The Biotech Research Centre also shows a high night load, but laboratories often require continuous ventilation, so this is flagged for review rather than treated as confirmed waste. The combined screened excess is 201 MWh per year ($28,108).</w:t>
      </w:r>
    </w:p>
    <w:p w14:paraId="55A8020E">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3.7 Peak demand and forecasting</w:t>
      </w:r>
    </w:p>
    <w:p w14:paraId="4E4D70DE">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11. Highest portfolio demand hours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000"/>
        <w:gridCol w:w="3826"/>
      </w:tblGrid>
      <w:tr w14:paraId="1F65925D">
        <w:trPr>
          <w:tblHeader/>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BC513B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Rank</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BF78FF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Timestamp</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188BCF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Demand (kW)</w:t>
            </w:r>
          </w:p>
        </w:tc>
      </w:tr>
      <w:tr w14:paraId="6B899957">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63C55D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416BD1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2025-06-24 15:00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8B2BDE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3,657</w:t>
            </w:r>
          </w:p>
        </w:tc>
      </w:tr>
      <w:tr w14:paraId="67D3CE44">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3E0682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92886B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2025-07-11 16:00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FB1AC7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3,577</w:t>
            </w:r>
          </w:p>
        </w:tc>
      </w:tr>
      <w:tr w14:paraId="241B05F2">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C6AC12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5367F1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2025-06-25 17:00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BBF575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3,540</w:t>
            </w:r>
          </w:p>
        </w:tc>
      </w:tr>
      <w:tr w14:paraId="0D50F95F">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E3A779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793D31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2025-06-30 14:00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10C88B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3,532</w:t>
            </w:r>
          </w:p>
        </w:tc>
      </w:tr>
      <w:tr w14:paraId="3C593A25">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3C9271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144F7E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2025-08-07 16:00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06F664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3,528</w:t>
            </w:r>
          </w:p>
        </w:tc>
      </w:tr>
      <w:tr w14:paraId="1C31C460">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CDF875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40208C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2025-06-25 16:00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CA8ED9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3,487</w:t>
            </w:r>
          </w:p>
        </w:tc>
      </w:tr>
      <w:tr w14:paraId="54EEA58F">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DD660F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33586D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2025-06-25 18:00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734D1B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3,480</w:t>
            </w:r>
          </w:p>
        </w:tc>
      </w:tr>
      <w:tr w14:paraId="76B857F9">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C426A0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9F2FD9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2025-07-29 16:00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976BE5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3,478</w:t>
            </w:r>
          </w:p>
        </w:tc>
      </w:tr>
      <w:tr w14:paraId="542920BB">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DDB048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DAA154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2025-08-04 16:00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D8FD01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3,473</w:t>
            </w:r>
          </w:p>
        </w:tc>
      </w:tr>
      <w:tr w14:paraId="1E7553BF">
        <w:trPr>
          <w:cantSplit/>
        </w:trPr>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4FB7D3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w:t>
            </w:r>
          </w:p>
        </w:tc>
        <w:tc>
          <w:tcPr>
            <w:tcW w:w="40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DB01F6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2025-07-23 17:00</w:t>
            </w:r>
          </w:p>
        </w:tc>
        <w:tc>
          <w:tcPr>
            <w:tcW w:w="38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4B44A9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3,433</w:t>
            </w:r>
          </w:p>
        </w:tc>
      </w:tr>
    </w:tbl>
    <w:p w14:paraId="7E9D46F2">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79B0A3AE">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1971675"/>
            <wp:effectExtent l="0" t="0" r="0" b="0"/>
            <wp:docPr id="7" name="c10_ldc" descr="Load duration curve (left) and daily solar generation against scaled demand (right)" title="Load duration curve (left) and daily solar generation against scaled deman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10_ldc" descr="Load duration curve (left) and daily solar generation against scaled demand (right)" title="Load duration curve (left) and daily solar generation against scaled demand (right)"/>
                    <pic:cNvPicPr>
                      <a:picLocks noChangeAspect="1" noChangeArrowheads="1"/>
                    </pic:cNvPicPr>
                  </pic:nvPicPr>
                  <pic:blipFill>
                    <a:blip r:embed="rId11"/>
                    <a:srcRect/>
                    <a:stretch>
                      <a:fillRect/>
                    </a:stretch>
                  </pic:blipFill>
                  <pic:spPr>
                    <a:xfrm>
                      <a:off x="0" y="0"/>
                      <a:ext cx="4476750" cy="1971675"/>
                    </a:xfrm>
                    <a:prstGeom prst="rect">
                      <a:avLst/>
                    </a:prstGeom>
                  </pic:spPr>
                </pic:pic>
              </a:graphicData>
            </a:graphic>
          </wp:inline>
        </w:drawing>
      </w:r>
    </w:p>
    <w:p w14:paraId="04D866BA">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7. Load duration curve (left) and daily solar generation against scaled demand (right)</w:t>
      </w:r>
    </w:p>
    <w:p w14:paraId="477B9723">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ten highest hours all occurred during summer cooling conditions. Reducing each monthly peak by 5% (about 183 kW at the annual peak) would lower demand charges by about $16,716 per year under the assumed tariff, through pre-cooling, staggered plant start-up and temporary set-point relaxation.</w:t>
      </w:r>
    </w:p>
    <w:p w14:paraId="6ED866FD">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12. Forecast accuracy on held-out data (October–December 2025)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1400"/>
        <w:gridCol w:w="1400"/>
        <w:gridCol w:w="1426"/>
      </w:tblGrid>
      <w:tr w14:paraId="323EADF9">
        <w:trPr>
          <w:tblHeader/>
        </w:trPr>
        <w:tc>
          <w:tcPr>
            <w:tcW w:w="4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43643B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Model</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C716D0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MAE (kW)</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2E1318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RMSE (kW)</w:t>
            </w:r>
          </w:p>
        </w:tc>
        <w:tc>
          <w:tcPr>
            <w:tcW w:w="14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5B6C9A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MAPE (%)</w:t>
            </w:r>
          </w:p>
        </w:tc>
      </w:tr>
      <w:tr w14:paraId="7F44DAE8">
        <w:trPr>
          <w:cantSplit/>
        </w:trPr>
        <w:tc>
          <w:tcPr>
            <w:tcW w:w="48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02D1C9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Seasonal naive (same hour, previous week)</w:t>
            </w:r>
          </w:p>
        </w:tc>
        <w:tc>
          <w:tcPr>
            <w:tcW w:w="14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AFBCC4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42.1</w:t>
            </w:r>
          </w:p>
        </w:tc>
        <w:tc>
          <w:tcPr>
            <w:tcW w:w="14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C0E662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77.1</w:t>
            </w:r>
          </w:p>
        </w:tc>
        <w:tc>
          <w:tcPr>
            <w:tcW w:w="14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AF7C3C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3.32</w:t>
            </w:r>
          </w:p>
        </w:tc>
      </w:tr>
      <w:tr w14:paraId="2BFE7588">
        <w:trPr>
          <w:cantSplit/>
        </w:trPr>
        <w:tc>
          <w:tcPr>
            <w:tcW w:w="48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C42099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Gradient boosting (calendar + temperature + lag)</w:t>
            </w:r>
          </w:p>
        </w:tc>
        <w:tc>
          <w:tcPr>
            <w:tcW w:w="14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BA3012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22.9</w:t>
            </w:r>
          </w:p>
        </w:tc>
        <w:tc>
          <w:tcPr>
            <w:tcW w:w="14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C1CA77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30.1</w:t>
            </w:r>
          </w:p>
        </w:tc>
        <w:tc>
          <w:tcPr>
            <w:tcW w:w="14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87D25D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1.78</w:t>
            </w:r>
          </w:p>
        </w:tc>
      </w:tr>
    </w:tbl>
    <w:p w14:paraId="0E4F4346">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692D7900">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2038350"/>
            <wp:effectExtent l="0" t="0" r="0" b="0"/>
            <wp:docPr id="8" name="c7_fc" descr="Actual versus forecast portfolio demand, 13–19 October 2025" title="Actual versus forecast portfolio demand, 13–19 Octob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7_fc" descr="Actual versus forecast portfolio demand, 13–19 October 2025" title="Actual versus forecast portfolio demand, 13–19 October 2025"/>
                    <pic:cNvPicPr>
                      <a:picLocks noChangeAspect="1" noChangeArrowheads="1"/>
                    </pic:cNvPicPr>
                  </pic:nvPicPr>
                  <pic:blipFill>
                    <a:blip r:embed="rId12"/>
                    <a:srcRect/>
                    <a:stretch>
                      <a:fillRect/>
                    </a:stretch>
                  </pic:blipFill>
                  <pic:spPr>
                    <a:xfrm>
                      <a:off x="0" y="0"/>
                      <a:ext cx="4476750" cy="2038350"/>
                    </a:xfrm>
                    <a:prstGeom prst="rect">
                      <a:avLst/>
                    </a:prstGeom>
                  </pic:spPr>
                </pic:pic>
              </a:graphicData>
            </a:graphic>
          </wp:inline>
        </w:drawing>
      </w:r>
    </w:p>
    <w:p w14:paraId="68E5959F">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8. Actual versus forecast portfolio demand, 13–19 October 2025</w:t>
      </w:r>
    </w:p>
    <w:p w14:paraId="15E96BC8">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model was trained on 6,384 hours and tested on 2,208 hours. It reduces MAE by 46% and RMSE by 61% relative to the benchmark. For daily peak prediction, the model's MAPE was 1.20% (naive 4.30%), and 97.8% of days had a peak forecast within 5% of the actual peak. The test period covers autumn only; summer peaks were not in the test set, so accuracy on the highest summer peaks is not demonstrated here.</w:t>
      </w:r>
    </w:p>
    <w:p w14:paraId="097E14EF">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3.8 Occupancy and energy</w:t>
      </w:r>
    </w:p>
    <w:p w14:paraId="6FE453E9">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1971675"/>
            <wp:effectExtent l="0" t="0" r="0" b="0"/>
            <wp:docPr id="9" name="c8_occ" descr="Daily electricity versus mean occupancy for two buildings" title="Daily electricity versus mean occupancy for two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8_occ" descr="Daily electricity versus mean occupancy for two buildings" title="Daily electricity versus mean occupancy for two buildings"/>
                    <pic:cNvPicPr>
                      <a:picLocks noChangeAspect="1" noChangeArrowheads="1"/>
                    </pic:cNvPicPr>
                  </pic:nvPicPr>
                  <pic:blipFill>
                    <a:blip r:embed="rId13"/>
                    <a:srcRect/>
                    <a:stretch>
                      <a:fillRect/>
                    </a:stretch>
                  </pic:blipFill>
                  <pic:spPr>
                    <a:xfrm>
                      <a:off x="0" y="0"/>
                      <a:ext cx="4476750" cy="1971675"/>
                    </a:xfrm>
                    <a:prstGeom prst="rect">
                      <a:avLst/>
                    </a:prstGeom>
                  </pic:spPr>
                </pic:pic>
              </a:graphicData>
            </a:graphic>
          </wp:inline>
        </w:drawing>
      </w:r>
    </w:p>
    <w:p w14:paraId="0ABFADF4">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9. Daily electricity versus mean occupancy for two buildings</w:t>
      </w:r>
    </w:p>
    <w:p w14:paraId="77386A4D">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13. Correlation and regression by building (daily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9"/>
        <w:gridCol w:w="1240"/>
        <w:gridCol w:w="1400"/>
        <w:gridCol w:w="1600"/>
        <w:gridCol w:w="1369"/>
        <w:gridCol w:w="1208"/>
      </w:tblGrid>
      <w:tr w14:paraId="25C1BBCF">
        <w:trPr>
          <w:tblHeader/>
        </w:trPr>
        <w:tc>
          <w:tcPr>
            <w:tcW w:w="2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E04CD6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Building</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AE5AA3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Type</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D21ABF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r (occupancy)</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3C904C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r (temperature)</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1AA4E1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R² (occ + cooling)</w:t>
            </w:r>
          </w:p>
        </w:tc>
        <w:tc>
          <w:tcPr>
            <w:tcW w:w="13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E5D963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kW per person (OLS)</w:t>
            </w:r>
          </w:p>
        </w:tc>
      </w:tr>
      <w:tr w14:paraId="46C59625">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D5825C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Science Block</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113095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E79DDE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-0.22</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156FF8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0.80</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616956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0.94</w:t>
            </w:r>
          </w:p>
        </w:tc>
        <w:tc>
          <w:tcPr>
            <w:tcW w:w="13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587A9D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0.07</w:t>
            </w:r>
          </w:p>
        </w:tc>
      </w:tr>
      <w:tr w14:paraId="28AA3AF6">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521A23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Engineering Lab</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544403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D1DB16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-0.23</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BAE68D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0.81</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867BB0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0.98</w:t>
            </w:r>
          </w:p>
        </w:tc>
        <w:tc>
          <w:tcPr>
            <w:tcW w:w="13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CFD8A5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0.07</w:t>
            </w:r>
          </w:p>
        </w:tc>
      </w:tr>
      <w:tr w14:paraId="73988FD2">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E8A825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Central Library</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B2B0F7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C91024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-0.15</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795A9A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0.80</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3963F6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0.97</w:t>
            </w:r>
          </w:p>
        </w:tc>
        <w:tc>
          <w:tcPr>
            <w:tcW w:w="13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B6C6B8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0.03</w:t>
            </w:r>
          </w:p>
        </w:tc>
      </w:tr>
      <w:tr w14:paraId="465952F6">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B4FBC4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Lecture Hall A</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C6F437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FF85F7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0.02</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263E4B6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0.75</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1EA5FE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0.98</w:t>
            </w:r>
          </w:p>
        </w:tc>
        <w:tc>
          <w:tcPr>
            <w:tcW w:w="13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5E6811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0.03</w:t>
            </w:r>
          </w:p>
        </w:tc>
      </w:tr>
      <w:tr w14:paraId="63E5FF4A">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29614B7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1</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537DAB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7D721C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0.10</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B0803E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0.66</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581BA7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0.98</w:t>
            </w:r>
          </w:p>
        </w:tc>
        <w:tc>
          <w:tcPr>
            <w:tcW w:w="13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545096E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0.08</w:t>
            </w:r>
          </w:p>
        </w:tc>
      </w:tr>
      <w:tr w14:paraId="4B3F520B">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90533F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2</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3A3EE9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9D6376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0.18</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375E8A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0.62</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2DE70F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0.98</w:t>
            </w:r>
          </w:p>
        </w:tc>
        <w:tc>
          <w:tcPr>
            <w:tcW w:w="13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C253C3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0.08</w:t>
            </w:r>
          </w:p>
        </w:tc>
      </w:tr>
      <w:tr w14:paraId="48DAB4AC">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544FA2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Admin &amp; Corporate Office</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600084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Office</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AA94B9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-0.06</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70B7ED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0.80</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C16CC9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0.98</w:t>
            </w:r>
          </w:p>
        </w:tc>
        <w:tc>
          <w:tcPr>
            <w:tcW w:w="13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28CBCB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0.05</w:t>
            </w:r>
          </w:p>
        </w:tc>
      </w:tr>
      <w:tr w14:paraId="1DFB228F">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42AF73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Business School</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A7C38E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AB906C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-0.14</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611815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0.79</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578E0F5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0.98</w:t>
            </w:r>
          </w:p>
        </w:tc>
        <w:tc>
          <w:tcPr>
            <w:tcW w:w="13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D46792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0.03</w:t>
            </w:r>
          </w:p>
        </w:tc>
      </w:tr>
      <w:tr w14:paraId="4CB314DF">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B8F699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Biotech Research Centre</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3FAF07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08FA37B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-0.27</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3E77C1D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0.82</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A71AAA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0.96</w:t>
            </w:r>
          </w:p>
        </w:tc>
        <w:tc>
          <w:tcPr>
            <w:tcW w:w="13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44B5289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0.07</w:t>
            </w:r>
          </w:p>
        </w:tc>
      </w:tr>
      <w:tr w14:paraId="3E7142F2">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11A3C2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Student Centre</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1CCC66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43F68BB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-0.08</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3F5540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0.79</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06F5F3C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0.98</w:t>
            </w:r>
          </w:p>
        </w:tc>
        <w:tc>
          <w:tcPr>
            <w:tcW w:w="13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469DD5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0.04</w:t>
            </w:r>
          </w:p>
        </w:tc>
      </w:tr>
      <w:tr w14:paraId="2D9EC9A7">
        <w:trPr>
          <w:cantSplit/>
        </w:trPr>
        <w:tc>
          <w:tcPr>
            <w:tcW w:w="2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80CA78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3</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FACDFB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12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1287D05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0.09</w:t>
            </w:r>
          </w:p>
        </w:tc>
        <w:tc>
          <w:tcPr>
            <w:tcW w:w="13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7268F2A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0.66</w:t>
            </w:r>
          </w:p>
        </w:tc>
        <w:tc>
          <w:tcPr>
            <w:tcW w:w="1500"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E341F6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0.98</w:t>
            </w:r>
          </w:p>
        </w:tc>
        <w:tc>
          <w:tcPr>
            <w:tcW w:w="1326" w:type="dxa"/>
            <w:tcBorders>
              <w:top w:val="single" w:color="C9D3CE" w:sz="4" w:space="0"/>
              <w:left w:val="single" w:color="C9D3CE" w:sz="4" w:space="0"/>
              <w:bottom w:val="single" w:color="C9D3CE" w:sz="4" w:space="0"/>
              <w:right w:val="single" w:color="C9D3CE" w:sz="4" w:space="0"/>
            </w:tcBorders>
            <w:tcMar>
              <w:top w:w="40" w:type="dxa"/>
              <w:left w:w="80" w:type="dxa"/>
              <w:bottom w:w="40" w:type="dxa"/>
              <w:right w:w="80" w:type="dxa"/>
            </w:tcMar>
          </w:tcPr>
          <w:p w14:paraId="687D151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0.08</w:t>
            </w:r>
          </w:p>
        </w:tc>
      </w:tr>
      <w:tr w14:paraId="66E680DF">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3EF5F3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Sports Complex</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3A3D44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12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6311E61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-0.19</w:t>
            </w:r>
          </w:p>
        </w:tc>
        <w:tc>
          <w:tcPr>
            <w:tcW w:w="13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19FD478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0.77</w:t>
            </w:r>
          </w:p>
        </w:tc>
        <w:tc>
          <w:tcPr>
            <w:tcW w:w="1500"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70B962A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0.96</w:t>
            </w:r>
          </w:p>
        </w:tc>
        <w:tc>
          <w:tcPr>
            <w:tcW w:w="1326" w:type="dxa"/>
            <w:tcBorders>
              <w:top w:val="single" w:color="C9D3CE" w:sz="4" w:space="0"/>
              <w:left w:val="single" w:color="C9D3CE" w:sz="4" w:space="0"/>
              <w:bottom w:val="single" w:color="C9D3CE" w:sz="4" w:space="0"/>
              <w:right w:val="single" w:color="C9D3CE" w:sz="4" w:space="0"/>
            </w:tcBorders>
            <w:shd w:val="clear" w:color="auto" w:fill="F4F5F6"/>
            <w:tcMar>
              <w:top w:w="40" w:type="dxa"/>
              <w:left w:w="80" w:type="dxa"/>
              <w:bottom w:w="40" w:type="dxa"/>
              <w:right w:w="80" w:type="dxa"/>
            </w:tcMar>
          </w:tcPr>
          <w:p w14:paraId="35F5F44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0.04</w:t>
            </w:r>
          </w:p>
        </w:tc>
      </w:tr>
    </w:tbl>
    <w:p w14:paraId="5E5239E0">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6F8BC340">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Raw correlation between daily electricity and occupancy is weak (r between -0.27 and 0.18), because occupancy and weather move in opposite directions across the year: occupancy falls in the summer break while cooling load peaks. Once both predictors are included the models explain 94–98% of daily variation (R²). Occupancy-driven load is therefore modest relative to fixed baseload and weather-driven cooling, supporting a focus on schedules and set-points rather than occupant-count control alone. The "kW per person" column is the fitted occupancy coefficient converted to an hourly average; regression coefficients are indicative and are affected by collinearity.</w:t>
      </w:r>
    </w:p>
    <w:p w14:paraId="34B589F1">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3.9 Indoor environmental quality</w:t>
      </w:r>
    </w:p>
    <w:p w14:paraId="2062E2C8">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2171700"/>
            <wp:effectExtent l="0" t="0" r="0" b="0"/>
            <wp:docPr id="10" name="c9_ieq" descr="Share of occupied hours outside comfort and ventilation limits" title="Share of occupied hours outside comfort and ventilation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9_ieq" descr="Share of occupied hours outside comfort and ventilation limits" title="Share of occupied hours outside comfort and ventilation limits"/>
                    <pic:cNvPicPr>
                      <a:picLocks noChangeAspect="1" noChangeArrowheads="1"/>
                    </pic:cNvPicPr>
                  </pic:nvPicPr>
                  <pic:blipFill>
                    <a:blip r:embed="rId14"/>
                    <a:srcRect/>
                    <a:stretch>
                      <a:fillRect/>
                    </a:stretch>
                  </pic:blipFill>
                  <pic:spPr>
                    <a:xfrm>
                      <a:off x="0" y="0"/>
                      <a:ext cx="4476750" cy="2171700"/>
                    </a:xfrm>
                    <a:prstGeom prst="rect">
                      <a:avLst/>
                    </a:prstGeom>
                  </pic:spPr>
                </pic:pic>
              </a:graphicData>
            </a:graphic>
          </wp:inline>
        </w:drawing>
      </w:r>
    </w:p>
    <w:p w14:paraId="78CDF7B7">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10. Share of occupied hours outside comfort and ventilation limits</w:t>
      </w:r>
    </w:p>
    <w:p w14:paraId="7E7DCB80">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14. Indoor environmental quality, occupied hours only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1"/>
        <w:gridCol w:w="1076"/>
        <w:gridCol w:w="1277"/>
        <w:gridCol w:w="1065"/>
        <w:gridCol w:w="1065"/>
        <w:gridCol w:w="1240"/>
        <w:gridCol w:w="1112"/>
      </w:tblGrid>
      <w:tr w14:paraId="5402D381">
        <w:trPr>
          <w:tblHeader/>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A259CD0">
            <w:pPr>
              <w:jc w:val="lef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Building</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9771D3A">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Mean °C</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FEC09B6">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Temp outside 20–25 °C (%)</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6394034">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Mean CO₂ (ppm)</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4180209">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P95 CO₂ (ppm)</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514640E">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CO₂ &gt; 1,000 ppm (%)</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38BA058">
            <w:pPr>
              <w:jc w:val="right"/>
              <w:rPr>
                <w:rFonts w:hint="default" w:ascii="Times New Roman Bold" w:hAnsi="Times New Roman Bold" w:cs="Times New Roman Bold"/>
                <w:b/>
                <w:bCs/>
                <w:color w:val="000000" w:themeColor="text1"/>
                <w:sz w:val="24"/>
                <w:szCs w:val="24"/>
                <w14:textFill>
                  <w14:solidFill>
                    <w14:schemeClr w14:val="tx1"/>
                  </w14:solidFill>
                </w14:textFill>
              </w:rPr>
            </w:pPr>
            <w:r>
              <w:rPr>
                <w:rFonts w:hint="default" w:ascii="Times New Roman Bold" w:hAnsi="Times New Roman Bold" w:eastAsia="Calibri" w:cs="Times New Roman Bold"/>
                <w:b/>
                <w:bCs/>
                <w:color w:val="000000" w:themeColor="text1"/>
                <w:sz w:val="24"/>
                <w:szCs w:val="24"/>
                <w14:textFill>
                  <w14:solidFill>
                    <w14:schemeClr w14:val="tx1"/>
                  </w14:solidFill>
                </w14:textFill>
              </w:rPr>
              <w:t>RH outside 30–60% (%)</w:t>
            </w:r>
          </w:p>
        </w:tc>
      </w:tr>
      <w:tr w14:paraId="08AF127B">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BC6D35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Science Block</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435EF2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22.1</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FB3205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2.4</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7C8123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918</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FA1038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1,192</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A59C2F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47.9</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C394CF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w:t>
            </w:r>
          </w:p>
        </w:tc>
      </w:tr>
      <w:tr w14:paraId="503ECD37">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C7D83A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Engineering Lab</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78806F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22.1</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05C510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2.8</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7DFFAE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927</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92DA89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1,212</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F9A2FF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47.4</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E852B9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1.3</w:t>
            </w:r>
          </w:p>
        </w:tc>
      </w:tr>
      <w:tr w14:paraId="67711F14">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9C707E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Central Library</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97C187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22.2</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5D10C4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467DD7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2,427</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D62F64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3,227</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1839AD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89.5</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1360AF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0.4</w:t>
            </w:r>
          </w:p>
        </w:tc>
      </w:tr>
      <w:tr w14:paraId="35739223">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0A7F04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Lecture Hall A</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A81844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22.2</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CE7763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3.3</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262B17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3,823</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F0B75A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4,946</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E86DB7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99.8</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7D8725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0.5</w:t>
            </w:r>
          </w:p>
        </w:tc>
      </w:tr>
      <w:tr w14:paraId="4D0F90D2">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BDBCAC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1</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1FAB41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21.9</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43E8F9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3.8</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CAB2B9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1,015</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ABC79C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1,403</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DD7DD3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55.2</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4F5CF8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0.7</w:t>
            </w:r>
          </w:p>
        </w:tc>
      </w:tr>
      <w:tr w14:paraId="11F3C212">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DE9C09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2</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53DE5B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22.0</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AE9BB2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3.1</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3207A2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1,072</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CAE4FC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1,466</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B65D6F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54.9</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6F3181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0.8</w:t>
            </w:r>
          </w:p>
        </w:tc>
      </w:tr>
      <w:tr w14:paraId="7987E217">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2EC575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Admin &amp; Corporate Office</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A459C4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22.3</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35EC21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D92770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1,100</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C78FD9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1,298</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B1CFCF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71.3</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2C52C6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w:t>
            </w:r>
          </w:p>
        </w:tc>
      </w:tr>
      <w:tr w14:paraId="4CDEED22">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135530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Business School</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E90BE7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22.3</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4C9275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3.5</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232075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2,326</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19BABF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3,030</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75B082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87.2</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0BFC67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0.7</w:t>
            </w:r>
          </w:p>
        </w:tc>
      </w:tr>
      <w:tr w14:paraId="7B08F929">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8D0E24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Biotech Research Centre</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3A6CF8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22.1</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ED03FA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E8FE13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746</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B1D43F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940</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789FC6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0.0</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3D0A4C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w:t>
            </w:r>
          </w:p>
        </w:tc>
      </w:tr>
      <w:tr w14:paraId="5542FEBD">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5A65D1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Student Centre</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163ACA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22.3</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6C9445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EDFC41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2,717</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B7EAFD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3,537</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8A16AB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99.2</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9B6A60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0.9</w:t>
            </w:r>
          </w:p>
        </w:tc>
      </w:tr>
      <w:tr w14:paraId="5685D4F2">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544DF7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3</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47AE69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21.9</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4E5C7F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EBEF41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1,017</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2E276E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1,397</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359909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56.1</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86B7AF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0.5</w:t>
            </w:r>
          </w:p>
        </w:tc>
      </w:tr>
      <w:tr w14:paraId="54C10BF4">
        <w:trPr>
          <w:cantSplit/>
        </w:trPr>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FBB6C8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Sports Complex</w:t>
            </w:r>
          </w:p>
        </w:tc>
        <w:tc>
          <w:tcPr>
            <w:tcW w:w="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D10389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22.2</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0DBC99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232DAA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1,402</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FA3CCB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1,846</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F16E43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63.7</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D8E54B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0.6</w:t>
            </w:r>
          </w:p>
        </w:tc>
      </w:tr>
    </w:tbl>
    <w:p w14:paraId="32CB3B15">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59A6DAC0">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Temperature was within 20–25 °C for most occupied hours in all buildings (outside the range for 1.4–3.8% of hours). Ventilation is the main concern: Central Library, Lecture Hall A, Business School, Student Centre exceeded 1,000 ppm CO₂ in more than 80% of occupied hours. The occupied-hours filter used here is occupancy above 20% of capacity, so these are periods of meaningful use. High CO₂ alongside high baseload suggests that air is being conditioned continuously yet not delivered effectively where and when people are present, favouring demand-controlled ventilation.</w:t>
      </w:r>
    </w:p>
    <w:p w14:paraId="3C10CBFC">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3.10 Renewable generation</w:t>
      </w:r>
    </w:p>
    <w:p w14:paraId="0A36FCA6">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15. Solar PV sites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500"/>
        <w:gridCol w:w="1700"/>
        <w:gridCol w:w="1626"/>
      </w:tblGrid>
      <w:tr w14:paraId="7F9981ED">
        <w:trPr>
          <w:tblHeader/>
        </w:trPr>
        <w:tc>
          <w:tcPr>
            <w:tcW w:w="2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385788F">
            <w:pPr>
              <w:shd w:val="clear" w:fill="FFFFFF" w:themeFill="background1"/>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Building</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E89A1D0">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Capacity (kWp)</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4198E61">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Generation (MWh)</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CD10162">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Specific yield (kWh/kWp)</w:t>
            </w:r>
          </w:p>
        </w:tc>
        <w:tc>
          <w:tcPr>
            <w:tcW w:w="16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9E2EE95">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Share of building electricity (%)</w:t>
            </w:r>
          </w:p>
        </w:tc>
      </w:tr>
      <w:tr w14:paraId="3DECEF74">
        <w:trPr>
          <w:cantSplit/>
        </w:trPr>
        <w:tc>
          <w:tcPr>
            <w:tcW w:w="2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BBDA306">
            <w:pPr>
              <w:shd w:val="clear" w:fill="FFFFFF" w:themeFill="background1"/>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Engineering Lab</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A7221D3">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120</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518A7D4">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119.2</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BAE74CA">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993</w:t>
            </w:r>
          </w:p>
        </w:tc>
        <w:tc>
          <w:tcPr>
            <w:tcW w:w="16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FA93080">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6.1</w:t>
            </w:r>
          </w:p>
        </w:tc>
      </w:tr>
      <w:tr w14:paraId="6F755ED2">
        <w:trPr>
          <w:cantSplit/>
        </w:trPr>
        <w:tc>
          <w:tcPr>
            <w:tcW w:w="2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68E8819">
            <w:pPr>
              <w:shd w:val="clear" w:fill="FFFFFF" w:themeFill="background1"/>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1</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5E55F19">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60</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6D77FE9">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59.6</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97D1C78">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994</w:t>
            </w:r>
          </w:p>
        </w:tc>
        <w:tc>
          <w:tcPr>
            <w:tcW w:w="16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03428BD">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8.8</w:t>
            </w:r>
          </w:p>
        </w:tc>
      </w:tr>
      <w:tr w14:paraId="412B6AE1">
        <w:trPr>
          <w:cantSplit/>
        </w:trPr>
        <w:tc>
          <w:tcPr>
            <w:tcW w:w="2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B953A4B">
            <w:pPr>
              <w:shd w:val="clear" w:fill="FFFFFF" w:themeFill="background1"/>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Admin &amp; Corporate Office</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BBA68EB">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200</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459F9F6">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198.8</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9750095">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994</w:t>
            </w:r>
          </w:p>
        </w:tc>
        <w:tc>
          <w:tcPr>
            <w:tcW w:w="16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A952E58">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28.7</w:t>
            </w:r>
          </w:p>
        </w:tc>
      </w:tr>
      <w:tr w14:paraId="620F07B2">
        <w:trPr>
          <w:cantSplit/>
        </w:trPr>
        <w:tc>
          <w:tcPr>
            <w:tcW w:w="28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FD4C1A0">
            <w:pPr>
              <w:shd w:val="clear" w:fill="FFFFFF" w:themeFill="background1"/>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Student Centre</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D557A4F">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150</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B2D6044">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149.2</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86D6A54">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995</w:t>
            </w:r>
          </w:p>
        </w:tc>
        <w:tc>
          <w:tcPr>
            <w:tcW w:w="16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A4B1FCE">
            <w:pPr>
              <w:shd w:val="clear" w:fill="FFFFFF" w:themeFill="background1"/>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23.8</w:t>
            </w:r>
          </w:p>
        </w:tc>
      </w:tr>
    </w:tbl>
    <w:p w14:paraId="7AE32A0A">
      <w:pPr>
        <w:shd w:val="clear" w:fill="FFFFFF" w:themeFill="background1"/>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148615C9">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four PV systems total 530 kWp and generated 527 MWh (average specific yield 994 kWh/kWp). Because every site consumes far more than it generates, 97.3% of output was used on site and export is negligible. Solar covered 3.9% of portfolio electricity and avoided about 205 tCO₂e, or 2.7% of estimated emissions. Self-consumption is not a constraint, so additional PV capacity would be fully absorbed under current loads.</w:t>
      </w:r>
    </w:p>
    <w:p w14:paraId="34DBB285">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3.11 Water</w:t>
      </w:r>
    </w:p>
    <w:p w14:paraId="2CDD39EF">
      <w:pPr>
        <w:keepNext/>
        <w:spacing w:before="60" w:after="2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color w:val="000000" w:themeColor="text1"/>
          <w:sz w:val="24"/>
          <w:szCs w:val="24"/>
          <w14:textFill>
            <w14:solidFill>
              <w14:schemeClr w14:val="tx1"/>
            </w14:solidFill>
          </w14:textFill>
        </w:rPr>
        <w:drawing>
          <wp:inline distT="0" distB="0" distL="0" distR="0">
            <wp:extent cx="4476750" cy="1828800"/>
            <wp:effectExtent l="0" t="0" r="0" b="0"/>
            <wp:docPr id="11" name="c11_leak" descr="Residence Hall 2: actual versus expected water use relative to sister residences" title="Residence Hall 2: actual versus expected water use relative to sister resid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11_leak" descr="Residence Hall 2: actual versus expected water use relative to sister residences" title="Residence Hall 2: actual versus expected water use relative to sister residences"/>
                    <pic:cNvPicPr>
                      <a:picLocks noChangeAspect="1" noChangeArrowheads="1"/>
                    </pic:cNvPicPr>
                  </pic:nvPicPr>
                  <pic:blipFill>
                    <a:blip r:embed="rId15"/>
                    <a:srcRect/>
                    <a:stretch>
                      <a:fillRect/>
                    </a:stretch>
                  </pic:blipFill>
                  <pic:spPr>
                    <a:xfrm>
                      <a:off x="0" y="0"/>
                      <a:ext cx="4476750" cy="1828800"/>
                    </a:xfrm>
                    <a:prstGeom prst="rect">
                      <a:avLst/>
                    </a:prstGeom>
                  </pic:spPr>
                </pic:pic>
              </a:graphicData>
            </a:graphic>
          </wp:inline>
        </w:drawing>
      </w:r>
    </w:p>
    <w:p w14:paraId="3F0F8986">
      <w:pPr>
        <w:spacing w:before="40" w:after="160"/>
        <w:jc w:val="center"/>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i/>
          <w:iCs/>
          <w:color w:val="000000" w:themeColor="text1"/>
          <w:sz w:val="24"/>
          <w:szCs w:val="24"/>
          <w14:textFill>
            <w14:solidFill>
              <w14:schemeClr w14:val="tx1"/>
            </w14:solidFill>
          </w14:textFill>
        </w:rPr>
        <w:t>Figure 11. Residence Hall 2: actual versus expected water use relative to sister residences</w:t>
      </w:r>
    </w:p>
    <w:p w14:paraId="73578127">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Residence Hall 2 tracked its sister residences closely until early August (ratio ≈ 1.00 in January–June). From August the ratio rose to between 1.11 and 1.19, an unexplained increase of about 549 L/h (1,965 m³ to year end, $4,126). If unrepaired the loss is about 4,813 m³ per year ($10,107). July is lower because the residence was largely empty during the break, which the peer-ratio method accounts for.</w:t>
      </w:r>
    </w:p>
    <w:p w14:paraId="0681E5F0">
      <w:pPr>
        <w:pStyle w:val="2"/>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4. Results and discussion</w:t>
      </w:r>
    </w:p>
    <w:p w14:paraId="1433A50F">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4.1 Cost and carbon profile</w:t>
      </w:r>
    </w:p>
    <w:p w14:paraId="60DD9628">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16. Estimated annual utility cost (assumed tariffs)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2300"/>
        <w:gridCol w:w="2226"/>
      </w:tblGrid>
      <w:tr w14:paraId="13B14DDE">
        <w:trPr>
          <w:tblHeader/>
        </w:trPr>
        <w:tc>
          <w:tcPr>
            <w:tcW w:w="4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558F51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Component</w:t>
            </w:r>
          </w:p>
        </w:tc>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E95579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Cost ($)</w:t>
            </w:r>
          </w:p>
        </w:tc>
        <w:tc>
          <w:tcPr>
            <w:tcW w:w="22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5049D7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Share (%)</w:t>
            </w:r>
          </w:p>
        </w:tc>
      </w:tr>
      <w:tr w14:paraId="49F55B7A">
        <w:trPr>
          <w:cantSplit/>
        </w:trPr>
        <w:tc>
          <w:tcPr>
            <w:tcW w:w="4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68EDCE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Electricity energy</w:t>
            </w:r>
          </w:p>
        </w:tc>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7D8021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1,846,142</w:t>
            </w:r>
          </w:p>
        </w:tc>
        <w:tc>
          <w:tcPr>
            <w:tcW w:w="22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EC7B4A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55.2</w:t>
            </w:r>
          </w:p>
        </w:tc>
      </w:tr>
      <w:tr w14:paraId="2D6AF5E8">
        <w:trPr>
          <w:cantSplit/>
        </w:trPr>
        <w:tc>
          <w:tcPr>
            <w:tcW w:w="4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B9E93A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Electricity demand charge</w:t>
            </w:r>
          </w:p>
        </w:tc>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AD747D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334,329</w:t>
            </w:r>
          </w:p>
        </w:tc>
        <w:tc>
          <w:tcPr>
            <w:tcW w:w="22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9EFA7E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10.0</w:t>
            </w:r>
          </w:p>
        </w:tc>
      </w:tr>
      <w:tr w14:paraId="45A0DFE9">
        <w:trPr>
          <w:cantSplit/>
        </w:trPr>
        <w:tc>
          <w:tcPr>
            <w:tcW w:w="4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E571ED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Natural gas</w:t>
            </w:r>
          </w:p>
        </w:tc>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667E51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581,969</w:t>
            </w:r>
          </w:p>
        </w:tc>
        <w:tc>
          <w:tcPr>
            <w:tcW w:w="22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D71419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17.4</w:t>
            </w:r>
          </w:p>
        </w:tc>
      </w:tr>
      <w:tr w14:paraId="30A6FFAD">
        <w:trPr>
          <w:cantSplit/>
        </w:trPr>
        <w:tc>
          <w:tcPr>
            <w:tcW w:w="4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C08128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Water</w:t>
            </w:r>
          </w:p>
        </w:tc>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166E45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579,277</w:t>
            </w:r>
          </w:p>
        </w:tc>
        <w:tc>
          <w:tcPr>
            <w:tcW w:w="22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2D7E19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17.3</w:t>
            </w:r>
          </w:p>
        </w:tc>
      </w:tr>
      <w:tr w14:paraId="2C0F678F">
        <w:trPr>
          <w:cantSplit/>
        </w:trPr>
        <w:tc>
          <w:tcPr>
            <w:tcW w:w="4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F776CF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Total</w:t>
            </w:r>
          </w:p>
        </w:tc>
        <w:tc>
          <w:tcPr>
            <w:tcW w:w="2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BC900A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3,341,717</w:t>
            </w:r>
          </w:p>
        </w:tc>
        <w:tc>
          <w:tcPr>
            <w:tcW w:w="22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DC00B7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100.0</w:t>
            </w:r>
          </w:p>
        </w:tc>
      </w:tr>
    </w:tbl>
    <w:p w14:paraId="252FFE58">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1C4E6EEA">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Total utility cost is estimated at $3,341,717 per year, 55% of it electricity energy. Emissions are 7,654 tCO₂e, of which electricity contributes 5,275 t and gas 2,380 t. The demand charge is computed on the portfolio coincident peak for illustration only; real billing is per meter and will differ.</w:t>
      </w:r>
    </w:p>
    <w:p w14:paraId="5E74541F">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4.2 Interpretation against objectives</w:t>
      </w:r>
    </w:p>
    <w:p w14:paraId="79CD1955">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Visibility and benchmarking. </w:t>
      </w:r>
      <w:r>
        <w:rPr>
          <w:rFonts w:hint="default" w:ascii="Times New Roman Regular" w:hAnsi="Times New Roman Regular" w:eastAsia="Calibri" w:cs="Times New Roman Regular"/>
          <w:color w:val="000000" w:themeColor="text1"/>
          <w:sz w:val="24"/>
          <w:szCs w:val="24"/>
          <w14:textFill>
            <w14:solidFill>
              <w14:schemeClr w14:val="tx1"/>
            </w14:solidFill>
          </w14:textFill>
        </w:rPr>
        <w:t>A unified dataset exposes a 95% spread in EUI between the highest and lowest buildings, and within-type comparison singles out the Biotech Research Centre, whose EUI is well above the median of its research peers, ahead of the Sports Complex among academic buildings.</w:t>
      </w:r>
    </w:p>
    <w:p w14:paraId="58DBDEC4">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Waste detection. </w:t>
      </w:r>
      <w:r>
        <w:rPr>
          <w:rFonts w:hint="default" w:ascii="Times New Roman Regular" w:hAnsi="Times New Roman Regular" w:eastAsia="Calibri" w:cs="Times New Roman Regular"/>
          <w:color w:val="000000" w:themeColor="text1"/>
          <w:sz w:val="24"/>
          <w:szCs w:val="24"/>
          <w14:textFill>
            <w14:solidFill>
              <w14:schemeClr w14:val="tx1"/>
            </w14:solidFill>
          </w14:textFill>
        </w:rPr>
        <w:t>Sustained faults (chiller, fan, pool heating, boiler) and a water leak were separable from normal variation, demonstrating the value of continuous baselining. The faults persisted for 3–6 days; with real-time alerting they could have been resolved within hours.</w:t>
      </w:r>
    </w:p>
    <w:p w14:paraId="65BBCAC0">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Baseload dominates. </w:t>
      </w:r>
      <w:r>
        <w:rPr>
          <w:rFonts w:hint="default" w:ascii="Times New Roman Regular" w:hAnsi="Times New Roman Regular" w:eastAsia="Calibri" w:cs="Times New Roman Regular"/>
          <w:color w:val="000000" w:themeColor="text1"/>
          <w:sz w:val="24"/>
          <w:szCs w:val="24"/>
          <w14:textFill>
            <w14:solidFill>
              <w14:schemeClr w14:val="tx1"/>
            </w14:solidFill>
          </w14:textFill>
        </w:rPr>
        <w:t>Weekend demand is close to weekday demand and about 55–61% of non-residential electricity is used outside working hours. Scheduling and set-back are therefore likely to deliver more than occupancy-based control.</w:t>
      </w:r>
    </w:p>
    <w:p w14:paraId="65462E1F">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Forecasting. </w:t>
      </w:r>
      <w:r>
        <w:rPr>
          <w:rFonts w:hint="default" w:ascii="Times New Roman Regular" w:hAnsi="Times New Roman Regular" w:eastAsia="Calibri" w:cs="Times New Roman Regular"/>
          <w:color w:val="000000" w:themeColor="text1"/>
          <w:sz w:val="24"/>
          <w:szCs w:val="24"/>
          <w14:textFill>
            <w14:solidFill>
              <w14:schemeClr w14:val="tx1"/>
            </w14:solidFill>
          </w14:textFill>
        </w:rPr>
        <w:t>Calendar and weather features give 1.78% MAPE for hourly demand, enough to support day-ahead peak management and renewable matching.</w:t>
      </w:r>
    </w:p>
    <w:p w14:paraId="1E974486">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Indoor quality versus energy. </w:t>
      </w:r>
      <w:r>
        <w:rPr>
          <w:rFonts w:hint="default" w:ascii="Times New Roman Regular" w:hAnsi="Times New Roman Regular" w:eastAsia="Calibri" w:cs="Times New Roman Regular"/>
          <w:color w:val="000000" w:themeColor="text1"/>
          <w:sz w:val="24"/>
          <w:szCs w:val="24"/>
          <w14:textFill>
            <w14:solidFill>
              <w14:schemeClr w14:val="tx1"/>
            </w14:solidFill>
          </w14:textFill>
        </w:rPr>
        <w:t>Comfort temperature targets were largely met, but ventilation performance was poor in several buildings. Energy reductions must not come from cutting ventilation; demand-controlled ventilation can improve both measures.</w:t>
      </w:r>
    </w:p>
    <w:p w14:paraId="1572864C">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4.3 Platform implications</w:t>
      </w:r>
    </w:p>
    <w:p w14:paraId="116E7809">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findings translate directly into rules a monitoring platform should evaluate continuously and escalate to facilities teams:</w:t>
      </w:r>
    </w:p>
    <w:p w14:paraId="1EB7C29F">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17. Suggested platform alert rules derived from the analysis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00"/>
        <w:gridCol w:w="2526"/>
      </w:tblGrid>
      <w:tr w14:paraId="0C470F09">
        <w:trPr>
          <w:tblHeader/>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D63C76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Rule</w:t>
            </w:r>
          </w:p>
        </w:tc>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82BF4A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Trigger (configurable)</w:t>
            </w:r>
          </w:p>
        </w:tc>
        <w:tc>
          <w:tcPr>
            <w:tcW w:w="2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D41B87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Example found in data</w:t>
            </w:r>
          </w:p>
        </w:tc>
      </w:tr>
      <w:tr w14:paraId="1C4A562A">
        <w:trPr>
          <w:cantSplit/>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3E42D3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Sustained excess demand</w:t>
            </w:r>
          </w:p>
        </w:tc>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CEA5CE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Scaled residual &gt; 6 and &gt; 12% above baseline for ≥ 8 of 12 hours</w:t>
            </w:r>
          </w:p>
        </w:tc>
        <w:tc>
          <w:tcPr>
            <w:tcW w:w="2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3D9AE6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Science Block chiller event</w:t>
            </w:r>
          </w:p>
        </w:tc>
      </w:tr>
      <w:tr w14:paraId="514B528E">
        <w:trPr>
          <w:cantSplit/>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A98E94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Night baseload drift</w:t>
            </w:r>
          </w:p>
        </w:tc>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9A6D4C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22:00–05:59 W/m² &gt; 15% above peer median</w:t>
            </w:r>
          </w:p>
        </w:tc>
        <w:tc>
          <w:tcPr>
            <w:tcW w:w="2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A86FF1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Lecture Hall A</w:t>
            </w:r>
          </w:p>
        </w:tc>
      </w:tr>
      <w:tr w14:paraId="0EC6ED60">
        <w:trPr>
          <w:cantSplit/>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E62E11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Concealed leak</w:t>
            </w:r>
          </w:p>
        </w:tc>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FFB659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Water ratio to peers &gt; 1.10 for 7 days</w:t>
            </w:r>
          </w:p>
        </w:tc>
        <w:tc>
          <w:tcPr>
            <w:tcW w:w="2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540154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2</w:t>
            </w:r>
          </w:p>
        </w:tc>
      </w:tr>
      <w:tr w14:paraId="0A555E52">
        <w:trPr>
          <w:cantSplit/>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435322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Heating fault</w:t>
            </w:r>
          </w:p>
        </w:tc>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0A1213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Weekly gas &gt; prior week + 25% at similar temperature</w:t>
            </w:r>
          </w:p>
        </w:tc>
        <w:tc>
          <w:tcPr>
            <w:tcW w:w="2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A75F21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3</w:t>
            </w:r>
          </w:p>
        </w:tc>
      </w:tr>
      <w:tr w14:paraId="3855CEB5">
        <w:trPr>
          <w:cantSplit/>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DFBCD2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Ventilation</w:t>
            </w:r>
          </w:p>
        </w:tc>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274E8C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CO₂ &gt; 1,000 ppm for &gt; 50% of occupied hours in a week</w:t>
            </w:r>
          </w:p>
        </w:tc>
        <w:tc>
          <w:tcPr>
            <w:tcW w:w="2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693F9C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Lecture Hall A, Student Centre</w:t>
            </w:r>
          </w:p>
        </w:tc>
      </w:tr>
      <w:tr w14:paraId="152CDBCE">
        <w:trPr>
          <w:cantSplit/>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455DF3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Peak warning</w:t>
            </w:r>
          </w:p>
        </w:tc>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4CBCAE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Forecast demand &gt; 98th percentile of history</w:t>
            </w:r>
          </w:p>
        </w:tc>
        <w:tc>
          <w:tcPr>
            <w:tcW w:w="2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A028CC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&gt; 3,010 kW</w:t>
            </w:r>
          </w:p>
        </w:tc>
      </w:tr>
      <w:tr w14:paraId="1EC36636">
        <w:trPr>
          <w:cantSplit/>
        </w:trPr>
        <w:tc>
          <w:tcPr>
            <w:tcW w:w="2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72CEDC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Data quality</w:t>
            </w:r>
          </w:p>
        </w:tc>
        <w:tc>
          <w:tcPr>
            <w:tcW w:w="4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12BAE4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Missing &gt; 5% of hourly values in 24 h</w:t>
            </w:r>
          </w:p>
        </w:tc>
        <w:tc>
          <w:tcPr>
            <w:tcW w:w="2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8212EB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Occupancy stream</w:t>
            </w:r>
          </w:p>
        </w:tc>
      </w:tr>
    </w:tbl>
    <w:p w14:paraId="7072190A">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6A2E7895">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Reliable alerting depends on data continuity. Edge gateways should buffer readings locally during network loss and back-fill on reconnection, data should travel over encrypted channels (for example TLS with device authentication), and ingestion and analytics services should run redundantly to meet availability targets.</w:t>
      </w:r>
    </w:p>
    <w:p w14:paraId="54E3CE3D">
      <w:pPr>
        <w:pStyle w:val="2"/>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5. Conclusion</w:t>
      </w:r>
    </w:p>
    <w:p w14:paraId="1189656D">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This analysis of a simulated two-campus portfolio shows how unified telemetry supports sustainability management. The estate used 234.7 kWh/m² per year and emitted about 7,654 tCO₂e, with research buildings responsible for 43% of energy. Systematic problems were found: persistently high baseload (55–61% of non-residential electricity outside working hours), three sustained electrical faults, a gas excursion and a water leak. A simple machine-learning model forecast demand to within 1.78% MAPE, and solar supplied 3.9% of electricity at full self-consumption.</w:t>
      </w:r>
    </w:p>
    <w:p w14:paraId="090166F6">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main lesson is that operational control (schedules, fault response, leak repair, ventilation tuning) offers quicker and cheaper gains than capital works, and that continuous analytics are the mechanism that surfaces these opportunities. Because the data are synthetic, the specific magnitudes should not be quoted as real performance; the method, structure and workflow are what carry over.</w:t>
      </w:r>
    </w:p>
    <w:p w14:paraId="6293BD67">
      <w:pPr>
        <w:pStyle w:val="2"/>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6. Recommendations</w:t>
      </w:r>
    </w:p>
    <w:p w14:paraId="6CEFF93E">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Savings below are calculated from this dataset and the assumed tariffs and emission factors. Operational estimates assume that the identified excess can be removed; real outcomes require verification after implementation.</w:t>
      </w:r>
    </w:p>
    <w:p w14:paraId="34927008">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18. Prioritised recommendations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4"/>
        <w:gridCol w:w="1293"/>
        <w:gridCol w:w="3207"/>
        <w:gridCol w:w="2628"/>
        <w:gridCol w:w="1504"/>
      </w:tblGrid>
      <w:tr w14:paraId="54586A36">
        <w:trPr>
          <w:tblHeader/>
        </w:trPr>
        <w:tc>
          <w:tcPr>
            <w:tcW w:w="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CC6B0E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A49E28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Type</w:t>
            </w:r>
          </w:p>
        </w:tc>
        <w:tc>
          <w:tcPr>
            <w:tcW w:w="3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9CFA87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Action</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B953EA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Annual impact (this dataset)</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99BDF9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Evidence</w:t>
            </w:r>
          </w:p>
        </w:tc>
      </w:tr>
      <w:tr w14:paraId="33C35CC2">
        <w:trPr>
          <w:cantSplit/>
        </w:trPr>
        <w:tc>
          <w:tcPr>
            <w:tcW w:w="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1A67E3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1F12D1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Operational</w:t>
            </w:r>
          </w:p>
        </w:tc>
        <w:tc>
          <w:tcPr>
            <w:tcW w:w="3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CA3D53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Correct overnight air-handling and set-back schedules at Lecture Hall A; review Biotech Research Centre night ventilation with lab managers</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DAF075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Up to 201 MWh, $28,108, 80 tCO₂e</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D500DF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Sec. 3.6</w:t>
            </w:r>
          </w:p>
        </w:tc>
      </w:tr>
      <w:tr w14:paraId="4E6110FE">
        <w:trPr>
          <w:cantSplit/>
        </w:trPr>
        <w:tc>
          <w:tcPr>
            <w:tcW w:w="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8E75A3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6C90AA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Operational</w:t>
            </w:r>
          </w:p>
        </w:tc>
        <w:tc>
          <w:tcPr>
            <w:tcW w:w="3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5E4CB2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Repair concealed leak in Residence Hall 2 and add continuous night-flow alarms</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EDD3D2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4,813 m³, $10,107 per year if unrepaired</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6DE8B6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Sec. 3.11</w:t>
            </w:r>
          </w:p>
        </w:tc>
      </w:tr>
      <w:tr w14:paraId="3ADD098E">
        <w:trPr>
          <w:cantSplit/>
        </w:trPr>
        <w:tc>
          <w:tcPr>
            <w:tcW w:w="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6EA225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F42168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Operational</w:t>
            </w:r>
          </w:p>
        </w:tc>
        <w:tc>
          <w:tcPr>
            <w:tcW w:w="3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1154F9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Real-time fault alerts for chiller, fans, pool and boiler plant</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3202FB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24,186 kWh and 13,791 kWh gas avoided per comparable year ($4,007)</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FB1EE2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Sec. 3.5</w:t>
            </w:r>
          </w:p>
        </w:tc>
      </w:tr>
      <w:tr w14:paraId="5A659170">
        <w:trPr>
          <w:cantSplit/>
        </w:trPr>
        <w:tc>
          <w:tcPr>
            <w:tcW w:w="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3753A0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FC60E5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Operational</w:t>
            </w:r>
          </w:p>
        </w:tc>
        <w:tc>
          <w:tcPr>
            <w:tcW w:w="3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7FC259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Peak management: pre-cooling, staggered start-up, forecast-driven alerts</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63BCA9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~183 kW lower peak, $16,716 demand charge</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C64F6B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Sec. 3.7</w:t>
            </w:r>
          </w:p>
        </w:tc>
      </w:tr>
      <w:tr w14:paraId="71F4471C">
        <w:trPr>
          <w:cantSplit/>
        </w:trPr>
        <w:tc>
          <w:tcPr>
            <w:tcW w:w="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D80CD1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8D55F8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Operational</w:t>
            </w:r>
          </w:p>
        </w:tc>
        <w:tc>
          <w:tcPr>
            <w:tcW w:w="3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4E7DCA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Demand-controlled ventilation and CO₂ monitoring in Lecture Hall A, Student Centre, Central Library, Business School</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2BE740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Comfort and health benefit; energy effect to be measured</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1EA5B1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Sec. 3.9</w:t>
            </w:r>
          </w:p>
        </w:tc>
      </w:tr>
      <w:tr w14:paraId="02E23F97">
        <w:trPr>
          <w:cantSplit/>
        </w:trPr>
        <w:tc>
          <w:tcPr>
            <w:tcW w:w="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473D7B2">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782BDC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Capital</w:t>
            </w:r>
          </w:p>
        </w:tc>
        <w:tc>
          <w:tcPr>
            <w:tcW w:w="3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4FDEA8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Retrofit feasibility study for the Biotech Research Centre (heat recovery, fume-hood and VAV controls, chiller upgrades), then the Sports Complex</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7C2BBF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Largest gaps to peer median, Table 19</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35BC2D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Sec. 3.3, 6</w:t>
            </w:r>
          </w:p>
        </w:tc>
      </w:tr>
      <w:tr w14:paraId="21D69462">
        <w:trPr>
          <w:cantSplit/>
        </w:trPr>
        <w:tc>
          <w:tcPr>
            <w:tcW w:w="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1AAAB7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00348D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Capital</w:t>
            </w:r>
          </w:p>
        </w:tc>
        <w:tc>
          <w:tcPr>
            <w:tcW w:w="3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AB7E4EB">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Expand rooftop PV; current output is fully self-consumed</w:t>
            </w:r>
          </w:p>
        </w:tc>
        <w:tc>
          <w:tcPr>
            <w:tcW w:w="2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0169C3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Each +100 kWp ≈ 99 MWh and ≈ 40 tCO₂e (using this site yield)</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037EB7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Sec. 3.10</w:t>
            </w:r>
          </w:p>
        </w:tc>
      </w:tr>
    </w:tbl>
    <w:p w14:paraId="48B22A84">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372E657B">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Combined operational measures 1–4 total about $58,937 per year (about 1.8% of estimated utility cost). These figures are not additive with certainty because some effects overlap.</w:t>
      </w:r>
    </w:p>
    <w:p w14:paraId="04BDAACD">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19. Capital priority by energy gap to building-type peer median (top four)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7"/>
        <w:gridCol w:w="1240"/>
        <w:gridCol w:w="897"/>
        <w:gridCol w:w="1491"/>
        <w:gridCol w:w="1397"/>
        <w:gridCol w:w="1524"/>
      </w:tblGrid>
      <w:tr w14:paraId="27DBD101">
        <w:trPr>
          <w:tblHeader/>
        </w:trPr>
        <w:tc>
          <w:tcPr>
            <w:tcW w:w="2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5204E1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Building</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1FBAAA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Type</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4122F4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EUI</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947789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Peer median EUI</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6D18F6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Gap (MWh/yr)</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B52FD1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Gap (tCO₂e/yr, at mixed factor)</w:t>
            </w:r>
          </w:p>
        </w:tc>
      </w:tr>
      <w:tr w14:paraId="000C4CDF">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1A7139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Biotech Research Centre</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DDF83C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Research</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9E5583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343.3</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4F9D39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294.9</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197430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605</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0F109E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190</w:t>
            </w:r>
          </w:p>
        </w:tc>
      </w:tr>
      <w:tr w14:paraId="1E457428">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39B0557">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Sports Complex</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D211F0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4ABEF5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222.3</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900B82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206.5</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DAF2AB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165</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2F0124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43</w:t>
            </w:r>
          </w:p>
        </w:tc>
      </w:tr>
      <w:tr w14:paraId="178F9EE7">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B513673">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Residence Hall 2</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D28271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Residential</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88B3BD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204.8</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CA423E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202.5</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28B1DD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18</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306377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w:t>
            </w:r>
          </w:p>
        </w:tc>
      </w:tr>
      <w:tr w14:paraId="2EBD3F4D">
        <w:trPr>
          <w:cantSplit/>
        </w:trPr>
        <w:tc>
          <w:tcPr>
            <w:tcW w:w="2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E4C0808">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Lecture Hall A</w:t>
            </w:r>
          </w:p>
        </w:tc>
        <w:tc>
          <w:tcPr>
            <w:tcW w:w="12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2BDC3CC">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Academic</w:t>
            </w:r>
          </w:p>
        </w:tc>
        <w:tc>
          <w:tcPr>
            <w:tcW w:w="9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192146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208.7</w:t>
            </w:r>
          </w:p>
        </w:tc>
        <w:tc>
          <w:tcPr>
            <w:tcW w:w="15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67F392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206.5</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932A9F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w:t>
            </w:r>
          </w:p>
        </w:tc>
        <w:tc>
          <w:tcPr>
            <w:tcW w:w="15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7C3476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w:t>
            </w:r>
          </w:p>
        </w:tc>
      </w:tr>
    </w:tbl>
    <w:p w14:paraId="588FF20A">
      <w:pPr>
        <w:spacing w:after="60"/>
        <w:rPr>
          <w:rFonts w:hint="default" w:ascii="Times New Roman Regular" w:hAnsi="Times New Roman Regular" w:cs="Times New Roman Regular"/>
          <w:color w:val="000000" w:themeColor="text1"/>
          <w:sz w:val="24"/>
          <w:szCs w:val="24"/>
          <w14:textFill>
            <w14:solidFill>
              <w14:schemeClr w14:val="tx1"/>
            </w14:solidFill>
          </w14:textFill>
        </w:rPr>
      </w:pPr>
    </w:p>
    <w:p w14:paraId="24FCA6BF">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Capital costs and payback periods were not part of the data, so no financial return is calculated; the table ranks where an investment study should start. Research buildings are compared only with other research buildings.</w:t>
      </w:r>
    </w:p>
    <w:p w14:paraId="4A1ED37D">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6.1 Implementation roadmap</w:t>
      </w:r>
    </w:p>
    <w:p w14:paraId="1926984F">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0–3 months: </w:t>
      </w:r>
      <w:r>
        <w:rPr>
          <w:rFonts w:hint="default" w:ascii="Times New Roman Regular" w:hAnsi="Times New Roman Regular" w:eastAsia="Calibri" w:cs="Times New Roman Regular"/>
          <w:color w:val="000000" w:themeColor="text1"/>
          <w:sz w:val="24"/>
          <w:szCs w:val="24"/>
          <w14:textFill>
            <w14:solidFill>
              <w14:schemeClr w14:val="tx1"/>
            </w14:solidFill>
          </w14:textFill>
        </w:rPr>
        <w:t>deploy fault and leak alerts, fix schedules at Lecture Hall A, inspect Residence Hall 2 and 3, validate sensor data quality.</w:t>
      </w:r>
    </w:p>
    <w:p w14:paraId="3DD40FDE">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3–9 months: </w:t>
      </w:r>
      <w:r>
        <w:rPr>
          <w:rFonts w:hint="default" w:ascii="Times New Roman Regular" w:hAnsi="Times New Roman Regular" w:eastAsia="Calibri" w:cs="Times New Roman Regular"/>
          <w:color w:val="000000" w:themeColor="text1"/>
          <w:sz w:val="24"/>
          <w:szCs w:val="24"/>
          <w14:textFill>
            <w14:solidFill>
              <w14:schemeClr w14:val="tx1"/>
            </w14:solidFill>
          </w14:textFill>
        </w:rPr>
        <w:t>commission demand-controlled ventilation, begin peak-warning notifications using the forecast model, review laboratory ventilation.</w:t>
      </w:r>
    </w:p>
    <w:p w14:paraId="3743D78A">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 xml:space="preserve">9–24 months: </w:t>
      </w:r>
      <w:r>
        <w:rPr>
          <w:rFonts w:hint="default" w:ascii="Times New Roman Regular" w:hAnsi="Times New Roman Regular" w:eastAsia="Calibri" w:cs="Times New Roman Regular"/>
          <w:color w:val="000000" w:themeColor="text1"/>
          <w:sz w:val="24"/>
          <w:szCs w:val="24"/>
          <w14:textFill>
            <w14:solidFill>
              <w14:schemeClr w14:val="tx1"/>
            </w14:solidFill>
          </w14:textFill>
        </w:rPr>
        <w:t>complete retrofit feasibility studies and PV expansion business cases; automate sustainability and compliance reporting from the platform.</w:t>
      </w:r>
    </w:p>
    <w:p w14:paraId="04EC7624">
      <w:pPr>
        <w:pStyle w:val="2"/>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7. Limitations</w:t>
      </w:r>
    </w:p>
    <w:p w14:paraId="6348B857">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The dataset is synthetic. Patterns such as faults, leaks and baseloads were designed into the simulation; detection performance here is not evidence of performance on real telemetry, where noise, drift and sensor faults are less cleanly separated.</w:t>
      </w:r>
    </w:p>
    <w:p w14:paraId="0E34D124">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Weather, occupancy and tariffs are simulated or assumed. Emission factors and prices should be replaced with local, current values.</w:t>
      </w:r>
    </w:p>
    <w:p w14:paraId="5CB64051">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Only one year was analysed. Forecasts were tested on October–December and not on summer peaks; multi-year data would improve baselines.</w:t>
      </w:r>
    </w:p>
    <w:p w14:paraId="2B485B84">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Demand charges were applied to the portfolio coincident peak rather than per-meter billing.</w:t>
      </w:r>
    </w:p>
    <w:p w14:paraId="4686DAD3">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Night-load excess compares buildings with peers of the same type and does not prove waste; laboratories in particular may need continuous ventilation.</w:t>
      </w:r>
    </w:p>
    <w:p w14:paraId="69FB147F">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Savings estimates assume removal of identified excess and are not net of implementation cost. No capital cost data were available.</w:t>
      </w:r>
    </w:p>
    <w:p w14:paraId="36CEBC0F">
      <w:pPr>
        <w:pStyle w:val="17"/>
        <w:numPr>
          <w:ilvl w:val="0"/>
          <w:numId w:val="3"/>
        </w:numPr>
        <w:spacing w:after="50" w:line="264" w:lineRule="auto"/>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IEQ thresholds (20–25 °C, 1,000 ppm CO₂, 30–60 %RH) are screening values and should follow local standards and policy.</w:t>
      </w:r>
    </w:p>
    <w:p w14:paraId="1E9C27FB">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References</w:t>
      </w:r>
    </w:p>
    <w:p w14:paraId="4138ED42">
      <w:pPr>
        <w:spacing w:after="50"/>
        <w:ind w:left="36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ASHRAE (2023). ANSI/ASHRAE Standard 55: Thermal Environmental Conditions for Human Occupancy. Atlanta: ASHRAE.</w:t>
      </w:r>
    </w:p>
    <w:p w14:paraId="566C6A83">
      <w:pPr>
        <w:spacing w:after="50"/>
        <w:ind w:left="36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ASHRAE (2022). ANSI/ASHRAE Standard 62.1: Ventilation and Acceptable Indoor Air Quality. Atlanta: ASHRAE.</w:t>
      </w:r>
    </w:p>
    <w:p w14:paraId="002EEE5A">
      <w:pPr>
        <w:spacing w:after="50"/>
        <w:ind w:left="36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Friedman, J. H. (2001). Greedy function approximation: a gradient boosting machine. Annals of Statistics, 29(5), 1189–1232.</w:t>
      </w:r>
    </w:p>
    <w:p w14:paraId="30BAA5ED">
      <w:pPr>
        <w:spacing w:after="50"/>
        <w:ind w:left="36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Hyndman, R. J., &amp; Athanasopoulos, G. (2021). Forecasting: Principles and Practice (3rd ed.). OTexts.</w:t>
      </w:r>
    </w:p>
    <w:p w14:paraId="6742633A">
      <w:pPr>
        <w:spacing w:after="50"/>
        <w:ind w:left="36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ISO (2018). ISO 50001: Energy management systems — Requirements with guidance for use. Geneva: ISO.</w:t>
      </w:r>
    </w:p>
    <w:p w14:paraId="6A3142A9">
      <w:pPr>
        <w:spacing w:after="50"/>
        <w:ind w:left="36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ISO (2014). ISO 50006: Energy management systems — Measuring energy performance using energy baselines and energy performance indicators. Geneva: ISO.</w:t>
      </w:r>
    </w:p>
    <w:p w14:paraId="7E8E1C21">
      <w:pPr>
        <w:spacing w:after="50"/>
        <w:ind w:left="36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Leys, C., Ley, C., Klein, O., Bernard, P., &amp; Licata, L. (2013). Detecting outliers: do not use standard deviation around the mean, use absolute deviation around the median. Journal of Experimental Social Psychology, 49(4), 764–766.</w:t>
      </w:r>
    </w:p>
    <w:p w14:paraId="061AC1F8">
      <w:pPr>
        <w:spacing w:after="50"/>
        <w:ind w:left="36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World Resources Institute &amp; World Business Council for Sustainable Development. The Greenhouse Gas Protocol: A Corporate Accounting and Reporting Standard (revised edition).</w:t>
      </w:r>
    </w:p>
    <w:p w14:paraId="781CB497">
      <w:pPr>
        <w:pStyle w:val="3"/>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color w:val="000000" w:themeColor="text1"/>
          <w:sz w:val="24"/>
          <w:szCs w:val="24"/>
          <w14:textFill>
            <w14:solidFill>
              <w14:schemeClr w14:val="tx1"/>
            </w14:solidFill>
          </w14:textFill>
        </w:rPr>
        <w:t>Appendix A. Monthly portfolio summary</w:t>
      </w:r>
    </w:p>
    <w:p w14:paraId="0D7EF6E6">
      <w:pPr>
        <w:keepNext/>
        <w:spacing w:before="80" w:after="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Table 20. Monthly totals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700"/>
        <w:gridCol w:w="1300"/>
        <w:gridCol w:w="1400"/>
        <w:gridCol w:w="1300"/>
        <w:gridCol w:w="1100"/>
        <w:gridCol w:w="1126"/>
      </w:tblGrid>
      <w:tr w14:paraId="116E4661">
        <w:trPr>
          <w:tblHeader/>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F3EB23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Month</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C96C10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Electricity (MWh)</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1A2DB4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Gas (MWh)</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2198C7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Water (m³)</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2B15D5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Solar (MWh)</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479F2E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Peak kW</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983BC9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bCs/>
                <w:color w:val="000000" w:themeColor="text1"/>
                <w:sz w:val="24"/>
                <w:szCs w:val="24"/>
                <w14:textFill>
                  <w14:solidFill>
                    <w14:schemeClr w14:val="tx1"/>
                  </w14:solidFill>
                </w14:textFill>
              </w:rPr>
              <w:t>tCO₂e</w:t>
            </w:r>
          </w:p>
        </w:tc>
      </w:tr>
      <w:tr w14:paraId="1C06020F">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801453F">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Jan</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34E296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958</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D5EE54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2,871</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BF13F2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24,142</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8945CE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12.6</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A09D65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1,510</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A4A338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912</w:t>
            </w:r>
          </w:p>
        </w:tc>
      </w:tr>
      <w:tr w14:paraId="0D9E22CF">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F4EBC4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Feb</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BDFAB2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882</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8A8110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2,283</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D7D7BB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23,003</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1DBD82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24.0</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A7D195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1,501</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565F6B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773</w:t>
            </w:r>
          </w:p>
        </w:tc>
      </w:tr>
      <w:tr w14:paraId="7B30B697">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75BD47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Mar</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1BCDE4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957</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B8BBD1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1,689</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0DBA63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24,187</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B90F72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42.7</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D92A81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1,498</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ED5B3B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693</w:t>
            </w:r>
          </w:p>
        </w:tc>
      </w:tr>
      <w:tr w14:paraId="6132C4B4">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44A6B04">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Apr</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859B93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901</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F65A7A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579</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ED369A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22,968</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0D4BE68">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58.7</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49A16F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1,549</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BAD356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467</w:t>
            </w:r>
          </w:p>
        </w:tc>
      </w:tr>
      <w:tr w14:paraId="67895414">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C503EDE">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May</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9E28CC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1,106</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32D25A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174</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5E49F5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25,442</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729910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76.4</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7B67AB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2,989</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9A7435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474</w:t>
            </w:r>
          </w:p>
        </w:tc>
      </w:tr>
      <w:tr w14:paraId="28B04A26">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20F2F7A">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Jun</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E51758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1,461</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6992F6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142</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154A5C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24,650</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576265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78.7</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9D005E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3,657</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7E5EAD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611</w:t>
            </w:r>
          </w:p>
        </w:tc>
      </w:tr>
      <w:tr w14:paraId="79B68DB1">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BA990B9">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Jul</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CAACF8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1,601</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CAD08A2">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147</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913BB7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16,365</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B148CB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76.3</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4024CCB">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3,577</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9E06F8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668</w:t>
            </w:r>
          </w:p>
        </w:tc>
      </w:tr>
      <w:tr w14:paraId="3B938645">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117AFAD">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Aug</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01E6B8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1,403</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90D8CB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147</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3292F7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16,665</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69B0AD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63.0</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673F08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3,528</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70B57B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588</w:t>
            </w:r>
          </w:p>
        </w:tc>
      </w:tr>
      <w:tr w14:paraId="25EE2AC0">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5429905">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Sep</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9E7A54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1,081</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8652A7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164</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0E7644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25,117</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AE1879C">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44.4</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453237A">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3,077</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06F10BE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462</w:t>
            </w:r>
          </w:p>
        </w:tc>
      </w:tr>
      <w:tr w14:paraId="4FB2DB9D">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EDFE846">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Oct</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BD2FC7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966</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0C129A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586</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79BFDBE">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25,967</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B8569F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27.2</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F8523B1">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1,973</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1FC7F6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494</w:t>
            </w:r>
          </w:p>
        </w:tc>
      </w:tr>
      <w:tr w14:paraId="04458B43">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9F58381">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Nov</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F2096D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938</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9E28B2F">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1,626</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B2F18A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24,845</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4C0CF88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14.2</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E38D403">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1,504</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FD469D7">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675</w:t>
            </w:r>
          </w:p>
        </w:tc>
      </w:tr>
      <w:tr w14:paraId="764B1614">
        <w:trPr>
          <w:cantSplit/>
        </w:trPr>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29578AB0">
            <w:pPr>
              <w:jc w:val="lef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Dec</w:t>
            </w:r>
          </w:p>
        </w:tc>
        <w:tc>
          <w:tcPr>
            <w:tcW w:w="17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1C1FBB74">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933</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F7B8435">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2,524</w:t>
            </w:r>
          </w:p>
        </w:tc>
        <w:tc>
          <w:tcPr>
            <w:tcW w:w="14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30D0D6F9">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22,493</w:t>
            </w:r>
          </w:p>
        </w:tc>
        <w:tc>
          <w:tcPr>
            <w:tcW w:w="13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6DEDD280">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8.6</w:t>
            </w:r>
          </w:p>
        </w:tc>
        <w:tc>
          <w:tcPr>
            <w:tcW w:w="1100"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7DB93F4D">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1,498</w:t>
            </w:r>
          </w:p>
        </w:tc>
        <w:tc>
          <w:tcPr>
            <w:tcW w:w="1126" w:type="dxa"/>
            <w:tcBorders>
              <w:top w:val="single" w:color="C9D3CE" w:sz="4" w:space="0"/>
              <w:left w:val="single" w:color="C9D3CE" w:sz="4" w:space="0"/>
              <w:bottom w:val="single" w:color="C9D3CE" w:sz="4" w:space="0"/>
              <w:right w:val="single" w:color="C9D3CE" w:sz="4" w:space="0"/>
            </w:tcBorders>
            <w:shd w:val="clear" w:color="auto" w:fill="FFFFFF" w:themeFill="background1"/>
            <w:tcMar>
              <w:top w:w="40" w:type="dxa"/>
              <w:left w:w="80" w:type="dxa"/>
              <w:bottom w:w="40" w:type="dxa"/>
              <w:right w:w="80" w:type="dxa"/>
            </w:tcMar>
          </w:tcPr>
          <w:p w14:paraId="5A435F46">
            <w:pPr>
              <w:jc w:val="right"/>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eastAsia="Calibri" w:cs="Times New Roman Regular"/>
                <w:b w:val="0"/>
                <w:bCs w:val="0"/>
                <w:color w:val="000000" w:themeColor="text1"/>
                <w:sz w:val="24"/>
                <w:szCs w:val="24"/>
                <w14:textFill>
                  <w14:solidFill>
                    <w14:schemeClr w14:val="tx1"/>
                  </w14:solidFill>
                </w14:textFill>
              </w:rPr>
              <w:t>838</w:t>
            </w:r>
          </w:p>
        </w:tc>
      </w:tr>
    </w:tbl>
    <w:p w14:paraId="051F177A">
      <w:pPr>
        <w:pStyle w:val="4"/>
        <w:spacing w:before="81" w:after="20" w:line="240" w:lineRule="auto"/>
        <w:ind w:left="360" w:firstLine="0"/>
        <w:rPr>
          <w:rFonts w:hint="default" w:ascii="Times New Roman Regular" w:hAnsi="Times New Roman Regular" w:cs="Times New Roman Regular"/>
          <w:color w:val="1F4E79"/>
          <w:spacing w:val="-2"/>
        </w:rPr>
      </w:pPr>
      <w:r>
        <w:rPr>
          <w:rFonts w:hint="default" w:ascii="Times New Roman Regular" w:hAnsi="Times New Roman Regular" w:cs="Times New Roman Regular"/>
          <w:color w:val="1F4E79"/>
        </w:rPr>
        <w:t>Rubrics</w:t>
      </w:r>
      <w:r>
        <w:rPr>
          <w:rFonts w:hint="default" w:ascii="Times New Roman Regular" w:hAnsi="Times New Roman Regular" w:cs="Times New Roman Regular"/>
          <w:color w:val="1F4E79"/>
          <w:spacing w:val="-4"/>
        </w:rPr>
        <w:t xml:space="preserve"> </w:t>
      </w:r>
      <w:r>
        <w:rPr>
          <w:rFonts w:hint="default" w:ascii="Times New Roman Regular" w:hAnsi="Times New Roman Regular" w:cs="Times New Roman Regular"/>
          <w:color w:val="1F4E79"/>
        </w:rPr>
        <w:t>for</w:t>
      </w:r>
      <w:r>
        <w:rPr>
          <w:rFonts w:hint="default" w:ascii="Times New Roman Regular" w:hAnsi="Times New Roman Regular" w:cs="Times New Roman Regular"/>
          <w:color w:val="1F4E79"/>
          <w:spacing w:val="-2"/>
        </w:rPr>
        <w:t xml:space="preserve"> Calculation</w:t>
      </w:r>
    </w:p>
    <w:tbl>
      <w:tblPr>
        <w:tblStyle w:val="9"/>
        <w:tblpPr w:leftFromText="180" w:rightFromText="180" w:vertAnchor="text" w:horzAnchor="page" w:tblpX="1362" w:tblpY="283"/>
        <w:tblOverlap w:val="never"/>
        <w:tblW w:w="9398" w:type="dxa"/>
        <w:tblInd w:w="0" w:type="dxa"/>
        <w:tblBorders>
          <w:top w:val="single" w:color="2D75B6" w:sz="4" w:space="0"/>
          <w:left w:val="single" w:color="2D75B6" w:sz="4" w:space="0"/>
          <w:bottom w:val="single" w:color="2D75B6" w:sz="4" w:space="0"/>
          <w:right w:val="single" w:color="2D75B6" w:sz="4" w:space="0"/>
          <w:insideH w:val="single" w:color="2D75B6" w:sz="4" w:space="0"/>
          <w:insideV w:val="single" w:color="2D75B6" w:sz="4" w:space="0"/>
        </w:tblBorders>
        <w:tblLayout w:type="fixed"/>
        <w:tblCellMar>
          <w:top w:w="0" w:type="dxa"/>
          <w:left w:w="0" w:type="dxa"/>
          <w:bottom w:w="0" w:type="dxa"/>
          <w:right w:w="0" w:type="dxa"/>
        </w:tblCellMar>
      </w:tblPr>
      <w:tblGrid>
        <w:gridCol w:w="1625"/>
        <w:gridCol w:w="2006"/>
        <w:gridCol w:w="1880"/>
        <w:gridCol w:w="1756"/>
        <w:gridCol w:w="2131"/>
      </w:tblGrid>
      <w:tr w14:paraId="7D37245A">
        <w:trPr>
          <w:trHeight w:val="500" w:hRule="atLeast"/>
        </w:trPr>
        <w:tc>
          <w:tcPr>
            <w:tcW w:w="1625" w:type="dxa"/>
            <w:tcBorders>
              <w:left w:val="single" w:color="1F4E79" w:sz="4" w:space="0"/>
              <w:bottom w:val="nil"/>
              <w:right w:val="single" w:color="1F4E79" w:sz="4" w:space="0"/>
            </w:tcBorders>
            <w:shd w:val="clear" w:color="auto" w:fill="1F4E79"/>
          </w:tcPr>
          <w:p w14:paraId="7E23933C">
            <w:pPr>
              <w:pStyle w:val="20"/>
              <w:spacing w:before="87"/>
              <w:ind w:left="540"/>
              <w:rPr>
                <w:rFonts w:hint="default" w:ascii="Times New Roman Regular" w:hAnsi="Times New Roman Regular" w:cs="Times New Roman Regular"/>
                <w:b/>
                <w:sz w:val="22"/>
              </w:rPr>
            </w:pPr>
            <w:r>
              <w:rPr>
                <w:rFonts w:hint="default" w:ascii="Times New Roman Regular" w:hAnsi="Times New Roman Regular" w:cs="Times New Roman Regular"/>
                <w:b/>
                <w:color w:val="FFFFFF"/>
                <w:spacing w:val="-2"/>
                <w:sz w:val="22"/>
              </w:rPr>
              <w:t>Criteria</w:t>
            </w:r>
          </w:p>
        </w:tc>
        <w:tc>
          <w:tcPr>
            <w:tcW w:w="2006" w:type="dxa"/>
            <w:tcBorders>
              <w:left w:val="single" w:color="1F4E79" w:sz="4" w:space="0"/>
              <w:bottom w:val="nil"/>
              <w:right w:val="single" w:color="1F4E79" w:sz="4" w:space="0"/>
            </w:tcBorders>
            <w:shd w:val="clear" w:color="auto" w:fill="1F4E79"/>
          </w:tcPr>
          <w:p w14:paraId="705D044B">
            <w:pPr>
              <w:pStyle w:val="20"/>
              <w:spacing w:before="87"/>
              <w:ind w:left="203"/>
              <w:rPr>
                <w:rFonts w:hint="default" w:ascii="Times New Roman Regular" w:hAnsi="Times New Roman Regular" w:cs="Times New Roman Regular"/>
                <w:b/>
                <w:sz w:val="22"/>
              </w:rPr>
            </w:pPr>
            <w:r>
              <w:rPr>
                <w:rFonts w:hint="default" w:ascii="Times New Roman Regular" w:hAnsi="Times New Roman Regular" w:cs="Times New Roman Regular"/>
                <w:b/>
                <w:color w:val="FFFFFF"/>
                <w:sz w:val="22"/>
              </w:rPr>
              <w:t>Excellent</w:t>
            </w:r>
            <w:r>
              <w:rPr>
                <w:rFonts w:hint="default" w:ascii="Times New Roman Regular" w:hAnsi="Times New Roman Regular" w:cs="Times New Roman Regular"/>
                <w:b/>
                <w:color w:val="FFFFFF"/>
                <w:spacing w:val="-4"/>
                <w:sz w:val="22"/>
              </w:rPr>
              <w:t xml:space="preserve"> </w:t>
            </w:r>
            <w:r>
              <w:rPr>
                <w:rFonts w:hint="default" w:ascii="Times New Roman Regular" w:hAnsi="Times New Roman Regular" w:cs="Times New Roman Regular"/>
                <w:b/>
                <w:color w:val="FFFFFF"/>
                <w:sz w:val="22"/>
              </w:rPr>
              <w:t>(5</w:t>
            </w:r>
            <w:r>
              <w:rPr>
                <w:rFonts w:hint="default" w:ascii="Times New Roman Regular" w:hAnsi="Times New Roman Regular" w:cs="Times New Roman Regular"/>
                <w:b/>
                <w:color w:val="FFFFFF"/>
                <w:spacing w:val="-4"/>
                <w:sz w:val="22"/>
              </w:rPr>
              <w:t xml:space="preserve"> </w:t>
            </w:r>
            <w:r>
              <w:rPr>
                <w:rFonts w:hint="default" w:ascii="Times New Roman Regular" w:hAnsi="Times New Roman Regular" w:cs="Times New Roman Regular"/>
                <w:b/>
                <w:color w:val="FFFFFF"/>
                <w:spacing w:val="-2"/>
                <w:sz w:val="22"/>
              </w:rPr>
              <w:t>Marks)</w:t>
            </w:r>
          </w:p>
        </w:tc>
        <w:tc>
          <w:tcPr>
            <w:tcW w:w="1880" w:type="dxa"/>
            <w:tcBorders>
              <w:left w:val="single" w:color="1F4E79" w:sz="4" w:space="0"/>
              <w:bottom w:val="nil"/>
              <w:right w:val="single" w:color="1F4E79" w:sz="4" w:space="0"/>
            </w:tcBorders>
            <w:shd w:val="clear" w:color="auto" w:fill="1F4E79"/>
          </w:tcPr>
          <w:p w14:paraId="47B0A213">
            <w:pPr>
              <w:pStyle w:val="20"/>
              <w:spacing w:before="87"/>
              <w:rPr>
                <w:rFonts w:hint="default" w:ascii="Times New Roman Regular" w:hAnsi="Times New Roman Regular" w:cs="Times New Roman Regular"/>
                <w:b/>
                <w:sz w:val="22"/>
              </w:rPr>
            </w:pPr>
            <w:r>
              <w:rPr>
                <w:rFonts w:hint="default" w:ascii="Times New Roman Regular" w:hAnsi="Times New Roman Regular" w:cs="Times New Roman Regular"/>
                <w:b/>
                <w:color w:val="FFFFFF"/>
                <w:sz w:val="22"/>
              </w:rPr>
              <w:t>Good</w:t>
            </w:r>
            <w:r>
              <w:rPr>
                <w:rFonts w:hint="default" w:ascii="Times New Roman Regular" w:hAnsi="Times New Roman Regular" w:cs="Times New Roman Regular"/>
                <w:b/>
                <w:color w:val="FFFFFF"/>
                <w:spacing w:val="-4"/>
                <w:sz w:val="22"/>
              </w:rPr>
              <w:t xml:space="preserve"> </w:t>
            </w:r>
            <w:r>
              <w:rPr>
                <w:rFonts w:hint="default" w:ascii="Times New Roman Regular" w:hAnsi="Times New Roman Regular" w:cs="Times New Roman Regular"/>
                <w:b/>
                <w:color w:val="FFFFFF"/>
                <w:sz w:val="22"/>
              </w:rPr>
              <w:t>(3</w:t>
            </w:r>
            <w:r>
              <w:rPr>
                <w:rFonts w:hint="default" w:ascii="Times New Roman Regular" w:hAnsi="Times New Roman Regular" w:cs="Times New Roman Regular"/>
                <w:b/>
                <w:color w:val="FFFFFF"/>
                <w:spacing w:val="-1"/>
                <w:sz w:val="22"/>
              </w:rPr>
              <w:t xml:space="preserve"> </w:t>
            </w:r>
            <w:r>
              <w:rPr>
                <w:rFonts w:hint="default" w:ascii="Times New Roman Regular" w:hAnsi="Times New Roman Regular" w:cs="Times New Roman Regular"/>
                <w:b/>
                <w:color w:val="FFFFFF"/>
                <w:spacing w:val="-2"/>
                <w:sz w:val="22"/>
              </w:rPr>
              <w:t>Marks)</w:t>
            </w:r>
          </w:p>
        </w:tc>
        <w:tc>
          <w:tcPr>
            <w:tcW w:w="1756" w:type="dxa"/>
            <w:tcBorders>
              <w:left w:val="single" w:color="1F4E79" w:sz="4" w:space="0"/>
              <w:bottom w:val="nil"/>
              <w:right w:val="single" w:color="1F4E79" w:sz="4" w:space="0"/>
            </w:tcBorders>
            <w:shd w:val="clear" w:color="auto" w:fill="1F4E79"/>
          </w:tcPr>
          <w:p w14:paraId="287C81E8">
            <w:pPr>
              <w:pStyle w:val="20"/>
              <w:spacing w:before="87"/>
              <w:ind w:right="488"/>
              <w:rPr>
                <w:rFonts w:hint="default" w:ascii="Times New Roman Regular" w:hAnsi="Times New Roman Regular" w:cs="Times New Roman Regular"/>
                <w:b/>
                <w:sz w:val="22"/>
              </w:rPr>
            </w:pPr>
            <w:r>
              <w:rPr>
                <w:rFonts w:hint="default" w:ascii="Times New Roman Regular" w:hAnsi="Times New Roman Regular" w:cs="Times New Roman Regular"/>
                <w:b/>
                <w:color w:val="FFFFFF"/>
                <w:sz w:val="22"/>
              </w:rPr>
              <w:t>Satisfactory</w:t>
            </w:r>
            <w:r>
              <w:rPr>
                <w:rFonts w:hint="default" w:ascii="Times New Roman Regular" w:hAnsi="Times New Roman Regular" w:cs="Times New Roman Regular"/>
                <w:b/>
                <w:color w:val="FFFFFF"/>
                <w:spacing w:val="-14"/>
                <w:sz w:val="22"/>
              </w:rPr>
              <w:t xml:space="preserve"> </w:t>
            </w:r>
            <w:r>
              <w:rPr>
                <w:rFonts w:hint="default" w:ascii="Times New Roman Regular" w:hAnsi="Times New Roman Regular" w:cs="Times New Roman Regular"/>
                <w:b/>
                <w:color w:val="FFFFFF"/>
                <w:sz w:val="22"/>
              </w:rPr>
              <w:t xml:space="preserve">(2 </w:t>
            </w:r>
            <w:r>
              <w:rPr>
                <w:rFonts w:hint="default" w:ascii="Times New Roman Regular" w:hAnsi="Times New Roman Regular" w:cs="Times New Roman Regular"/>
                <w:b/>
                <w:color w:val="FFFFFF"/>
                <w:spacing w:val="-2"/>
                <w:sz w:val="22"/>
              </w:rPr>
              <w:t>Marks)</w:t>
            </w:r>
          </w:p>
        </w:tc>
        <w:tc>
          <w:tcPr>
            <w:tcW w:w="2131" w:type="dxa"/>
            <w:tcBorders>
              <w:left w:val="single" w:color="1F4E79" w:sz="4" w:space="0"/>
              <w:bottom w:val="nil"/>
              <w:right w:val="single" w:color="1F4E79" w:sz="4" w:space="0"/>
            </w:tcBorders>
            <w:shd w:val="clear" w:color="auto" w:fill="1F4E79"/>
          </w:tcPr>
          <w:p w14:paraId="4D3C72AF">
            <w:pPr>
              <w:pStyle w:val="20"/>
              <w:spacing w:before="87"/>
              <w:ind w:left="106" w:right="66"/>
              <w:rPr>
                <w:rFonts w:hint="default" w:ascii="Times New Roman Regular" w:hAnsi="Times New Roman Regular" w:cs="Times New Roman Regular"/>
                <w:b/>
                <w:sz w:val="22"/>
              </w:rPr>
            </w:pPr>
            <w:r>
              <w:rPr>
                <w:rFonts w:hint="default" w:ascii="Times New Roman Regular" w:hAnsi="Times New Roman Regular" w:cs="Times New Roman Regular"/>
                <w:b/>
                <w:color w:val="FFFFFF"/>
                <w:sz w:val="22"/>
              </w:rPr>
              <w:t>Needs</w:t>
            </w:r>
            <w:r>
              <w:rPr>
                <w:rFonts w:hint="default" w:ascii="Times New Roman Regular" w:hAnsi="Times New Roman Regular" w:cs="Times New Roman Regular"/>
                <w:b/>
                <w:color w:val="FFFFFF"/>
                <w:spacing w:val="-14"/>
                <w:sz w:val="22"/>
              </w:rPr>
              <w:t xml:space="preserve"> </w:t>
            </w:r>
            <w:r>
              <w:rPr>
                <w:rFonts w:hint="default" w:ascii="Times New Roman Regular" w:hAnsi="Times New Roman Regular" w:cs="Times New Roman Regular"/>
                <w:b/>
                <w:color w:val="FFFFFF"/>
                <w:sz w:val="22"/>
              </w:rPr>
              <w:t>Improvement</w:t>
            </w:r>
            <w:r>
              <w:rPr>
                <w:rFonts w:hint="default" w:ascii="Times New Roman Regular" w:hAnsi="Times New Roman Regular" w:cs="Times New Roman Regular"/>
                <w:b/>
                <w:color w:val="FFFFFF"/>
                <w:spacing w:val="-14"/>
                <w:sz w:val="22"/>
              </w:rPr>
              <w:t xml:space="preserve"> </w:t>
            </w:r>
            <w:r>
              <w:rPr>
                <w:rFonts w:hint="default" w:ascii="Times New Roman Regular" w:hAnsi="Times New Roman Regular" w:cs="Times New Roman Regular"/>
                <w:b/>
                <w:color w:val="FFFFFF"/>
                <w:sz w:val="22"/>
              </w:rPr>
              <w:t xml:space="preserve">(1 </w:t>
            </w:r>
            <w:r>
              <w:rPr>
                <w:rFonts w:hint="default" w:ascii="Times New Roman Regular" w:hAnsi="Times New Roman Regular" w:cs="Times New Roman Regular"/>
                <w:b/>
                <w:color w:val="FFFFFF"/>
                <w:spacing w:val="-2"/>
                <w:sz w:val="22"/>
              </w:rPr>
              <w:t>Mark)</w:t>
            </w:r>
          </w:p>
        </w:tc>
      </w:tr>
      <w:tr w14:paraId="452F8C74">
        <w:trPr>
          <w:trHeight w:val="1393" w:hRule="atLeast"/>
        </w:trPr>
        <w:tc>
          <w:tcPr>
            <w:tcW w:w="1625" w:type="dxa"/>
            <w:tcBorders>
              <w:top w:val="nil"/>
              <w:left w:val="single" w:color="9DC3E6" w:sz="4" w:space="0"/>
              <w:bottom w:val="single" w:color="9DC3E6" w:sz="4" w:space="0"/>
              <w:right w:val="single" w:color="9DC3E6" w:sz="4" w:space="0"/>
            </w:tcBorders>
            <w:shd w:val="clear" w:color="auto" w:fill="D5E3EF"/>
          </w:tcPr>
          <w:p w14:paraId="673D2D3B">
            <w:pPr>
              <w:pStyle w:val="20"/>
              <w:rPr>
                <w:rFonts w:hint="default" w:ascii="Times New Roman Regular" w:hAnsi="Times New Roman Regular" w:cs="Times New Roman Regular"/>
                <w:sz w:val="22"/>
              </w:rPr>
            </w:pPr>
            <w:r>
              <w:rPr>
                <w:rFonts w:hint="default" w:ascii="Times New Roman Regular" w:hAnsi="Times New Roman Regular" w:cs="Times New Roman Regular"/>
                <w:spacing w:val="-2"/>
                <w:sz w:val="22"/>
              </w:rPr>
              <w:t>Problem Understanding (30%)</w:t>
            </w:r>
          </w:p>
        </w:tc>
        <w:tc>
          <w:tcPr>
            <w:tcW w:w="2006" w:type="dxa"/>
            <w:tcBorders>
              <w:top w:val="nil"/>
              <w:left w:val="single" w:color="9DC3E6" w:sz="4" w:space="0"/>
              <w:bottom w:val="single" w:color="9DC3E6" w:sz="4" w:space="0"/>
              <w:right w:val="single" w:color="9DC3E6" w:sz="4" w:space="0"/>
            </w:tcBorders>
            <w:shd w:val="clear" w:color="auto" w:fill="EBF3FA"/>
          </w:tcPr>
          <w:p w14:paraId="78BF806A">
            <w:pPr>
              <w:pStyle w:val="20"/>
              <w:ind w:right="245"/>
              <w:rPr>
                <w:rFonts w:hint="default" w:ascii="Times New Roman Regular" w:hAnsi="Times New Roman Regular" w:cs="Times New Roman Regular"/>
                <w:sz w:val="22"/>
              </w:rPr>
            </w:pPr>
            <w:r>
              <w:rPr>
                <w:rFonts w:hint="default" w:ascii="Times New Roman Regular" w:hAnsi="Times New Roman Regular" w:cs="Times New Roman Regular"/>
                <w:sz w:val="22"/>
              </w:rPr>
              <w:t>Clearly explains the problem,</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 xml:space="preserve">objectives, and scope with </w:t>
            </w:r>
            <w:r>
              <w:rPr>
                <w:rFonts w:hint="default" w:ascii="Times New Roman Regular" w:hAnsi="Times New Roman Regular" w:cs="Times New Roman Regular"/>
                <w:spacing w:val="-2"/>
                <w:sz w:val="22"/>
              </w:rPr>
              <w:t>complete understanding.</w:t>
            </w:r>
          </w:p>
        </w:tc>
        <w:tc>
          <w:tcPr>
            <w:tcW w:w="1880" w:type="dxa"/>
            <w:tcBorders>
              <w:top w:val="nil"/>
              <w:left w:val="single" w:color="9DC3E6" w:sz="4" w:space="0"/>
              <w:bottom w:val="single" w:color="9DC3E6" w:sz="4" w:space="0"/>
              <w:right w:val="single" w:color="9DC3E6" w:sz="4" w:space="0"/>
            </w:tcBorders>
            <w:shd w:val="clear" w:color="auto" w:fill="EFFFF4"/>
          </w:tcPr>
          <w:p w14:paraId="314A0963">
            <w:pPr>
              <w:pStyle w:val="20"/>
              <w:ind w:right="377"/>
              <w:rPr>
                <w:rFonts w:hint="default" w:ascii="Times New Roman Regular" w:hAnsi="Times New Roman Regular" w:cs="Times New Roman Regular"/>
                <w:sz w:val="22"/>
              </w:rPr>
            </w:pPr>
            <w:r>
              <w:rPr>
                <w:rFonts w:hint="default" w:ascii="Times New Roman Regular" w:hAnsi="Times New Roman Regular" w:cs="Times New Roman Regular"/>
                <w:sz w:val="22"/>
              </w:rPr>
              <w:t>Explains the problem with minor</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omissions.</w:t>
            </w:r>
          </w:p>
        </w:tc>
        <w:tc>
          <w:tcPr>
            <w:tcW w:w="1756" w:type="dxa"/>
            <w:tcBorders>
              <w:top w:val="nil"/>
              <w:left w:val="single" w:color="9DC3E6" w:sz="4" w:space="0"/>
              <w:bottom w:val="single" w:color="9DC3E6" w:sz="4" w:space="0"/>
              <w:right w:val="single" w:color="9DC3E6" w:sz="4" w:space="0"/>
            </w:tcBorders>
            <w:shd w:val="clear" w:color="auto" w:fill="FFFAEB"/>
          </w:tcPr>
          <w:p w14:paraId="68F4158A">
            <w:pPr>
              <w:pStyle w:val="20"/>
              <w:ind w:right="245"/>
              <w:rPr>
                <w:rFonts w:hint="default" w:ascii="Times New Roman Regular" w:hAnsi="Times New Roman Regular" w:cs="Times New Roman Regular"/>
                <w:sz w:val="22"/>
              </w:rPr>
            </w:pPr>
            <w:r>
              <w:rPr>
                <w:rFonts w:hint="default" w:ascii="Times New Roman Regular" w:hAnsi="Times New Roman Regular" w:cs="Times New Roman Regular"/>
                <w:spacing w:val="-2"/>
                <w:sz w:val="22"/>
              </w:rPr>
              <w:t xml:space="preserve">Basic understanding </w:t>
            </w:r>
            <w:r>
              <w:rPr>
                <w:rFonts w:hint="default" w:ascii="Times New Roman Regular" w:hAnsi="Times New Roman Regular" w:cs="Times New Roman Regular"/>
                <w:sz w:val="22"/>
              </w:rPr>
              <w:t xml:space="preserve">with limited </w:t>
            </w:r>
            <w:r>
              <w:rPr>
                <w:rFonts w:hint="default" w:ascii="Times New Roman Regular" w:hAnsi="Times New Roman Regular" w:cs="Times New Roman Regular"/>
                <w:spacing w:val="-2"/>
                <w:sz w:val="22"/>
              </w:rPr>
              <w:t>explanation.</w:t>
            </w:r>
          </w:p>
        </w:tc>
        <w:tc>
          <w:tcPr>
            <w:tcW w:w="2131" w:type="dxa"/>
            <w:tcBorders>
              <w:top w:val="nil"/>
              <w:left w:val="single" w:color="9DC3E6" w:sz="4" w:space="0"/>
              <w:bottom w:val="single" w:color="9DC3E6" w:sz="4" w:space="0"/>
              <w:right w:val="single" w:color="9DC3E6" w:sz="4" w:space="0"/>
            </w:tcBorders>
            <w:shd w:val="clear" w:color="auto" w:fill="FFFAEB"/>
          </w:tcPr>
          <w:p w14:paraId="1387664B">
            <w:pPr>
              <w:pStyle w:val="20"/>
              <w:spacing w:before="79"/>
              <w:ind w:left="0"/>
              <w:rPr>
                <w:rFonts w:hint="default" w:ascii="Times New Roman Regular" w:hAnsi="Times New Roman Regular" w:cs="Times New Roman Regular"/>
                <w:b/>
                <w:sz w:val="22"/>
              </w:rPr>
            </w:pPr>
          </w:p>
          <w:p w14:paraId="3B9DE59C">
            <w:pPr>
              <w:pStyle w:val="20"/>
              <w:spacing w:before="0"/>
              <w:ind w:left="106" w:right="66"/>
              <w:rPr>
                <w:rFonts w:hint="default" w:ascii="Times New Roman Regular" w:hAnsi="Times New Roman Regular" w:cs="Times New Roman Regular"/>
                <w:sz w:val="22"/>
              </w:rPr>
            </w:pPr>
            <w:r>
              <w:rPr>
                <w:rFonts w:hint="default" w:ascii="Times New Roman Regular" w:hAnsi="Times New Roman Regular" w:cs="Times New Roman Regular"/>
                <w:sz w:val="22"/>
              </w:rPr>
              <w:t>Poor understanding; objectives</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and</w:t>
            </w:r>
            <w:r>
              <w:rPr>
                <w:rFonts w:hint="default" w:ascii="Times New Roman Regular" w:hAnsi="Times New Roman Regular" w:cs="Times New Roman Regular"/>
                <w:spacing w:val="-12"/>
                <w:sz w:val="22"/>
              </w:rPr>
              <w:t xml:space="preserve"> </w:t>
            </w:r>
            <w:r>
              <w:rPr>
                <w:rFonts w:hint="default" w:ascii="Times New Roman Regular" w:hAnsi="Times New Roman Regular" w:cs="Times New Roman Regular"/>
                <w:sz w:val="22"/>
              </w:rPr>
              <w:t>scope</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are unclear or missing.</w:t>
            </w:r>
          </w:p>
        </w:tc>
      </w:tr>
      <w:tr w14:paraId="01287619">
        <w:trPr>
          <w:trHeight w:val="1848" w:hRule="atLeast"/>
        </w:trPr>
        <w:tc>
          <w:tcPr>
            <w:tcW w:w="1625" w:type="dxa"/>
            <w:tcBorders>
              <w:top w:val="single" w:color="9DC3E6" w:sz="4" w:space="0"/>
              <w:left w:val="single" w:color="9DC3E6" w:sz="4" w:space="0"/>
              <w:bottom w:val="single" w:color="9DC3E6" w:sz="4" w:space="0"/>
              <w:right w:val="single" w:color="9DC3E6" w:sz="4" w:space="0"/>
            </w:tcBorders>
            <w:shd w:val="clear" w:color="auto" w:fill="EBF3FA"/>
          </w:tcPr>
          <w:p w14:paraId="61E4ECA0">
            <w:pPr>
              <w:pStyle w:val="20"/>
              <w:spacing w:before="71"/>
              <w:ind w:right="243"/>
              <w:rPr>
                <w:rFonts w:hint="default" w:ascii="Times New Roman Regular" w:hAnsi="Times New Roman Regular" w:cs="Times New Roman Regular"/>
                <w:sz w:val="22"/>
              </w:rPr>
            </w:pPr>
            <w:r>
              <w:rPr>
                <w:rFonts w:hint="default" w:ascii="Times New Roman Regular" w:hAnsi="Times New Roman Regular" w:cs="Times New Roman Regular"/>
                <w:sz w:val="22"/>
              </w:rPr>
              <w:t xml:space="preserve">Stakeholder &amp; </w:t>
            </w:r>
            <w:r>
              <w:rPr>
                <w:rFonts w:hint="default" w:ascii="Times New Roman Regular" w:hAnsi="Times New Roman Regular" w:cs="Times New Roman Regular"/>
                <w:spacing w:val="-2"/>
                <w:sz w:val="22"/>
              </w:rPr>
              <w:t xml:space="preserve">Challenge </w:t>
            </w:r>
            <w:r>
              <w:rPr>
                <w:rFonts w:hint="default" w:ascii="Times New Roman Regular" w:hAnsi="Times New Roman Regular" w:cs="Times New Roman Regular"/>
                <w:sz w:val="22"/>
              </w:rPr>
              <w:t>Analysis</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(25%)</w:t>
            </w:r>
          </w:p>
        </w:tc>
        <w:tc>
          <w:tcPr>
            <w:tcW w:w="2006" w:type="dxa"/>
            <w:tcBorders>
              <w:top w:val="single" w:color="9DC3E6" w:sz="4" w:space="0"/>
              <w:left w:val="single" w:color="9DC3E6" w:sz="4" w:space="0"/>
              <w:bottom w:val="single" w:color="9DC3E6" w:sz="4" w:space="0"/>
              <w:right w:val="single" w:color="9DC3E6" w:sz="4" w:space="0"/>
            </w:tcBorders>
            <w:shd w:val="clear" w:color="auto" w:fill="D5E3EF"/>
          </w:tcPr>
          <w:p w14:paraId="15FFC5A9">
            <w:pPr>
              <w:pStyle w:val="20"/>
              <w:spacing w:before="71"/>
              <w:rPr>
                <w:rFonts w:hint="default" w:ascii="Times New Roman Regular" w:hAnsi="Times New Roman Regular" w:cs="Times New Roman Regular"/>
                <w:sz w:val="22"/>
              </w:rPr>
            </w:pPr>
            <w:r>
              <w:rPr>
                <w:rFonts w:hint="default" w:ascii="Times New Roman Regular" w:hAnsi="Times New Roman Regular" w:cs="Times New Roman Regular"/>
                <w:sz w:val="22"/>
              </w:rPr>
              <w:t>Identifies all stakeholders, their roles,</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and</w:t>
            </w:r>
            <w:r>
              <w:rPr>
                <w:rFonts w:hint="default" w:ascii="Times New Roman Regular" w:hAnsi="Times New Roman Regular" w:cs="Times New Roman Regular"/>
                <w:spacing w:val="-12"/>
                <w:sz w:val="22"/>
              </w:rPr>
              <w:t xml:space="preserve"> </w:t>
            </w:r>
            <w:r>
              <w:rPr>
                <w:rFonts w:hint="default" w:ascii="Times New Roman Regular" w:hAnsi="Times New Roman Regular" w:cs="Times New Roman Regular"/>
                <w:sz w:val="22"/>
              </w:rPr>
              <w:t>challenges with clear analysis.</w:t>
            </w:r>
          </w:p>
        </w:tc>
        <w:tc>
          <w:tcPr>
            <w:tcW w:w="1880" w:type="dxa"/>
            <w:tcBorders>
              <w:top w:val="single" w:color="9DC3E6" w:sz="4" w:space="0"/>
              <w:left w:val="single" w:color="9DC3E6" w:sz="4" w:space="0"/>
              <w:bottom w:val="single" w:color="9DC3E6" w:sz="4" w:space="0"/>
              <w:right w:val="single" w:color="9DC3E6" w:sz="4" w:space="0"/>
            </w:tcBorders>
            <w:shd w:val="clear" w:color="auto" w:fill="EFFFF4"/>
          </w:tcPr>
          <w:p w14:paraId="0B8E2983">
            <w:pPr>
              <w:pStyle w:val="20"/>
              <w:spacing w:before="71"/>
              <w:ind w:right="271"/>
              <w:rPr>
                <w:rFonts w:hint="default" w:ascii="Times New Roman Regular" w:hAnsi="Times New Roman Regular" w:cs="Times New Roman Regular"/>
                <w:sz w:val="22"/>
              </w:rPr>
            </w:pPr>
            <w:r>
              <w:rPr>
                <w:rFonts w:hint="default" w:ascii="Times New Roman Regular" w:hAnsi="Times New Roman Regular" w:cs="Times New Roman Regular"/>
                <w:sz w:val="22"/>
              </w:rPr>
              <w:t>Identifies most stakeholders and challenges with adequate</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analysis.</w:t>
            </w:r>
          </w:p>
        </w:tc>
        <w:tc>
          <w:tcPr>
            <w:tcW w:w="1756" w:type="dxa"/>
            <w:tcBorders>
              <w:top w:val="single" w:color="9DC3E6" w:sz="4" w:space="0"/>
              <w:left w:val="single" w:color="9DC3E6" w:sz="4" w:space="0"/>
              <w:bottom w:val="single" w:color="9DC3E6" w:sz="4" w:space="0"/>
              <w:right w:val="single" w:color="9DC3E6" w:sz="4" w:space="0"/>
            </w:tcBorders>
            <w:shd w:val="clear" w:color="auto" w:fill="FFFAEB"/>
          </w:tcPr>
          <w:p w14:paraId="6204A247">
            <w:pPr>
              <w:pStyle w:val="20"/>
              <w:spacing w:before="71"/>
              <w:ind w:right="245"/>
              <w:rPr>
                <w:rFonts w:hint="default" w:ascii="Times New Roman Regular" w:hAnsi="Times New Roman Regular" w:cs="Times New Roman Regular"/>
                <w:sz w:val="22"/>
              </w:rPr>
            </w:pPr>
            <w:r>
              <w:rPr>
                <w:rFonts w:hint="default" w:ascii="Times New Roman Regular" w:hAnsi="Times New Roman Regular" w:cs="Times New Roman Regular"/>
                <w:sz w:val="22"/>
              </w:rPr>
              <w:t>Identifies only a few</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stakeholders or challenges.</w:t>
            </w:r>
          </w:p>
        </w:tc>
        <w:tc>
          <w:tcPr>
            <w:tcW w:w="2131" w:type="dxa"/>
            <w:tcBorders>
              <w:top w:val="single" w:color="9DC3E6" w:sz="4" w:space="0"/>
              <w:left w:val="single" w:color="9DC3E6" w:sz="4" w:space="0"/>
              <w:bottom w:val="single" w:color="9DC3E6" w:sz="4" w:space="0"/>
              <w:right w:val="single" w:color="9DC3E6" w:sz="4" w:space="0"/>
            </w:tcBorders>
            <w:shd w:val="clear" w:color="auto" w:fill="FFFAEB"/>
          </w:tcPr>
          <w:p w14:paraId="5DE4DC89">
            <w:pPr>
              <w:pStyle w:val="20"/>
              <w:spacing w:before="207"/>
              <w:ind w:left="106" w:right="66"/>
              <w:rPr>
                <w:rFonts w:hint="default" w:ascii="Times New Roman Regular" w:hAnsi="Times New Roman Regular" w:cs="Times New Roman Regular"/>
                <w:sz w:val="22"/>
              </w:rPr>
            </w:pPr>
            <w:r>
              <w:rPr>
                <w:rFonts w:hint="default" w:ascii="Times New Roman Regular" w:hAnsi="Times New Roman Regular" w:cs="Times New Roman Regular"/>
                <w:sz w:val="22"/>
              </w:rPr>
              <w:t>Stakeholders</w:t>
            </w:r>
            <w:r>
              <w:rPr>
                <w:rFonts w:hint="default" w:ascii="Times New Roman Regular" w:hAnsi="Times New Roman Regular" w:cs="Times New Roman Regular"/>
                <w:spacing w:val="-14"/>
                <w:sz w:val="22"/>
              </w:rPr>
              <w:t xml:space="preserve"> </w:t>
            </w:r>
            <w:r>
              <w:rPr>
                <w:rFonts w:hint="default" w:ascii="Times New Roman Regular" w:hAnsi="Times New Roman Regular" w:cs="Times New Roman Regular"/>
                <w:sz w:val="22"/>
              </w:rPr>
              <w:t>and</w:t>
            </w:r>
            <w:r>
              <w:rPr>
                <w:rFonts w:hint="default" w:ascii="Times New Roman Regular" w:hAnsi="Times New Roman Regular" w:cs="Times New Roman Regular"/>
                <w:spacing w:val="-14"/>
                <w:sz w:val="22"/>
              </w:rPr>
              <w:t xml:space="preserve"> </w:t>
            </w:r>
            <w:r>
              <w:rPr>
                <w:rFonts w:hint="default" w:ascii="Times New Roman Regular" w:hAnsi="Times New Roman Regular" w:cs="Times New Roman Regular"/>
                <w:sz w:val="22"/>
              </w:rPr>
              <w:t>system analysis are incomplete or inaccurate.</w:t>
            </w:r>
          </w:p>
        </w:tc>
      </w:tr>
      <w:tr w14:paraId="7366C47E">
        <w:trPr>
          <w:trHeight w:val="1847" w:hRule="atLeast"/>
        </w:trPr>
        <w:tc>
          <w:tcPr>
            <w:tcW w:w="1625" w:type="dxa"/>
            <w:tcBorders>
              <w:top w:val="single" w:color="9DC3E6" w:sz="4" w:space="0"/>
              <w:left w:val="single" w:color="9DC3E6" w:sz="4" w:space="0"/>
              <w:bottom w:val="single" w:color="9DC3E6" w:sz="4" w:space="0"/>
              <w:right w:val="single" w:color="9DC3E6" w:sz="4" w:space="0"/>
            </w:tcBorders>
            <w:shd w:val="clear" w:color="auto" w:fill="EBF3FA"/>
          </w:tcPr>
          <w:p w14:paraId="59AD591E">
            <w:pPr>
              <w:pStyle w:val="20"/>
              <w:ind w:right="243"/>
              <w:rPr>
                <w:rFonts w:hint="default" w:ascii="Times New Roman Regular" w:hAnsi="Times New Roman Regular" w:cs="Times New Roman Regular"/>
                <w:sz w:val="22"/>
              </w:rPr>
            </w:pPr>
            <w:r>
              <w:rPr>
                <w:rFonts w:hint="default" w:ascii="Times New Roman Regular" w:hAnsi="Times New Roman Regular" w:cs="Times New Roman Regular"/>
                <w:sz w:val="22"/>
              </w:rPr>
              <w:t>Current</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System Analysis</w:t>
            </w:r>
            <w:r>
              <w:rPr>
                <w:rFonts w:hint="default" w:ascii="Times New Roman Regular" w:hAnsi="Times New Roman Regular" w:cs="Times New Roman Regular"/>
                <w:spacing w:val="-3"/>
                <w:sz w:val="22"/>
              </w:rPr>
              <w:t xml:space="preserve"> </w:t>
            </w:r>
            <w:r>
              <w:rPr>
                <w:rFonts w:hint="default" w:ascii="Times New Roman Regular" w:hAnsi="Times New Roman Regular" w:cs="Times New Roman Regular"/>
                <w:spacing w:val="-2"/>
                <w:sz w:val="22"/>
              </w:rPr>
              <w:t>(20%)</w:t>
            </w:r>
          </w:p>
        </w:tc>
        <w:tc>
          <w:tcPr>
            <w:tcW w:w="2006" w:type="dxa"/>
            <w:tcBorders>
              <w:top w:val="single" w:color="9DC3E6" w:sz="4" w:space="0"/>
              <w:left w:val="single" w:color="9DC3E6" w:sz="4" w:space="0"/>
              <w:bottom w:val="single" w:color="9DC3E6" w:sz="4" w:space="0"/>
              <w:right w:val="single" w:color="9DC3E6" w:sz="4" w:space="0"/>
            </w:tcBorders>
            <w:shd w:val="clear" w:color="auto" w:fill="D5E3EF"/>
          </w:tcPr>
          <w:p w14:paraId="79ADF29E">
            <w:pPr>
              <w:pStyle w:val="20"/>
              <w:ind w:right="175"/>
              <w:rPr>
                <w:rFonts w:hint="default" w:ascii="Times New Roman Regular" w:hAnsi="Times New Roman Regular" w:cs="Times New Roman Regular"/>
                <w:sz w:val="22"/>
              </w:rPr>
            </w:pPr>
            <w:r>
              <w:rPr>
                <w:rFonts w:hint="default" w:ascii="Times New Roman Regular" w:hAnsi="Times New Roman Regular" w:cs="Times New Roman Regular"/>
                <w:sz w:val="22"/>
              </w:rPr>
              <w:t>Thoroughly</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 xml:space="preserve">analyzes the existing system, </w:t>
            </w:r>
            <w:r>
              <w:rPr>
                <w:rFonts w:hint="default" w:ascii="Times New Roman Regular" w:hAnsi="Times New Roman Regular" w:cs="Times New Roman Regular"/>
                <w:spacing w:val="-2"/>
                <w:sz w:val="22"/>
              </w:rPr>
              <w:t xml:space="preserve">strengths, </w:t>
            </w:r>
            <w:r>
              <w:rPr>
                <w:rFonts w:hint="default" w:ascii="Times New Roman Regular" w:hAnsi="Times New Roman Regular" w:cs="Times New Roman Regular"/>
                <w:sz w:val="22"/>
              </w:rPr>
              <w:t>weaknesses, and identifies all gaps.</w:t>
            </w:r>
          </w:p>
        </w:tc>
        <w:tc>
          <w:tcPr>
            <w:tcW w:w="1880" w:type="dxa"/>
            <w:tcBorders>
              <w:top w:val="single" w:color="9DC3E6" w:sz="4" w:space="0"/>
              <w:left w:val="single" w:color="9DC3E6" w:sz="4" w:space="0"/>
              <w:bottom w:val="single" w:color="9DC3E6" w:sz="4" w:space="0"/>
              <w:right w:val="single" w:color="9DC3E6" w:sz="4" w:space="0"/>
            </w:tcBorders>
            <w:shd w:val="clear" w:color="auto" w:fill="EFFFF4"/>
          </w:tcPr>
          <w:p w14:paraId="30BDCCEA">
            <w:pPr>
              <w:pStyle w:val="20"/>
              <w:rPr>
                <w:rFonts w:hint="default" w:ascii="Times New Roman Regular" w:hAnsi="Times New Roman Regular" w:cs="Times New Roman Regular"/>
                <w:sz w:val="22"/>
              </w:rPr>
            </w:pPr>
            <w:r>
              <w:rPr>
                <w:rFonts w:hint="default" w:ascii="Times New Roman Regular" w:hAnsi="Times New Roman Regular" w:cs="Times New Roman Regular"/>
                <w:sz w:val="22"/>
              </w:rPr>
              <w:t>Good</w:t>
            </w:r>
            <w:r>
              <w:rPr>
                <w:rFonts w:hint="default" w:ascii="Times New Roman Regular" w:hAnsi="Times New Roman Regular" w:cs="Times New Roman Regular"/>
                <w:spacing w:val="-2"/>
                <w:sz w:val="22"/>
              </w:rPr>
              <w:t xml:space="preserve"> </w:t>
            </w:r>
            <w:r>
              <w:rPr>
                <w:rFonts w:hint="default" w:ascii="Times New Roman Regular" w:hAnsi="Times New Roman Regular" w:cs="Times New Roman Regular"/>
                <w:sz w:val="22"/>
              </w:rPr>
              <w:t>analysis</w:t>
            </w:r>
            <w:r>
              <w:rPr>
                <w:rFonts w:hint="default" w:ascii="Times New Roman Regular" w:hAnsi="Times New Roman Regular" w:cs="Times New Roman Regular"/>
                <w:spacing w:val="-1"/>
                <w:sz w:val="22"/>
              </w:rPr>
              <w:t xml:space="preserve"> </w:t>
            </w:r>
            <w:r>
              <w:rPr>
                <w:rFonts w:hint="default" w:ascii="Times New Roman Regular" w:hAnsi="Times New Roman Regular" w:cs="Times New Roman Regular"/>
                <w:sz w:val="22"/>
              </w:rPr>
              <w:t>with most</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strengths</w:t>
            </w:r>
            <w:r>
              <w:rPr>
                <w:rFonts w:hint="default" w:ascii="Times New Roman Regular" w:hAnsi="Times New Roman Regular" w:cs="Times New Roman Regular"/>
                <w:spacing w:val="-12"/>
                <w:sz w:val="22"/>
              </w:rPr>
              <w:t xml:space="preserve"> </w:t>
            </w:r>
            <w:r>
              <w:rPr>
                <w:rFonts w:hint="default" w:ascii="Times New Roman Regular" w:hAnsi="Times New Roman Regular" w:cs="Times New Roman Regular"/>
                <w:sz w:val="22"/>
              </w:rPr>
              <w:t xml:space="preserve">and </w:t>
            </w:r>
            <w:r>
              <w:rPr>
                <w:rFonts w:hint="default" w:ascii="Times New Roman Regular" w:hAnsi="Times New Roman Regular" w:cs="Times New Roman Regular"/>
                <w:spacing w:val="-2"/>
                <w:sz w:val="22"/>
              </w:rPr>
              <w:t>weaknesses identified.</w:t>
            </w:r>
          </w:p>
        </w:tc>
        <w:tc>
          <w:tcPr>
            <w:tcW w:w="1756" w:type="dxa"/>
            <w:tcBorders>
              <w:top w:val="single" w:color="9DC3E6" w:sz="4" w:space="0"/>
              <w:left w:val="single" w:color="9DC3E6" w:sz="4" w:space="0"/>
              <w:bottom w:val="single" w:color="9DC3E6" w:sz="4" w:space="0"/>
              <w:right w:val="single" w:color="9DC3E6" w:sz="4" w:space="0"/>
            </w:tcBorders>
            <w:shd w:val="clear" w:color="auto" w:fill="FFFAEB"/>
          </w:tcPr>
          <w:p w14:paraId="776314FC">
            <w:pPr>
              <w:pStyle w:val="20"/>
              <w:ind w:right="316"/>
              <w:rPr>
                <w:rFonts w:hint="default" w:ascii="Times New Roman Regular" w:hAnsi="Times New Roman Regular" w:cs="Times New Roman Regular"/>
                <w:sz w:val="22"/>
              </w:rPr>
            </w:pPr>
            <w:r>
              <w:rPr>
                <w:rFonts w:hint="default" w:ascii="Times New Roman Regular" w:hAnsi="Times New Roman Regular" w:cs="Times New Roman Regular"/>
                <w:sz w:val="22"/>
              </w:rPr>
              <w:t>Limited</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 xml:space="preserve">analysis with partial identification of </w:t>
            </w:r>
            <w:r>
              <w:rPr>
                <w:rFonts w:hint="default" w:ascii="Times New Roman Regular" w:hAnsi="Times New Roman Regular" w:cs="Times New Roman Regular"/>
                <w:spacing w:val="-2"/>
                <w:sz w:val="22"/>
              </w:rPr>
              <w:t>issues.</w:t>
            </w:r>
          </w:p>
        </w:tc>
        <w:tc>
          <w:tcPr>
            <w:tcW w:w="2131" w:type="dxa"/>
            <w:tcBorders>
              <w:top w:val="single" w:color="9DC3E6" w:sz="4" w:space="0"/>
              <w:left w:val="single" w:color="9DC3E6" w:sz="4" w:space="0"/>
              <w:bottom w:val="single" w:color="9DC3E6" w:sz="4" w:space="0"/>
              <w:right w:val="single" w:color="9DC3E6" w:sz="4" w:space="0"/>
            </w:tcBorders>
            <w:shd w:val="clear" w:color="auto" w:fill="FFFAEB"/>
          </w:tcPr>
          <w:p w14:paraId="03960D32">
            <w:pPr>
              <w:pStyle w:val="20"/>
              <w:spacing w:before="208"/>
              <w:ind w:left="106" w:right="66"/>
              <w:rPr>
                <w:rFonts w:hint="default" w:ascii="Times New Roman Regular" w:hAnsi="Times New Roman Regular" w:cs="Times New Roman Regular"/>
                <w:sz w:val="22"/>
              </w:rPr>
            </w:pPr>
            <w:r>
              <w:rPr>
                <w:rFonts w:hint="default" w:ascii="Times New Roman Regular" w:hAnsi="Times New Roman Regular" w:cs="Times New Roman Regular"/>
                <w:sz w:val="22"/>
              </w:rPr>
              <w:t>Proposed solution is unclear</w:t>
            </w:r>
            <w:r>
              <w:rPr>
                <w:rFonts w:hint="default" w:ascii="Times New Roman Regular" w:hAnsi="Times New Roman Regular" w:cs="Times New Roman Regular"/>
                <w:spacing w:val="-14"/>
                <w:sz w:val="22"/>
              </w:rPr>
              <w:t xml:space="preserve"> </w:t>
            </w:r>
            <w:r>
              <w:rPr>
                <w:rFonts w:hint="default" w:ascii="Times New Roman Regular" w:hAnsi="Times New Roman Regular" w:cs="Times New Roman Regular"/>
                <w:sz w:val="22"/>
              </w:rPr>
              <w:t>or</w:t>
            </w:r>
            <w:r>
              <w:rPr>
                <w:rFonts w:hint="default" w:ascii="Times New Roman Regular" w:hAnsi="Times New Roman Regular" w:cs="Times New Roman Regular"/>
                <w:spacing w:val="-14"/>
                <w:sz w:val="22"/>
              </w:rPr>
              <w:t xml:space="preserve"> </w:t>
            </w:r>
            <w:r>
              <w:rPr>
                <w:rFonts w:hint="default" w:ascii="Times New Roman Regular" w:hAnsi="Times New Roman Regular" w:cs="Times New Roman Regular"/>
                <w:sz w:val="22"/>
              </w:rPr>
              <w:t>inappropriate; requirements</w:t>
            </w:r>
            <w:r>
              <w:rPr>
                <w:rFonts w:hint="default" w:ascii="Times New Roman Regular" w:hAnsi="Times New Roman Regular" w:cs="Times New Roman Regular"/>
                <w:spacing w:val="-2"/>
                <w:sz w:val="22"/>
              </w:rPr>
              <w:t xml:space="preserve"> </w:t>
            </w:r>
            <w:r>
              <w:rPr>
                <w:rFonts w:hint="default" w:ascii="Times New Roman Regular" w:hAnsi="Times New Roman Regular" w:cs="Times New Roman Regular"/>
                <w:sz w:val="22"/>
              </w:rPr>
              <w:t xml:space="preserve">are largely </w:t>
            </w:r>
            <w:r>
              <w:rPr>
                <w:rFonts w:hint="default" w:ascii="Times New Roman Regular" w:hAnsi="Times New Roman Regular" w:cs="Times New Roman Regular"/>
                <w:spacing w:val="-2"/>
                <w:sz w:val="22"/>
              </w:rPr>
              <w:t>missing.</w:t>
            </w:r>
          </w:p>
        </w:tc>
      </w:tr>
      <w:tr w14:paraId="1567DC01">
        <w:trPr>
          <w:trHeight w:val="2741" w:hRule="atLeast"/>
        </w:trPr>
        <w:tc>
          <w:tcPr>
            <w:tcW w:w="1625" w:type="dxa"/>
            <w:tcBorders>
              <w:top w:val="single" w:color="9DC3E6" w:sz="4" w:space="0"/>
              <w:left w:val="single" w:color="9DC3E6" w:sz="4" w:space="0"/>
              <w:bottom w:val="single" w:color="9DC3E6" w:sz="4" w:space="0"/>
              <w:right w:val="single" w:color="9DC3E6" w:sz="4" w:space="0"/>
            </w:tcBorders>
            <w:shd w:val="clear" w:color="auto" w:fill="EBF3FA"/>
          </w:tcPr>
          <w:p w14:paraId="06313503">
            <w:pPr>
              <w:pStyle w:val="20"/>
              <w:ind w:right="105"/>
              <w:rPr>
                <w:rFonts w:hint="default" w:ascii="Times New Roman Regular" w:hAnsi="Times New Roman Regular" w:cs="Times New Roman Regular"/>
                <w:sz w:val="22"/>
              </w:rPr>
            </w:pPr>
            <w:r>
              <w:rPr>
                <w:rFonts w:hint="default" w:ascii="Times New Roman Regular" w:hAnsi="Times New Roman Regular" w:cs="Times New Roman Regular"/>
                <w:spacing w:val="-2"/>
                <w:sz w:val="22"/>
              </w:rPr>
              <w:t xml:space="preserve">Proposed Software </w:t>
            </w:r>
            <w:r>
              <w:rPr>
                <w:rFonts w:hint="default" w:ascii="Times New Roman Regular" w:hAnsi="Times New Roman Regular" w:cs="Times New Roman Regular"/>
                <w:sz w:val="22"/>
              </w:rPr>
              <w:t xml:space="preserve">Solution &amp; </w:t>
            </w:r>
            <w:r>
              <w:rPr>
                <w:rFonts w:hint="default" w:ascii="Times New Roman Regular" w:hAnsi="Times New Roman Regular" w:cs="Times New Roman Regular"/>
                <w:spacing w:val="-2"/>
                <w:sz w:val="22"/>
              </w:rPr>
              <w:t xml:space="preserve">Software Engineering </w:t>
            </w:r>
            <w:r>
              <w:rPr>
                <w:rFonts w:hint="default" w:ascii="Times New Roman Regular" w:hAnsi="Times New Roman Regular" w:cs="Times New Roman Regular"/>
                <w:sz w:val="22"/>
              </w:rPr>
              <w:t>Principles</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(15%)</w:t>
            </w:r>
          </w:p>
        </w:tc>
        <w:tc>
          <w:tcPr>
            <w:tcW w:w="2006" w:type="dxa"/>
            <w:tcBorders>
              <w:top w:val="single" w:color="9DC3E6" w:sz="4" w:space="0"/>
              <w:left w:val="single" w:color="9DC3E6" w:sz="4" w:space="0"/>
              <w:bottom w:val="single" w:color="9DC3E6" w:sz="4" w:space="0"/>
              <w:right w:val="single" w:color="9DC3E6" w:sz="4" w:space="0"/>
            </w:tcBorders>
            <w:shd w:val="clear" w:color="auto" w:fill="D5E3EF"/>
          </w:tcPr>
          <w:p w14:paraId="70BED8C1">
            <w:pPr>
              <w:pStyle w:val="20"/>
              <w:ind w:right="132"/>
              <w:rPr>
                <w:rFonts w:hint="default" w:ascii="Times New Roman Regular" w:hAnsi="Times New Roman Regular" w:cs="Times New Roman Regular"/>
                <w:sz w:val="22"/>
              </w:rPr>
            </w:pPr>
            <w:r>
              <w:rPr>
                <w:rFonts w:hint="default" w:ascii="Times New Roman Regular" w:hAnsi="Times New Roman Regular" w:cs="Times New Roman Regular"/>
                <w:sz w:val="22"/>
              </w:rPr>
              <w:t>Proposes an innovative, feasible solution applying appropriate</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 xml:space="preserve">software </w:t>
            </w:r>
            <w:r>
              <w:rPr>
                <w:rFonts w:hint="default" w:ascii="Times New Roman Regular" w:hAnsi="Times New Roman Regular" w:cs="Times New Roman Regular"/>
                <w:spacing w:val="-2"/>
                <w:sz w:val="22"/>
              </w:rPr>
              <w:t xml:space="preserve">engineering principles (modularity, scalability, maintainability, </w:t>
            </w:r>
            <w:r>
              <w:rPr>
                <w:rFonts w:hint="default" w:ascii="Times New Roman Regular" w:hAnsi="Times New Roman Regular" w:cs="Times New Roman Regular"/>
                <w:sz w:val="22"/>
              </w:rPr>
              <w:t>security, etc.).</w:t>
            </w:r>
          </w:p>
        </w:tc>
        <w:tc>
          <w:tcPr>
            <w:tcW w:w="1880" w:type="dxa"/>
            <w:tcBorders>
              <w:top w:val="single" w:color="9DC3E6" w:sz="4" w:space="0"/>
              <w:left w:val="single" w:color="9DC3E6" w:sz="4" w:space="0"/>
              <w:bottom w:val="single" w:color="9DC3E6" w:sz="4" w:space="0"/>
              <w:right w:val="single" w:color="9DC3E6" w:sz="4" w:space="0"/>
            </w:tcBorders>
            <w:shd w:val="clear" w:color="auto" w:fill="EFFFF4"/>
          </w:tcPr>
          <w:p w14:paraId="7C9DACE9">
            <w:pPr>
              <w:pStyle w:val="20"/>
              <w:ind w:right="413"/>
              <w:rPr>
                <w:rFonts w:hint="default" w:ascii="Times New Roman Regular" w:hAnsi="Times New Roman Regular" w:cs="Times New Roman Regular"/>
                <w:sz w:val="22"/>
              </w:rPr>
            </w:pPr>
            <w:r>
              <w:rPr>
                <w:rFonts w:hint="default" w:ascii="Times New Roman Regular" w:hAnsi="Times New Roman Regular" w:cs="Times New Roman Regular"/>
                <w:sz w:val="22"/>
              </w:rPr>
              <w:t>Suitable</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 xml:space="preserve">solution with good application of </w:t>
            </w:r>
            <w:r>
              <w:rPr>
                <w:rFonts w:hint="default" w:ascii="Times New Roman Regular" w:hAnsi="Times New Roman Regular" w:cs="Times New Roman Regular"/>
                <w:spacing w:val="-2"/>
                <w:sz w:val="22"/>
              </w:rPr>
              <w:t>software engineering principles.</w:t>
            </w:r>
          </w:p>
        </w:tc>
        <w:tc>
          <w:tcPr>
            <w:tcW w:w="1756" w:type="dxa"/>
            <w:tcBorders>
              <w:top w:val="single" w:color="9DC3E6" w:sz="4" w:space="0"/>
              <w:left w:val="single" w:color="9DC3E6" w:sz="4" w:space="0"/>
              <w:bottom w:val="single" w:color="9DC3E6" w:sz="4" w:space="0"/>
              <w:right w:val="single" w:color="9DC3E6" w:sz="4" w:space="0"/>
            </w:tcBorders>
            <w:shd w:val="clear" w:color="auto" w:fill="FFFAEB"/>
          </w:tcPr>
          <w:p w14:paraId="5030E08A">
            <w:pPr>
              <w:pStyle w:val="20"/>
              <w:ind w:right="542"/>
              <w:rPr>
                <w:rFonts w:hint="default" w:ascii="Times New Roman Regular" w:hAnsi="Times New Roman Regular" w:cs="Times New Roman Regular"/>
                <w:sz w:val="22"/>
              </w:rPr>
            </w:pPr>
            <w:r>
              <w:rPr>
                <w:rFonts w:hint="default" w:ascii="Times New Roman Regular" w:hAnsi="Times New Roman Regular" w:cs="Times New Roman Regular"/>
                <w:sz w:val="22"/>
              </w:rPr>
              <w:t>Basic</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solution with limited application</w:t>
            </w:r>
            <w:r>
              <w:rPr>
                <w:rFonts w:hint="default" w:ascii="Times New Roman Regular" w:hAnsi="Times New Roman Regular" w:cs="Times New Roman Regular"/>
                <w:spacing w:val="-10"/>
                <w:sz w:val="22"/>
              </w:rPr>
              <w:t xml:space="preserve"> </w:t>
            </w:r>
            <w:r>
              <w:rPr>
                <w:rFonts w:hint="default" w:ascii="Times New Roman Regular" w:hAnsi="Times New Roman Regular" w:cs="Times New Roman Regular"/>
                <w:sz w:val="22"/>
              </w:rPr>
              <w:t xml:space="preserve">of </w:t>
            </w:r>
            <w:r>
              <w:rPr>
                <w:rFonts w:hint="default" w:ascii="Times New Roman Regular" w:hAnsi="Times New Roman Regular" w:cs="Times New Roman Regular"/>
                <w:spacing w:val="-2"/>
                <w:sz w:val="22"/>
              </w:rPr>
              <w:t>software engineering principles.</w:t>
            </w:r>
          </w:p>
        </w:tc>
        <w:tc>
          <w:tcPr>
            <w:tcW w:w="2131" w:type="dxa"/>
            <w:tcBorders>
              <w:top w:val="single" w:color="9DC3E6" w:sz="4" w:space="0"/>
              <w:left w:val="single" w:color="9DC3E6" w:sz="4" w:space="0"/>
              <w:bottom w:val="single" w:color="9DC3E6" w:sz="4" w:space="0"/>
              <w:right w:val="single" w:color="9DC3E6" w:sz="4" w:space="0"/>
            </w:tcBorders>
            <w:shd w:val="clear" w:color="auto" w:fill="FFFAEB"/>
          </w:tcPr>
          <w:p w14:paraId="58CC1A57">
            <w:pPr>
              <w:pStyle w:val="20"/>
              <w:spacing w:before="0"/>
              <w:ind w:left="0"/>
              <w:rPr>
                <w:rFonts w:hint="default" w:ascii="Times New Roman Regular" w:hAnsi="Times New Roman Regular" w:cs="Times New Roman Regular"/>
                <w:b/>
                <w:sz w:val="22"/>
              </w:rPr>
            </w:pPr>
          </w:p>
          <w:p w14:paraId="54738602">
            <w:pPr>
              <w:pStyle w:val="20"/>
              <w:spacing w:before="0"/>
              <w:ind w:left="0"/>
              <w:rPr>
                <w:rFonts w:hint="default" w:ascii="Times New Roman Regular" w:hAnsi="Times New Roman Regular" w:cs="Times New Roman Regular"/>
                <w:b/>
                <w:sz w:val="22"/>
              </w:rPr>
            </w:pPr>
          </w:p>
          <w:p w14:paraId="0270EBA0">
            <w:pPr>
              <w:pStyle w:val="20"/>
              <w:spacing w:before="91"/>
              <w:ind w:left="0"/>
              <w:rPr>
                <w:rFonts w:hint="default" w:ascii="Times New Roman Regular" w:hAnsi="Times New Roman Regular" w:cs="Times New Roman Regular"/>
                <w:b/>
                <w:sz w:val="22"/>
              </w:rPr>
            </w:pPr>
          </w:p>
          <w:p w14:paraId="60AAEDB2">
            <w:pPr>
              <w:pStyle w:val="20"/>
              <w:spacing w:before="0"/>
              <w:ind w:left="106" w:right="431"/>
              <w:rPr>
                <w:rFonts w:hint="default" w:ascii="Times New Roman Regular" w:hAnsi="Times New Roman Regular" w:cs="Times New Roman Regular"/>
                <w:sz w:val="22"/>
              </w:rPr>
            </w:pPr>
            <w:r>
              <w:rPr>
                <w:rFonts w:hint="default" w:ascii="Times New Roman Regular" w:hAnsi="Times New Roman Regular" w:cs="Times New Roman Regular"/>
                <w:sz w:val="22"/>
              </w:rPr>
              <w:t>Methodology is inappropriate,</w:t>
            </w:r>
            <w:r>
              <w:rPr>
                <w:rFonts w:hint="default" w:ascii="Times New Roman Regular" w:hAnsi="Times New Roman Regular" w:cs="Times New Roman Regular"/>
                <w:spacing w:val="-14"/>
                <w:sz w:val="22"/>
              </w:rPr>
              <w:t xml:space="preserve"> </w:t>
            </w:r>
            <w:r>
              <w:rPr>
                <w:rFonts w:hint="default" w:ascii="Times New Roman Regular" w:hAnsi="Times New Roman Regular" w:cs="Times New Roman Regular"/>
                <w:sz w:val="22"/>
              </w:rPr>
              <w:t xml:space="preserve">poorly justified, or not </w:t>
            </w:r>
            <w:r>
              <w:rPr>
                <w:rFonts w:hint="default" w:ascii="Times New Roman Regular" w:hAnsi="Times New Roman Regular" w:cs="Times New Roman Regular"/>
                <w:spacing w:val="-2"/>
                <w:sz w:val="22"/>
              </w:rPr>
              <w:t>discussed.</w:t>
            </w:r>
          </w:p>
        </w:tc>
      </w:tr>
      <w:tr w14:paraId="20DB4EAA">
        <w:trPr>
          <w:trHeight w:val="1854" w:hRule="atLeast"/>
        </w:trPr>
        <w:tc>
          <w:tcPr>
            <w:tcW w:w="1625" w:type="dxa"/>
            <w:tcBorders>
              <w:top w:val="single" w:color="9DC3E6" w:sz="4" w:space="0"/>
              <w:left w:val="single" w:color="9DC3E6" w:sz="4" w:space="0"/>
              <w:bottom w:val="single" w:color="9DC3E6" w:sz="4" w:space="0"/>
              <w:right w:val="single" w:color="9DC3E6" w:sz="4" w:space="0"/>
            </w:tcBorders>
            <w:shd w:val="clear" w:color="auto" w:fill="EBF3FA"/>
          </w:tcPr>
          <w:p w14:paraId="426BB450">
            <w:pPr>
              <w:pStyle w:val="20"/>
              <w:ind w:right="243"/>
              <w:rPr>
                <w:rFonts w:hint="default" w:ascii="Times New Roman Regular" w:hAnsi="Times New Roman Regular" w:cs="Times New Roman Regular"/>
                <w:sz w:val="22"/>
              </w:rPr>
            </w:pPr>
            <w:r>
              <w:rPr>
                <w:rFonts w:hint="default" w:ascii="Times New Roman Regular" w:hAnsi="Times New Roman Regular" w:cs="Times New Roman Regular"/>
                <w:spacing w:val="-2"/>
                <w:sz w:val="22"/>
              </w:rPr>
              <w:t>Methodology/ Framework Justification (10%)</w:t>
            </w:r>
          </w:p>
        </w:tc>
        <w:tc>
          <w:tcPr>
            <w:tcW w:w="2006" w:type="dxa"/>
            <w:tcBorders>
              <w:top w:val="single" w:color="9DC3E6" w:sz="4" w:space="0"/>
              <w:left w:val="single" w:color="9DC3E6" w:sz="4" w:space="0"/>
              <w:bottom w:val="single" w:color="9DC3E6" w:sz="4" w:space="0"/>
              <w:right w:val="single" w:color="9DC3E6" w:sz="4" w:space="0"/>
            </w:tcBorders>
            <w:shd w:val="clear" w:color="auto" w:fill="D5E3EF"/>
          </w:tcPr>
          <w:p w14:paraId="482D699E">
            <w:pPr>
              <w:pStyle w:val="20"/>
              <w:rPr>
                <w:rFonts w:hint="default" w:ascii="Times New Roman Regular" w:hAnsi="Times New Roman Regular" w:cs="Times New Roman Regular"/>
                <w:sz w:val="22"/>
              </w:rPr>
            </w:pPr>
            <w:r>
              <w:rPr>
                <w:rFonts w:hint="default" w:ascii="Times New Roman Regular" w:hAnsi="Times New Roman Regular" w:cs="Times New Roman Regular"/>
                <w:sz w:val="22"/>
              </w:rPr>
              <w:t xml:space="preserve">Selects the most </w:t>
            </w:r>
            <w:r>
              <w:rPr>
                <w:rFonts w:hint="default" w:ascii="Times New Roman Regular" w:hAnsi="Times New Roman Regular" w:cs="Times New Roman Regular"/>
                <w:spacing w:val="-2"/>
                <w:sz w:val="22"/>
              </w:rPr>
              <w:t xml:space="preserve">suitable SDLC/model/framew </w:t>
            </w:r>
            <w:r>
              <w:rPr>
                <w:rFonts w:hint="default" w:ascii="Times New Roman Regular" w:hAnsi="Times New Roman Regular" w:cs="Times New Roman Regular"/>
                <w:sz w:val="22"/>
              </w:rPr>
              <w:t xml:space="preserve">ork and provides strong technical </w:t>
            </w:r>
            <w:r>
              <w:rPr>
                <w:rFonts w:hint="default" w:ascii="Times New Roman Regular" w:hAnsi="Times New Roman Regular" w:cs="Times New Roman Regular"/>
                <w:spacing w:val="-2"/>
                <w:sz w:val="22"/>
              </w:rPr>
              <w:t>justification.</w:t>
            </w:r>
          </w:p>
        </w:tc>
        <w:tc>
          <w:tcPr>
            <w:tcW w:w="1880" w:type="dxa"/>
            <w:tcBorders>
              <w:top w:val="single" w:color="9DC3E6" w:sz="4" w:space="0"/>
              <w:left w:val="single" w:color="9DC3E6" w:sz="4" w:space="0"/>
              <w:bottom w:val="single" w:color="9DC3E6" w:sz="4" w:space="0"/>
              <w:right w:val="single" w:color="9DC3E6" w:sz="4" w:space="0"/>
            </w:tcBorders>
            <w:shd w:val="clear" w:color="auto" w:fill="EFFFF4"/>
          </w:tcPr>
          <w:p w14:paraId="239AB8FA">
            <w:pPr>
              <w:pStyle w:val="20"/>
              <w:ind w:right="745"/>
              <w:rPr>
                <w:rFonts w:hint="default" w:ascii="Times New Roman Regular" w:hAnsi="Times New Roman Regular" w:cs="Times New Roman Regular"/>
                <w:sz w:val="22"/>
              </w:rPr>
            </w:pPr>
            <w:r>
              <w:rPr>
                <w:rFonts w:hint="default" w:ascii="Times New Roman Regular" w:hAnsi="Times New Roman Regular" w:cs="Times New Roman Regular"/>
                <w:spacing w:val="-2"/>
                <w:sz w:val="22"/>
              </w:rPr>
              <w:t xml:space="preserve">Suitable methodology </w:t>
            </w:r>
            <w:r>
              <w:rPr>
                <w:rFonts w:hint="default" w:ascii="Times New Roman Regular" w:hAnsi="Times New Roman Regular" w:cs="Times New Roman Regular"/>
                <w:sz w:val="22"/>
              </w:rPr>
              <w:t>selected</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 xml:space="preserve">with </w:t>
            </w:r>
            <w:r>
              <w:rPr>
                <w:rFonts w:hint="default" w:ascii="Times New Roman Regular" w:hAnsi="Times New Roman Regular" w:cs="Times New Roman Regular"/>
                <w:spacing w:val="-2"/>
                <w:sz w:val="22"/>
              </w:rPr>
              <w:t>adequate justification.</w:t>
            </w:r>
          </w:p>
        </w:tc>
        <w:tc>
          <w:tcPr>
            <w:tcW w:w="1756" w:type="dxa"/>
            <w:tcBorders>
              <w:top w:val="single" w:color="9DC3E6" w:sz="4" w:space="0"/>
              <w:left w:val="single" w:color="9DC3E6" w:sz="4" w:space="0"/>
              <w:bottom w:val="single" w:color="9DC3E6" w:sz="4" w:space="0"/>
              <w:right w:val="single" w:color="9DC3E6" w:sz="4" w:space="0"/>
            </w:tcBorders>
            <w:shd w:val="clear" w:color="auto" w:fill="FFFAEB"/>
          </w:tcPr>
          <w:p w14:paraId="44F93EF8">
            <w:pPr>
              <w:pStyle w:val="20"/>
              <w:ind w:right="528"/>
              <w:rPr>
                <w:rFonts w:hint="default" w:ascii="Times New Roman Regular" w:hAnsi="Times New Roman Regular" w:cs="Times New Roman Regular"/>
                <w:sz w:val="22"/>
              </w:rPr>
            </w:pPr>
            <w:r>
              <w:rPr>
                <w:rFonts w:hint="default" w:ascii="Times New Roman Regular" w:hAnsi="Times New Roman Regular" w:cs="Times New Roman Regular"/>
                <w:spacing w:val="-2"/>
                <w:sz w:val="22"/>
              </w:rPr>
              <w:t xml:space="preserve">Methodology </w:t>
            </w:r>
            <w:r>
              <w:rPr>
                <w:rFonts w:hint="default" w:ascii="Times New Roman Regular" w:hAnsi="Times New Roman Regular" w:cs="Times New Roman Regular"/>
                <w:sz w:val="22"/>
              </w:rPr>
              <w:t>selected but justification</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 xml:space="preserve">is </w:t>
            </w:r>
            <w:r>
              <w:rPr>
                <w:rFonts w:hint="default" w:ascii="Times New Roman Regular" w:hAnsi="Times New Roman Regular" w:cs="Times New Roman Regular"/>
                <w:spacing w:val="-2"/>
                <w:sz w:val="22"/>
              </w:rPr>
              <w:t>weak.</w:t>
            </w:r>
          </w:p>
        </w:tc>
        <w:tc>
          <w:tcPr>
            <w:tcW w:w="2131" w:type="dxa"/>
            <w:tcBorders>
              <w:top w:val="single" w:color="9DC3E6" w:sz="4" w:space="0"/>
              <w:left w:val="single" w:color="9DC3E6" w:sz="4" w:space="0"/>
              <w:bottom w:val="single" w:color="9DC3E6" w:sz="4" w:space="0"/>
              <w:right w:val="single" w:color="9DC3E6" w:sz="4" w:space="0"/>
            </w:tcBorders>
            <w:shd w:val="clear" w:color="auto" w:fill="FFFAEB"/>
          </w:tcPr>
          <w:p w14:paraId="0FDAF756">
            <w:pPr>
              <w:pStyle w:val="20"/>
              <w:spacing w:before="83"/>
              <w:ind w:left="0"/>
              <w:rPr>
                <w:rFonts w:hint="default" w:ascii="Times New Roman Regular" w:hAnsi="Times New Roman Regular" w:cs="Times New Roman Regular"/>
                <w:b/>
                <w:sz w:val="22"/>
              </w:rPr>
            </w:pPr>
          </w:p>
          <w:p w14:paraId="526F2C1E">
            <w:pPr>
              <w:pStyle w:val="20"/>
              <w:spacing w:before="1"/>
              <w:ind w:left="106" w:right="133"/>
              <w:rPr>
                <w:rFonts w:hint="default" w:ascii="Times New Roman Regular" w:hAnsi="Times New Roman Regular" w:cs="Times New Roman Regular"/>
                <w:sz w:val="22"/>
              </w:rPr>
            </w:pPr>
            <w:r>
              <w:rPr>
                <w:rFonts w:hint="default" w:ascii="Times New Roman Regular" w:hAnsi="Times New Roman Regular" w:cs="Times New Roman Regular"/>
                <w:sz w:val="22"/>
              </w:rPr>
              <w:t>Outcomes, limitations, or future enhancements are</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missing;</w:t>
            </w:r>
            <w:r>
              <w:rPr>
                <w:rFonts w:hint="default" w:ascii="Times New Roman Regular" w:hAnsi="Times New Roman Regular" w:cs="Times New Roman Regular"/>
                <w:spacing w:val="-13"/>
                <w:sz w:val="22"/>
              </w:rPr>
              <w:t xml:space="preserve"> </w:t>
            </w:r>
            <w:r>
              <w:rPr>
                <w:rFonts w:hint="default" w:ascii="Times New Roman Regular" w:hAnsi="Times New Roman Regular" w:cs="Times New Roman Regular"/>
                <w:sz w:val="22"/>
              </w:rPr>
              <w:t>report</w:t>
            </w:r>
            <w:r>
              <w:rPr>
                <w:rFonts w:hint="default" w:ascii="Times New Roman Regular" w:hAnsi="Times New Roman Regular" w:cs="Times New Roman Regular"/>
                <w:spacing w:val="-10"/>
                <w:sz w:val="22"/>
              </w:rPr>
              <w:t xml:space="preserve"> </w:t>
            </w:r>
            <w:r>
              <w:rPr>
                <w:rFonts w:hint="default" w:ascii="Times New Roman Regular" w:hAnsi="Times New Roman Regular" w:cs="Times New Roman Regular"/>
                <w:sz w:val="22"/>
              </w:rPr>
              <w:t>lacks organization</w:t>
            </w:r>
            <w:r>
              <w:rPr>
                <w:rFonts w:hint="default" w:ascii="Times New Roman Regular" w:hAnsi="Times New Roman Regular" w:cs="Times New Roman Regular"/>
                <w:spacing w:val="-4"/>
                <w:sz w:val="22"/>
              </w:rPr>
              <w:t xml:space="preserve"> </w:t>
            </w:r>
            <w:r>
              <w:rPr>
                <w:rFonts w:hint="default" w:ascii="Times New Roman Regular" w:hAnsi="Times New Roman Regular" w:cs="Times New Roman Regular"/>
                <w:sz w:val="22"/>
              </w:rPr>
              <w:t>and</w:t>
            </w:r>
            <w:r>
              <w:rPr>
                <w:rFonts w:hint="default" w:ascii="Times New Roman Regular" w:hAnsi="Times New Roman Regular" w:cs="Times New Roman Regular"/>
                <w:spacing w:val="-4"/>
                <w:sz w:val="22"/>
              </w:rPr>
              <w:t xml:space="preserve"> </w:t>
            </w:r>
            <w:r>
              <w:rPr>
                <w:rFonts w:hint="default" w:ascii="Times New Roman Regular" w:hAnsi="Times New Roman Regular" w:cs="Times New Roman Regular"/>
                <w:spacing w:val="-2"/>
                <w:sz w:val="22"/>
              </w:rPr>
              <w:t>clarity.</w:t>
            </w:r>
          </w:p>
        </w:tc>
      </w:tr>
    </w:tbl>
    <w:p w14:paraId="5F800EEF">
      <w:pPr>
        <w:pStyle w:val="4"/>
        <w:spacing w:before="81" w:after="20" w:line="240" w:lineRule="auto"/>
        <w:ind w:left="360" w:firstLine="0"/>
        <w:rPr>
          <w:rFonts w:hint="default" w:ascii="Times New Roman Regular" w:hAnsi="Times New Roman Regular" w:cs="Times New Roman Regular"/>
          <w:color w:val="1F4E79"/>
          <w:spacing w:val="-2"/>
        </w:rPr>
      </w:pPr>
    </w:p>
    <w:p w14:paraId="0494D40B">
      <w:pPr>
        <w:pStyle w:val="10"/>
        <w:spacing w:line="240" w:lineRule="auto"/>
        <w:ind w:left="0" w:firstLine="0"/>
        <w:rPr>
          <w:rFonts w:hint="default" w:ascii="Times New Roman Regular" w:hAnsi="Times New Roman Regular" w:cs="Times New Roman Regular"/>
          <w:b/>
          <w:sz w:val="20"/>
        </w:rPr>
      </w:pPr>
    </w:p>
    <w:tbl>
      <w:tblPr>
        <w:tblStyle w:val="9"/>
        <w:tblpPr w:leftFromText="180" w:rightFromText="180" w:vertAnchor="text" w:horzAnchor="page" w:tblpX="3157" w:tblpY="386"/>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58"/>
        <w:gridCol w:w="1429"/>
      </w:tblGrid>
      <w:tr w14:paraId="1FA54DEF">
        <w:trPr>
          <w:trHeight w:val="258" w:hRule="atLeast"/>
        </w:trPr>
        <w:tc>
          <w:tcPr>
            <w:tcW w:w="4758" w:type="dxa"/>
          </w:tcPr>
          <w:p w14:paraId="6A969132">
            <w:pPr>
              <w:pStyle w:val="20"/>
              <w:spacing w:before="0" w:line="239" w:lineRule="exact"/>
              <w:ind w:left="9"/>
              <w:jc w:val="center"/>
              <w:rPr>
                <w:rFonts w:hint="default" w:ascii="Times New Roman Regular" w:hAnsi="Times New Roman Regular" w:cs="Times New Roman Regular"/>
                <w:sz w:val="22"/>
              </w:rPr>
            </w:pPr>
            <w:r>
              <w:rPr>
                <w:rFonts w:hint="default" w:ascii="Times New Roman Regular" w:hAnsi="Times New Roman Regular" w:cs="Times New Roman Regular"/>
                <w:spacing w:val="-2"/>
                <w:sz w:val="22"/>
              </w:rPr>
              <w:t>Criteria</w:t>
            </w:r>
          </w:p>
        </w:tc>
        <w:tc>
          <w:tcPr>
            <w:tcW w:w="1429" w:type="dxa"/>
          </w:tcPr>
          <w:p w14:paraId="4AD2F7E5">
            <w:pPr>
              <w:pStyle w:val="20"/>
              <w:spacing w:before="0" w:line="239" w:lineRule="exact"/>
              <w:ind w:left="6" w:right="3"/>
              <w:jc w:val="center"/>
              <w:rPr>
                <w:rFonts w:hint="default" w:ascii="Times New Roman Regular" w:hAnsi="Times New Roman Regular" w:cs="Times New Roman Regular"/>
                <w:b/>
                <w:sz w:val="22"/>
              </w:rPr>
            </w:pPr>
            <w:r>
              <w:rPr>
                <w:rFonts w:hint="default" w:ascii="Times New Roman Regular" w:hAnsi="Times New Roman Regular" w:cs="Times New Roman Regular"/>
                <w:b/>
                <w:spacing w:val="-4"/>
                <w:sz w:val="22"/>
              </w:rPr>
              <w:t>Mark</w:t>
            </w:r>
          </w:p>
        </w:tc>
      </w:tr>
      <w:tr w14:paraId="00848C92">
        <w:trPr>
          <w:trHeight w:val="256" w:hRule="atLeast"/>
        </w:trPr>
        <w:tc>
          <w:tcPr>
            <w:tcW w:w="4758" w:type="dxa"/>
          </w:tcPr>
          <w:p w14:paraId="58E1EC94">
            <w:pPr>
              <w:pStyle w:val="20"/>
              <w:spacing w:before="0" w:line="236" w:lineRule="exact"/>
              <w:ind w:left="107"/>
              <w:rPr>
                <w:rFonts w:hint="default" w:ascii="Times New Roman Regular" w:hAnsi="Times New Roman Regular" w:cs="Times New Roman Regular"/>
                <w:sz w:val="22"/>
              </w:rPr>
            </w:pPr>
            <w:r>
              <w:rPr>
                <w:rFonts w:hint="default" w:ascii="Times New Roman Regular" w:hAnsi="Times New Roman Regular" w:cs="Times New Roman Regular"/>
                <w:sz w:val="22"/>
              </w:rPr>
              <w:t>Problem</w:t>
            </w:r>
            <w:r>
              <w:rPr>
                <w:rFonts w:hint="default" w:ascii="Times New Roman Regular" w:hAnsi="Times New Roman Regular" w:cs="Times New Roman Regular"/>
                <w:spacing w:val="-8"/>
                <w:sz w:val="22"/>
              </w:rPr>
              <w:t xml:space="preserve"> </w:t>
            </w:r>
            <w:r>
              <w:rPr>
                <w:rFonts w:hint="default" w:ascii="Times New Roman Regular" w:hAnsi="Times New Roman Regular" w:cs="Times New Roman Regular"/>
                <w:sz w:val="22"/>
              </w:rPr>
              <w:t>Understanding</w:t>
            </w:r>
            <w:r>
              <w:rPr>
                <w:rFonts w:hint="default" w:ascii="Times New Roman Regular" w:hAnsi="Times New Roman Regular" w:cs="Times New Roman Regular"/>
                <w:spacing w:val="-4"/>
                <w:sz w:val="22"/>
              </w:rPr>
              <w:t xml:space="preserve"> </w:t>
            </w:r>
            <w:r>
              <w:rPr>
                <w:rFonts w:hint="default" w:ascii="Times New Roman Regular" w:hAnsi="Times New Roman Regular" w:cs="Times New Roman Regular"/>
                <w:spacing w:val="-2"/>
                <w:sz w:val="22"/>
              </w:rPr>
              <w:t>(30%)</w:t>
            </w:r>
          </w:p>
        </w:tc>
        <w:tc>
          <w:tcPr>
            <w:tcW w:w="1429" w:type="dxa"/>
          </w:tcPr>
          <w:p w14:paraId="38B3BAB8">
            <w:pPr>
              <w:pStyle w:val="20"/>
              <w:spacing w:before="0" w:line="236" w:lineRule="exact"/>
              <w:ind w:left="6"/>
              <w:jc w:val="center"/>
              <w:rPr>
                <w:rFonts w:hint="default" w:ascii="Times New Roman Regular" w:hAnsi="Times New Roman Regular" w:cs="Times New Roman Regular"/>
                <w:sz w:val="22"/>
              </w:rPr>
            </w:pPr>
            <w:r>
              <w:rPr>
                <w:rFonts w:hint="default" w:ascii="Times New Roman Regular" w:hAnsi="Times New Roman Regular" w:cs="Times New Roman Regular"/>
                <w:spacing w:val="-5"/>
                <w:sz w:val="22"/>
              </w:rPr>
              <w:t>/5</w:t>
            </w:r>
          </w:p>
        </w:tc>
      </w:tr>
      <w:tr w14:paraId="25A85BE1">
        <w:trPr>
          <w:trHeight w:val="259" w:hRule="atLeast"/>
        </w:trPr>
        <w:tc>
          <w:tcPr>
            <w:tcW w:w="4758" w:type="dxa"/>
          </w:tcPr>
          <w:p w14:paraId="28597746">
            <w:pPr>
              <w:pStyle w:val="20"/>
              <w:spacing w:before="0" w:line="239" w:lineRule="exact"/>
              <w:ind w:left="107"/>
              <w:rPr>
                <w:rFonts w:hint="default" w:ascii="Times New Roman Regular" w:hAnsi="Times New Roman Regular" w:cs="Times New Roman Regular"/>
                <w:sz w:val="22"/>
              </w:rPr>
            </w:pPr>
            <w:r>
              <w:rPr>
                <w:rFonts w:hint="default" w:ascii="Times New Roman Regular" w:hAnsi="Times New Roman Regular" w:cs="Times New Roman Regular"/>
                <w:sz w:val="22"/>
              </w:rPr>
              <w:t>Stakeholder</w:t>
            </w:r>
            <w:r>
              <w:rPr>
                <w:rFonts w:hint="default" w:ascii="Times New Roman Regular" w:hAnsi="Times New Roman Regular" w:cs="Times New Roman Regular"/>
                <w:spacing w:val="-5"/>
                <w:sz w:val="22"/>
              </w:rPr>
              <w:t xml:space="preserve"> </w:t>
            </w:r>
            <w:r>
              <w:rPr>
                <w:rFonts w:hint="default" w:ascii="Times New Roman Regular" w:hAnsi="Times New Roman Regular" w:cs="Times New Roman Regular"/>
                <w:sz w:val="22"/>
              </w:rPr>
              <w:t>&amp;</w:t>
            </w:r>
            <w:r>
              <w:rPr>
                <w:rFonts w:hint="default" w:ascii="Times New Roman Regular" w:hAnsi="Times New Roman Regular" w:cs="Times New Roman Regular"/>
                <w:spacing w:val="-5"/>
                <w:sz w:val="22"/>
              </w:rPr>
              <w:t xml:space="preserve"> </w:t>
            </w:r>
            <w:r>
              <w:rPr>
                <w:rFonts w:hint="default" w:ascii="Times New Roman Regular" w:hAnsi="Times New Roman Regular" w:cs="Times New Roman Regular"/>
                <w:sz w:val="22"/>
              </w:rPr>
              <w:t>Challenge</w:t>
            </w:r>
            <w:r>
              <w:rPr>
                <w:rFonts w:hint="default" w:ascii="Times New Roman Regular" w:hAnsi="Times New Roman Regular" w:cs="Times New Roman Regular"/>
                <w:spacing w:val="-6"/>
                <w:sz w:val="22"/>
              </w:rPr>
              <w:t xml:space="preserve"> </w:t>
            </w:r>
            <w:r>
              <w:rPr>
                <w:rFonts w:hint="default" w:ascii="Times New Roman Regular" w:hAnsi="Times New Roman Regular" w:cs="Times New Roman Regular"/>
                <w:sz w:val="22"/>
              </w:rPr>
              <w:t>Analysis</w:t>
            </w:r>
            <w:r>
              <w:rPr>
                <w:rFonts w:hint="default" w:ascii="Times New Roman Regular" w:hAnsi="Times New Roman Regular" w:cs="Times New Roman Regular"/>
                <w:spacing w:val="-3"/>
                <w:sz w:val="22"/>
              </w:rPr>
              <w:t xml:space="preserve"> </w:t>
            </w:r>
            <w:r>
              <w:rPr>
                <w:rFonts w:hint="default" w:ascii="Times New Roman Regular" w:hAnsi="Times New Roman Regular" w:cs="Times New Roman Regular"/>
                <w:spacing w:val="-2"/>
                <w:sz w:val="22"/>
              </w:rPr>
              <w:t>(25%)</w:t>
            </w:r>
          </w:p>
        </w:tc>
        <w:tc>
          <w:tcPr>
            <w:tcW w:w="1429" w:type="dxa"/>
          </w:tcPr>
          <w:p w14:paraId="4187FC24">
            <w:pPr>
              <w:pStyle w:val="20"/>
              <w:spacing w:before="0" w:line="239" w:lineRule="exact"/>
              <w:ind w:left="6"/>
              <w:jc w:val="center"/>
              <w:rPr>
                <w:rFonts w:hint="default" w:ascii="Times New Roman Regular" w:hAnsi="Times New Roman Regular" w:cs="Times New Roman Regular"/>
                <w:sz w:val="22"/>
              </w:rPr>
            </w:pPr>
            <w:r>
              <w:rPr>
                <w:rFonts w:hint="default" w:ascii="Times New Roman Regular" w:hAnsi="Times New Roman Regular" w:cs="Times New Roman Regular"/>
                <w:spacing w:val="-5"/>
                <w:sz w:val="22"/>
              </w:rPr>
              <w:t>/5</w:t>
            </w:r>
          </w:p>
        </w:tc>
      </w:tr>
      <w:tr w14:paraId="3282B5C0">
        <w:trPr>
          <w:trHeight w:val="258" w:hRule="atLeast"/>
        </w:trPr>
        <w:tc>
          <w:tcPr>
            <w:tcW w:w="4758" w:type="dxa"/>
          </w:tcPr>
          <w:p w14:paraId="6063F387">
            <w:pPr>
              <w:pStyle w:val="20"/>
              <w:spacing w:before="0" w:line="239" w:lineRule="exact"/>
              <w:ind w:left="107"/>
              <w:rPr>
                <w:rFonts w:hint="default" w:ascii="Times New Roman Regular" w:hAnsi="Times New Roman Regular" w:cs="Times New Roman Regular"/>
                <w:sz w:val="22"/>
              </w:rPr>
            </w:pPr>
            <w:r>
              <w:rPr>
                <w:rFonts w:hint="default" w:ascii="Times New Roman Regular" w:hAnsi="Times New Roman Regular" w:cs="Times New Roman Regular"/>
                <w:sz w:val="22"/>
              </w:rPr>
              <w:t>Current</w:t>
            </w:r>
            <w:r>
              <w:rPr>
                <w:rFonts w:hint="default" w:ascii="Times New Roman Regular" w:hAnsi="Times New Roman Regular" w:cs="Times New Roman Regular"/>
                <w:spacing w:val="-7"/>
                <w:sz w:val="22"/>
              </w:rPr>
              <w:t xml:space="preserve"> </w:t>
            </w:r>
            <w:r>
              <w:rPr>
                <w:rFonts w:hint="default" w:ascii="Times New Roman Regular" w:hAnsi="Times New Roman Regular" w:cs="Times New Roman Regular"/>
                <w:sz w:val="22"/>
              </w:rPr>
              <w:t>System</w:t>
            </w:r>
            <w:r>
              <w:rPr>
                <w:rFonts w:hint="default" w:ascii="Times New Roman Regular" w:hAnsi="Times New Roman Regular" w:cs="Times New Roman Regular"/>
                <w:spacing w:val="-5"/>
                <w:sz w:val="22"/>
              </w:rPr>
              <w:t xml:space="preserve"> </w:t>
            </w:r>
            <w:r>
              <w:rPr>
                <w:rFonts w:hint="default" w:ascii="Times New Roman Regular" w:hAnsi="Times New Roman Regular" w:cs="Times New Roman Regular"/>
                <w:sz w:val="22"/>
              </w:rPr>
              <w:t>Analysis</w:t>
            </w:r>
            <w:r>
              <w:rPr>
                <w:rFonts w:hint="default" w:ascii="Times New Roman Regular" w:hAnsi="Times New Roman Regular" w:cs="Times New Roman Regular"/>
                <w:spacing w:val="-3"/>
                <w:sz w:val="22"/>
              </w:rPr>
              <w:t xml:space="preserve"> </w:t>
            </w:r>
            <w:r>
              <w:rPr>
                <w:rFonts w:hint="default" w:ascii="Times New Roman Regular" w:hAnsi="Times New Roman Regular" w:cs="Times New Roman Regular"/>
                <w:spacing w:val="-2"/>
                <w:sz w:val="22"/>
              </w:rPr>
              <w:t>(20%)</w:t>
            </w:r>
          </w:p>
        </w:tc>
        <w:tc>
          <w:tcPr>
            <w:tcW w:w="1429" w:type="dxa"/>
          </w:tcPr>
          <w:p w14:paraId="08C3D065">
            <w:pPr>
              <w:pStyle w:val="20"/>
              <w:spacing w:before="0" w:line="239" w:lineRule="exact"/>
              <w:ind w:left="6"/>
              <w:jc w:val="center"/>
              <w:rPr>
                <w:rFonts w:hint="default" w:ascii="Times New Roman Regular" w:hAnsi="Times New Roman Regular" w:cs="Times New Roman Regular"/>
                <w:sz w:val="22"/>
              </w:rPr>
            </w:pPr>
            <w:r>
              <w:rPr>
                <w:rFonts w:hint="default" w:ascii="Times New Roman Regular" w:hAnsi="Times New Roman Regular" w:cs="Times New Roman Regular"/>
                <w:spacing w:val="-5"/>
                <w:sz w:val="22"/>
              </w:rPr>
              <w:t>/5</w:t>
            </w:r>
          </w:p>
        </w:tc>
      </w:tr>
      <w:tr w14:paraId="3B640D4D">
        <w:trPr>
          <w:trHeight w:val="515" w:hRule="atLeast"/>
        </w:trPr>
        <w:tc>
          <w:tcPr>
            <w:tcW w:w="4758" w:type="dxa"/>
          </w:tcPr>
          <w:p w14:paraId="123A5AED">
            <w:pPr>
              <w:pStyle w:val="20"/>
              <w:spacing w:before="0" w:line="256" w:lineRule="exact"/>
              <w:ind w:left="107"/>
              <w:rPr>
                <w:rFonts w:hint="default" w:ascii="Times New Roman Regular" w:hAnsi="Times New Roman Regular" w:cs="Times New Roman Regular"/>
                <w:sz w:val="22"/>
              </w:rPr>
            </w:pPr>
            <w:r>
              <w:rPr>
                <w:rFonts w:hint="default" w:ascii="Times New Roman Regular" w:hAnsi="Times New Roman Regular" w:cs="Times New Roman Regular"/>
                <w:sz w:val="22"/>
              </w:rPr>
              <w:t>Proposed</w:t>
            </w:r>
            <w:r>
              <w:rPr>
                <w:rFonts w:hint="default" w:ascii="Times New Roman Regular" w:hAnsi="Times New Roman Regular" w:cs="Times New Roman Regular"/>
                <w:spacing w:val="-8"/>
                <w:sz w:val="22"/>
              </w:rPr>
              <w:t xml:space="preserve"> </w:t>
            </w:r>
            <w:r>
              <w:rPr>
                <w:rFonts w:hint="default" w:ascii="Times New Roman Regular" w:hAnsi="Times New Roman Regular" w:cs="Times New Roman Regular"/>
                <w:sz w:val="22"/>
              </w:rPr>
              <w:t>Software</w:t>
            </w:r>
            <w:r>
              <w:rPr>
                <w:rFonts w:hint="default" w:ascii="Times New Roman Regular" w:hAnsi="Times New Roman Regular" w:cs="Times New Roman Regular"/>
                <w:spacing w:val="-10"/>
                <w:sz w:val="22"/>
              </w:rPr>
              <w:t xml:space="preserve"> </w:t>
            </w:r>
            <w:r>
              <w:rPr>
                <w:rFonts w:hint="default" w:ascii="Times New Roman Regular" w:hAnsi="Times New Roman Regular" w:cs="Times New Roman Regular"/>
                <w:sz w:val="22"/>
              </w:rPr>
              <w:t>Solution</w:t>
            </w:r>
            <w:r>
              <w:rPr>
                <w:rFonts w:hint="default" w:ascii="Times New Roman Regular" w:hAnsi="Times New Roman Regular" w:cs="Times New Roman Regular"/>
                <w:spacing w:val="-9"/>
                <w:sz w:val="22"/>
              </w:rPr>
              <w:t xml:space="preserve"> </w:t>
            </w:r>
            <w:r>
              <w:rPr>
                <w:rFonts w:hint="default" w:ascii="Times New Roman Regular" w:hAnsi="Times New Roman Regular" w:cs="Times New Roman Regular"/>
                <w:sz w:val="22"/>
              </w:rPr>
              <w:t>&amp;</w:t>
            </w:r>
            <w:r>
              <w:rPr>
                <w:rFonts w:hint="default" w:ascii="Times New Roman Regular" w:hAnsi="Times New Roman Regular" w:cs="Times New Roman Regular"/>
                <w:spacing w:val="-9"/>
                <w:sz w:val="22"/>
              </w:rPr>
              <w:t xml:space="preserve"> </w:t>
            </w:r>
            <w:r>
              <w:rPr>
                <w:rFonts w:hint="default" w:ascii="Times New Roman Regular" w:hAnsi="Times New Roman Regular" w:cs="Times New Roman Regular"/>
                <w:sz w:val="22"/>
              </w:rPr>
              <w:t>Software Engineering Principles (15%)</w:t>
            </w:r>
          </w:p>
        </w:tc>
        <w:tc>
          <w:tcPr>
            <w:tcW w:w="1429" w:type="dxa"/>
          </w:tcPr>
          <w:p w14:paraId="23F4829F">
            <w:pPr>
              <w:pStyle w:val="20"/>
              <w:spacing w:before="0" w:line="251" w:lineRule="exact"/>
              <w:ind w:left="6"/>
              <w:jc w:val="center"/>
              <w:rPr>
                <w:rFonts w:hint="default" w:ascii="Times New Roman Regular" w:hAnsi="Times New Roman Regular" w:cs="Times New Roman Regular"/>
                <w:sz w:val="22"/>
              </w:rPr>
            </w:pPr>
            <w:r>
              <w:rPr>
                <w:rFonts w:hint="default" w:ascii="Times New Roman Regular" w:hAnsi="Times New Roman Regular" w:cs="Times New Roman Regular"/>
                <w:spacing w:val="-5"/>
                <w:sz w:val="22"/>
              </w:rPr>
              <w:t>/5</w:t>
            </w:r>
          </w:p>
        </w:tc>
      </w:tr>
      <w:tr w14:paraId="0A8E7B99">
        <w:trPr>
          <w:trHeight w:val="256" w:hRule="atLeast"/>
        </w:trPr>
        <w:tc>
          <w:tcPr>
            <w:tcW w:w="4758" w:type="dxa"/>
          </w:tcPr>
          <w:p w14:paraId="60D10E27">
            <w:pPr>
              <w:pStyle w:val="20"/>
              <w:spacing w:before="0" w:line="236" w:lineRule="exact"/>
              <w:ind w:left="107"/>
              <w:rPr>
                <w:rFonts w:hint="default" w:ascii="Times New Roman Regular" w:hAnsi="Times New Roman Regular" w:cs="Times New Roman Regular"/>
                <w:sz w:val="22"/>
              </w:rPr>
            </w:pPr>
            <w:r>
              <w:rPr>
                <w:rFonts w:hint="default" w:ascii="Times New Roman Regular" w:hAnsi="Times New Roman Regular" w:cs="Times New Roman Regular"/>
                <w:sz w:val="22"/>
              </w:rPr>
              <w:t>Methodology/</w:t>
            </w:r>
            <w:r>
              <w:rPr>
                <w:rFonts w:hint="default" w:ascii="Times New Roman Regular" w:hAnsi="Times New Roman Regular" w:cs="Times New Roman Regular"/>
                <w:spacing w:val="-8"/>
                <w:sz w:val="22"/>
              </w:rPr>
              <w:t xml:space="preserve"> </w:t>
            </w:r>
            <w:r>
              <w:rPr>
                <w:rFonts w:hint="default" w:ascii="Times New Roman Regular" w:hAnsi="Times New Roman Regular" w:cs="Times New Roman Regular"/>
                <w:sz w:val="22"/>
              </w:rPr>
              <w:t>Framework</w:t>
            </w:r>
            <w:r>
              <w:rPr>
                <w:rFonts w:hint="default" w:ascii="Times New Roman Regular" w:hAnsi="Times New Roman Regular" w:cs="Times New Roman Regular"/>
                <w:spacing w:val="-8"/>
                <w:sz w:val="22"/>
              </w:rPr>
              <w:t xml:space="preserve"> </w:t>
            </w:r>
            <w:r>
              <w:rPr>
                <w:rFonts w:hint="default" w:ascii="Times New Roman Regular" w:hAnsi="Times New Roman Regular" w:cs="Times New Roman Regular"/>
                <w:sz w:val="22"/>
              </w:rPr>
              <w:t>Justification</w:t>
            </w:r>
            <w:r>
              <w:rPr>
                <w:rFonts w:hint="default" w:ascii="Times New Roman Regular" w:hAnsi="Times New Roman Regular" w:cs="Times New Roman Regular"/>
                <w:spacing w:val="-6"/>
                <w:sz w:val="22"/>
              </w:rPr>
              <w:t xml:space="preserve"> </w:t>
            </w:r>
            <w:r>
              <w:rPr>
                <w:rFonts w:hint="default" w:ascii="Times New Roman Regular" w:hAnsi="Times New Roman Regular" w:cs="Times New Roman Regular"/>
                <w:spacing w:val="-2"/>
                <w:sz w:val="22"/>
              </w:rPr>
              <w:t>(10%)</w:t>
            </w:r>
          </w:p>
        </w:tc>
        <w:tc>
          <w:tcPr>
            <w:tcW w:w="1429" w:type="dxa"/>
          </w:tcPr>
          <w:p w14:paraId="1243D3DE">
            <w:pPr>
              <w:pStyle w:val="20"/>
              <w:spacing w:before="0" w:line="236" w:lineRule="exact"/>
              <w:ind w:left="6"/>
              <w:jc w:val="center"/>
              <w:rPr>
                <w:rFonts w:hint="default" w:ascii="Times New Roman Regular" w:hAnsi="Times New Roman Regular" w:cs="Times New Roman Regular"/>
                <w:sz w:val="22"/>
              </w:rPr>
            </w:pPr>
            <w:r>
              <w:rPr>
                <w:rFonts w:hint="default" w:ascii="Times New Roman Regular" w:hAnsi="Times New Roman Regular" w:cs="Times New Roman Regular"/>
                <w:spacing w:val="-5"/>
                <w:sz w:val="22"/>
              </w:rPr>
              <w:t>/5</w:t>
            </w:r>
          </w:p>
        </w:tc>
      </w:tr>
      <w:tr w14:paraId="27700D9C">
        <w:trPr>
          <w:trHeight w:val="254" w:hRule="atLeast"/>
        </w:trPr>
        <w:tc>
          <w:tcPr>
            <w:tcW w:w="4758" w:type="dxa"/>
          </w:tcPr>
          <w:p w14:paraId="27C4D4A7">
            <w:pPr>
              <w:pStyle w:val="20"/>
              <w:spacing w:before="0" w:line="234" w:lineRule="exact"/>
              <w:ind w:left="0" w:right="95"/>
              <w:jc w:val="right"/>
              <w:rPr>
                <w:rFonts w:hint="default" w:ascii="Times New Roman Regular" w:hAnsi="Times New Roman Regular" w:cs="Times New Roman Regular"/>
                <w:b/>
                <w:sz w:val="22"/>
              </w:rPr>
            </w:pPr>
            <w:r>
              <w:rPr>
                <w:rFonts w:hint="default" w:ascii="Times New Roman Regular" w:hAnsi="Times New Roman Regular" w:cs="Times New Roman Regular"/>
                <w:b/>
                <w:spacing w:val="-2"/>
                <w:sz w:val="22"/>
              </w:rPr>
              <w:t>TOTAL</w:t>
            </w:r>
          </w:p>
        </w:tc>
        <w:tc>
          <w:tcPr>
            <w:tcW w:w="1429" w:type="dxa"/>
          </w:tcPr>
          <w:p w14:paraId="6A9FC44D">
            <w:pPr>
              <w:pStyle w:val="20"/>
              <w:spacing w:before="0" w:line="234" w:lineRule="exact"/>
              <w:ind w:left="6" w:right="1"/>
              <w:jc w:val="center"/>
              <w:rPr>
                <w:rFonts w:hint="default" w:ascii="Times New Roman Regular" w:hAnsi="Times New Roman Regular" w:cs="Times New Roman Regular"/>
                <w:sz w:val="22"/>
              </w:rPr>
            </w:pPr>
            <w:r>
              <w:rPr>
                <w:rFonts w:hint="default" w:ascii="Times New Roman Regular" w:hAnsi="Times New Roman Regular" w:cs="Times New Roman Regular"/>
                <w:spacing w:val="-5"/>
                <w:sz w:val="22"/>
              </w:rPr>
              <w:t>/25</w:t>
            </w:r>
          </w:p>
        </w:tc>
      </w:tr>
    </w:tbl>
    <w:p w14:paraId="2050B8A8">
      <w:pPr>
        <w:pStyle w:val="10"/>
        <w:spacing w:before="49" w:line="240" w:lineRule="auto"/>
        <w:ind w:left="0" w:firstLine="0"/>
        <w:rPr>
          <w:rFonts w:hint="default" w:ascii="Times New Roman Regular" w:hAnsi="Times New Roman Regular" w:cs="Times New Roman Regular"/>
          <w:b/>
          <w:sz w:val="20"/>
        </w:rPr>
      </w:pPr>
    </w:p>
    <w:p w14:paraId="74C3D5BB">
      <w:pPr>
        <w:rPr>
          <w:rFonts w:hint="default" w:ascii="Times New Roman Regular" w:hAnsi="Times New Roman Regular" w:cs="Times New Roman Regular"/>
        </w:rPr>
      </w:pPr>
    </w:p>
    <w:p w14:paraId="46328740">
      <w:pPr>
        <w:spacing w:after="90" w:line="259" w:lineRule="auto"/>
        <w:jc w:val="both"/>
        <w:rPr>
          <w:rFonts w:hint="default" w:ascii="Times New Roman Regular" w:hAnsi="Times New Roman Regular" w:cs="Times New Roman Regular"/>
          <w:color w:val="000000" w:themeColor="text1"/>
          <w:sz w:val="24"/>
          <w:szCs w:val="24"/>
          <w14:textFill>
            <w14:solidFill>
              <w14:schemeClr w14:val="tx1"/>
            </w14:solidFill>
          </w14:textFill>
        </w:rPr>
      </w:pPr>
    </w:p>
    <w:sectPr>
      <w:headerReference r:id="rId3" w:type="default"/>
      <w:pgSz w:w="11906" w:h="16838"/>
      <w:pgMar w:top="1200" w:right="1440" w:bottom="11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Cambria">
    <w:altName w:val="Thonburi"/>
    <w:panose1 w:val="00000000000000000000"/>
    <w:charset w:val="01"/>
    <w:family w:val="roman"/>
    <w:pitch w:val="default"/>
    <w:sig w:usb0="00000000" w:usb1="00000000" w:usb2="00000000" w:usb3="00000000" w:csb0="00000000" w:csb1="00000000"/>
  </w:font>
  <w:font w:name="Thonburi">
    <w:panose1 w:val="00000400000000000000"/>
    <w:charset w:val="00"/>
    <w:family w:val="auto"/>
    <w:pitch w:val="default"/>
    <w:sig w:usb0="01000000" w:usb1="00000000" w:usb2="00000000" w:usb3="00000000" w:csb0="20000193" w:csb1="4D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9C343">
    <w:pPr>
      <w:pBdr>
        <w:bottom w:val="single" w:color="BBBBBB" w:sz="4" w:space="3"/>
      </w:pBdr>
      <w:tabs>
        <w:tab w:val="right" w:pos="90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5F93DA"/>
    <w:multiLevelType w:val="multilevel"/>
    <w:tmpl w:val="B55F93DA"/>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840" w:hanging="360"/>
      </w:pPr>
      <w:rPr>
        <w:rFonts w:hint="default"/>
        <w:lang w:val="en-US" w:eastAsia="en-US" w:bidi="ar-SA"/>
      </w:rPr>
    </w:lvl>
    <w:lvl w:ilvl="3" w:tentative="0">
      <w:start w:val="0"/>
      <w:numFmt w:val="bullet"/>
      <w:lvlText w:val="•"/>
      <w:lvlJc w:val="left"/>
      <w:pPr>
        <w:ind w:left="3880" w:hanging="360"/>
      </w:pPr>
      <w:rPr>
        <w:rFonts w:hint="default"/>
        <w:lang w:val="en-US" w:eastAsia="en-US" w:bidi="ar-SA"/>
      </w:rPr>
    </w:lvl>
    <w:lvl w:ilvl="4" w:tentative="0">
      <w:start w:val="0"/>
      <w:numFmt w:val="bullet"/>
      <w:lvlText w:val="•"/>
      <w:lvlJc w:val="left"/>
      <w:pPr>
        <w:ind w:left="4920" w:hanging="360"/>
      </w:pPr>
      <w:rPr>
        <w:rFonts w:hint="default"/>
        <w:lang w:val="en-US" w:eastAsia="en-US" w:bidi="ar-SA"/>
      </w:rPr>
    </w:lvl>
    <w:lvl w:ilvl="5" w:tentative="0">
      <w:start w:val="0"/>
      <w:numFmt w:val="bullet"/>
      <w:lvlText w:val="•"/>
      <w:lvlJc w:val="left"/>
      <w:pPr>
        <w:ind w:left="5960" w:hanging="360"/>
      </w:pPr>
      <w:rPr>
        <w:rFonts w:hint="default"/>
        <w:lang w:val="en-US" w:eastAsia="en-US" w:bidi="ar-SA"/>
      </w:rPr>
    </w:lvl>
    <w:lvl w:ilvl="6" w:tentative="0">
      <w:start w:val="0"/>
      <w:numFmt w:val="bullet"/>
      <w:lvlText w:val="•"/>
      <w:lvlJc w:val="left"/>
      <w:pPr>
        <w:ind w:left="7000" w:hanging="360"/>
      </w:pPr>
      <w:rPr>
        <w:rFonts w:hint="default"/>
        <w:lang w:val="en-US" w:eastAsia="en-US" w:bidi="ar-SA"/>
      </w:rPr>
    </w:lvl>
    <w:lvl w:ilvl="7" w:tentative="0">
      <w:start w:val="0"/>
      <w:numFmt w:val="bullet"/>
      <w:lvlText w:val="•"/>
      <w:lvlJc w:val="left"/>
      <w:pPr>
        <w:ind w:left="8040" w:hanging="360"/>
      </w:pPr>
      <w:rPr>
        <w:rFonts w:hint="default"/>
        <w:lang w:val="en-US" w:eastAsia="en-US" w:bidi="ar-SA"/>
      </w:rPr>
    </w:lvl>
    <w:lvl w:ilvl="8" w:tentative="0">
      <w:start w:val="0"/>
      <w:numFmt w:val="bullet"/>
      <w:lvlText w:val="•"/>
      <w:lvlJc w:val="left"/>
      <w:pPr>
        <w:ind w:left="9080" w:hanging="360"/>
      </w:pPr>
      <w:rPr>
        <w:rFonts w:hint="default"/>
        <w:lang w:val="en-US" w:eastAsia="en-US" w:bidi="ar-SA"/>
      </w:rPr>
    </w:lvl>
  </w:abstractNum>
  <w:abstractNum w:abstractNumId="1">
    <w:nsid w:val="BEBAE505"/>
    <w:multiLevelType w:val="singleLevel"/>
    <w:tmpl w:val="BEBAE505"/>
    <w:lvl w:ilvl="0" w:tentative="0">
      <w:start w:val="1"/>
      <w:numFmt w:val="bullet"/>
      <w:lvlText w:val="•"/>
      <w:lvlJc w:val="left"/>
      <w:pPr>
        <w:ind w:left="540" w:hanging="270"/>
      </w:pPr>
    </w:lvl>
  </w:abstractNum>
  <w:abstractNum w:abstractNumId="2">
    <w:nsid w:val="EF373EF6"/>
    <w:multiLevelType w:val="singleLevel"/>
    <w:tmpl w:val="EF373EF6"/>
    <w:lvl w:ilvl="0" w:tentative="0">
      <w:start w:val="1"/>
      <w:numFmt w:val="decimal"/>
      <w:lvlText w:val="%1."/>
      <w:lvlJc w:val="left"/>
      <w:pPr>
        <w:ind w:left="540" w:hanging="300"/>
      </w:pPr>
    </w:lvl>
  </w:abstractNum>
  <w:num w:numId="1">
    <w:abstractNumId w:val="0"/>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56F586F1"/>
    <w:rsid w:val="CAD545ED"/>
    <w:rsid w:val="E7C41C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basedOn w:val="1"/>
    <w:qFormat/>
    <w:uiPriority w:val="0"/>
    <w:pPr>
      <w:pBdr>
        <w:bottom w:val="single" w:color="1E6B4A" w:sz="8" w:space="4"/>
      </w:pBdr>
      <w:spacing w:before="0" w:after="160"/>
      <w:outlineLvl w:val="0"/>
    </w:pPr>
    <w:rPr>
      <w:rFonts w:ascii="Calibri" w:hAnsi="Calibri" w:eastAsia="Calibri" w:cs="Calibri"/>
      <w:b/>
      <w:bCs/>
      <w:color w:val="1E6B4A"/>
      <w:sz w:val="34"/>
      <w:szCs w:val="34"/>
    </w:rPr>
  </w:style>
  <w:style w:type="paragraph" w:styleId="3">
    <w:name w:val="heading 2"/>
    <w:basedOn w:val="1"/>
    <w:qFormat/>
    <w:uiPriority w:val="0"/>
    <w:pPr>
      <w:keepNext/>
      <w:spacing w:before="200" w:after="90"/>
      <w:outlineLvl w:val="1"/>
    </w:pPr>
    <w:rPr>
      <w:rFonts w:ascii="Calibri" w:hAnsi="Calibri" w:eastAsia="Calibri" w:cs="Calibri"/>
      <w:b/>
      <w:bCs/>
      <w:color w:val="1B2B24"/>
      <w:sz w:val="25"/>
      <w:szCs w:val="25"/>
    </w:rPr>
  </w:style>
  <w:style w:type="paragraph" w:styleId="4">
    <w:name w:val="heading 3"/>
    <w:basedOn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pPr>
      <w:spacing w:line="253" w:lineRule="exact"/>
      <w:ind w:left="1799" w:hanging="359"/>
    </w:pPr>
    <w:rPr>
      <w:rFonts w:ascii="Times New Roman" w:hAnsi="Times New Roman" w:eastAsia="Times New Roman" w:cs="Times New Roman"/>
      <w:sz w:val="22"/>
      <w:szCs w:val="22"/>
      <w:lang w:val="en-US" w:eastAsia="en-US" w:bidi="ar-SA"/>
    </w:rPr>
  </w:style>
  <w:style w:type="character" w:styleId="11">
    <w:name w:val="endnote reference"/>
    <w:semiHidden/>
    <w:unhideWhenUsed/>
    <w:uiPriority w:val="99"/>
    <w:rPr>
      <w:vertAlign w:val="superscript"/>
    </w:rPr>
  </w:style>
  <w:style w:type="paragraph" w:styleId="12">
    <w:name w:val="endnote text"/>
    <w:link w:val="19"/>
    <w:semiHidden/>
    <w:unhideWhenUsed/>
    <w:uiPriority w:val="99"/>
    <w:pPr>
      <w:spacing w:after="0" w:line="240" w:lineRule="auto"/>
    </w:pPr>
    <w:rPr>
      <w:rFonts w:ascii="Calibri" w:hAnsi="Calibri" w:eastAsia="Calibri" w:cs="Calibri"/>
      <w:sz w:val="20"/>
      <w:szCs w:val="20"/>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Calibri" w:hAnsi="Calibri" w:eastAsia="Calibri" w:cs="Calibri"/>
      <w:sz w:val="20"/>
      <w:szCs w:val="20"/>
    </w:rPr>
  </w:style>
  <w:style w:type="character" w:styleId="15">
    <w:name w:val="Hyperlink"/>
    <w:unhideWhenUsed/>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basedOn w:val="1"/>
    <w:qFormat/>
    <w:uiPriority w:val="0"/>
    <w:rPr>
      <w:rFonts w:ascii="Calibri" w:hAnsi="Calibri" w:eastAsia="Calibri" w:cs="Calibri"/>
      <w:sz w:val="21"/>
      <w:szCs w:val="21"/>
    </w:rPr>
  </w:style>
  <w:style w:type="character" w:customStyle="1" w:styleId="18">
    <w:name w:val="Footnote Text Char"/>
    <w:link w:val="14"/>
    <w:semiHidden/>
    <w:unhideWhenUsed/>
    <w:uiPriority w:val="99"/>
    <w:rPr>
      <w:sz w:val="20"/>
      <w:szCs w:val="20"/>
    </w:rPr>
  </w:style>
  <w:style w:type="character" w:customStyle="1" w:styleId="19">
    <w:name w:val="Endnote Text Char"/>
    <w:link w:val="12"/>
    <w:semiHidden/>
    <w:unhideWhenUsed/>
    <w:uiPriority w:val="99"/>
    <w:rPr>
      <w:sz w:val="20"/>
      <w:szCs w:val="20"/>
    </w:rPr>
  </w:style>
  <w:style w:type="paragraph" w:customStyle="1" w:styleId="20">
    <w:name w:val="Table Paragraph"/>
    <w:basedOn w:val="1"/>
    <w:qFormat/>
    <w:uiPriority w:val="1"/>
    <w:pPr>
      <w:spacing w:before="69"/>
      <w:ind w:left="119"/>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TotalTime>1</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Analytics</dc:creator>
  <cp:lastModifiedBy>S Balu</cp:lastModifiedBy>
  <dcterms:modified xsi:type="dcterms:W3CDTF">2026-10-14T23:03:33Z</dcterms:modified>
  <dc:title>Smart Campus Energy &amp; Sustainability Platform - Data Analysis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1EE644B0FFC384F5EDBCCF6ABC7A83A9_43</vt:lpwstr>
  </property>
</Properties>
</file>