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DATA WAREHOUSING – CLASSROOM ACTIVITY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Name: Siva Balan K | Reg. No.: 192572037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Course: CSA1613- Data Warehousing and Data mining</w:t>
      </w:r>
    </w:p>
    <w:p>
      <w:pPr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Marks: 50                         Duration: 1 hour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Activity 1: Design a Star Schema (15 Marks)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Grain: One fact row represents one student’s result in one course in one semester. Each dimension has a surrogate primary key (PK); the fact table stores foreign keys (FKs).</w:t>
      </w:r>
    </w:p>
    <w:p>
      <w:r>
        <w:rPr>
          <w:rFonts w:ascii="Times New Roman" w:hAnsi="Times New Roman" w:eastAsia="Times New Roman" w:cs="Times New Roman"/>
          <w:color w:val="000000"/>
          <w:sz w:val="32"/>
        </w:rPr>
        <w:drawing>
          <wp:inline xmlns:a="http://schemas.openxmlformats.org/drawingml/2006/main" xmlns:pic="http://schemas.openxmlformats.org/drawingml/2006/picture">
            <wp:extent cx="6263640" cy="2135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3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Arrows show dimension-to-fact, one-to-many relationships.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Tables, attributes, and keys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FactPerformance: Performance_Key (PK); Student_Key, Course_Key, Department_Key, Semester_Key (FKs); Internal_Mark, Assignment_Mark, Model_Mark, Final_Mark, Total_Mark, Average_Mark, Attendance_Percent, Result_Status.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DimStudent: Student_Key (PK), Student_ID, Student_Name, Gender, Admission_Year.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DimCourse: Course_Key (PK), Course_Code, Course_Name, Credits, Course_Type.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DimDepartment: Department_Key (PK), Department_Code, Department_Name, Faculty_Name.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DimSemester: Semester_Key (PK), Semester_Number, Academic_Year, Start_Date, End_Date.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Each FK references the matching dimension PK. Enforce uniqueness on (Student_Key, Course_Key, Semester_Key). Department_Key represents the student’s department for that result. Total_Mark is the sum of four marks; Average_Mark is that sum divided by four. Use marks on comparable scales and calculate averages at the required reporting level.</w:t>
      </w:r>
    </w:p>
    <w:p>
      <w:r>
        <w:rPr>
          <w:rFonts w:ascii="Times New Roman" w:hAnsi="Times New Roman" w:eastAsia="Times New Roman" w:cs="Times New Roman"/>
          <w:color w:val="000000"/>
          <w:sz w:val="32"/>
        </w:rPr>
        <w:br w:type="page"/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Activity 2: Perform ETL Operations (10 Marks)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Extract admission, examination, and attendance records into a staging area. Retain source identifiers and original values for audit. The sample below uses one course and semester for each student.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Sample source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Source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Student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Raw values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Admission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S01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Anu; CSE; 15/07/2025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Admission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S01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Anu; CSE; 15/07/2025 (duplicate)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Admission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S02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Bala; Computer Science; 2025-07-16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Exam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S01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CSA1613; Sem 1; mark 78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Exam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S02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CSA1613; Sem 1; mark missing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Attendance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S01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CSA1613; Sem 1; 90%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Attendance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S02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CSA1613; Sem 1; 80%</w:t>
            </w:r>
          </w:p>
        </w:tc>
      </w:tr>
    </w:tbl>
    <w:p>
      <w:pPr>
        <w:widowControl/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Transformations performed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1. Trim spaces and standardize identifiers. Remove the exact duplicate admission row for S01. Resolve conflicting duplicates using a documented source-priority or latest-update rule.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2. Map “CSE” and “Computer Science” to the standard department name “Computer Science and Engineering”. Parse dates using the known source format; store dates as DATE values, displayed as YYYY-MM-DD.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3. Preserve the missing examination mark as NULL and set Mark_Status to “Pending”; do not invent an academic score. Convert attendance to a number and validate marks and attendance within 0–100.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4. Join admission by Student_ID; join exam and attendance by Student_ID, Course_Code, and Semester. Send invalid or unmatched records to an exception log.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Cleaned target: StudentAcademic_Stage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ID / Name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Dept. / Admission date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Mark / Attendance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S01 / Anu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CSE / 2025-07-15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78 / 90%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S02 / Bala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CSE / 2025-07-16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NULL / 80%</w:t>
            </w:r>
          </w:p>
        </w:tc>
      </w:tr>
    </w:tbl>
    <w:p>
      <w:pPr>
        <w:widowControl/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CSE above is the canonical department code; its dimension stores the full standardized name. Both rows refer to CSA1613, Semester 1. S01 has status “Available”; S02 has status “Pending”.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Load: Upsert dimensions, look up their surrogate keys, and load facts in a transaction. Use a unique student–course–semester key to prevent repeat loads. Reconcile source and target counts and log rejected rows.</w:t>
      </w:r>
    </w:p>
    <w:p>
      <w:r>
        <w:rPr>
          <w:rFonts w:ascii="Times New Roman" w:hAnsi="Times New Roman" w:eastAsia="Times New Roman" w:cs="Times New Roman"/>
          <w:color w:val="000000"/>
          <w:sz w:val="32"/>
        </w:rPr>
        <w:br w:type="page"/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Activity 3: OLAP Operations (15 Marks)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Dimensions: Time (Year → Month), Product, and Location. Measure: Sales_Amount (₹). The following illustrative dataset contains eight sales records; each row is a monthly aggregate.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Year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Month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Product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Location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Sales (₹)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Jan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Laptop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10000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Jan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Phone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Madurai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5000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Feb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Laptop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12000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Feb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Phone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Madurai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6000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Jan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Laptop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14000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Jan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Phone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Madurai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7000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Feb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Laptop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16000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Feb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Phone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Madurai</w:t>
            </w:r>
          </w:p>
        </w:tc>
        <w:tc>
          <w:tcPr>
            <w:tcW w:type="dxa" w:w="1979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8000</w:t>
            </w:r>
          </w:p>
        </w:tc>
      </w:tr>
    </w:tbl>
    <w:p>
      <w:pPr>
        <w:widowControl/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a) Roll-up: Monthly sales into yearly sales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Move upward from Month to Year and sum sales across products and locations. Only the months supplied in the sample contribute to each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</w:trPr>
        <w:tc>
          <w:tcPr>
            <w:tcW w:type="dxa" w:w="494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Year</w:t>
            </w:r>
          </w:p>
        </w:tc>
        <w:tc>
          <w:tcPr>
            <w:tcW w:type="dxa" w:w="494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Total sales (₹)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494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33,000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494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45,000</w:t>
            </w:r>
          </w:p>
        </w:tc>
      </w:tr>
    </w:tbl>
    <w:p>
      <w:pPr>
        <w:widowControl/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For 2025: 10,000 + 5,000 + 12,000 + 6,000 = ₹33,000.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b) Drill-down: Yearly sales into month-wise sales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Move down the Time hierarchy from Year to Month, using the underlying detailed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Year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Month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Total sales (₹)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Jan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15,000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Feb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18,000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Jan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21,000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Feb</w:t>
            </w:r>
          </w:p>
        </w:tc>
        <w:tc>
          <w:tcPr>
            <w:tcW w:type="dxa" w:w="3298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24,000</w:t>
            </w:r>
          </w:p>
        </w:tc>
      </w:tr>
    </w:tbl>
    <w:p>
      <w:pPr>
        <w:widowControl/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The 2026 total of ₹45,000 is explained by January ₹21,000 and February ₹24,000. A yearly total alone cannot reconstruct monthly detail; the warehouse must retain it.</w:t>
      </w:r>
    </w:p>
    <w:p>
      <w:r>
        <w:rPr>
          <w:rFonts w:ascii="Times New Roman" w:hAnsi="Times New Roman" w:eastAsia="Times New Roman" w:cs="Times New Roman"/>
          <w:color w:val="000000"/>
          <w:sz w:val="32"/>
        </w:rPr>
        <w:br w:type="page"/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Activity 3: OLAP Operations (continued)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c) Slice: Select one specific product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Fix Product = “Laptop”. This removes the varying Product dimension from the displayed result while retaining Time and Location.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Year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Month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Location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Sales (₹)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Jan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10,000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2025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Feb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12,000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Jan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14,000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Feb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16,000</w:t>
            </w:r>
          </w:p>
        </w:tc>
      </w:tr>
    </w:tbl>
    <w:p>
      <w:pPr>
        <w:widowControl/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Total laptop sales in the selected slice = ₹52,000.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d) Dice: Select a subcube using several dimensions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Select Product IN {Laptop, Phone}, Location IN {Chennai, Madurai}, Year = 2026, and Month = January. Apply all conditions together to obtain: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Year / Month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Product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Location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Sales (₹)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 / Jan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Laptop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Chennai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14,000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2026 / Jan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Phone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Madurai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7,000</w:t>
            </w:r>
          </w:p>
        </w:tc>
      </w:tr>
    </w:tbl>
    <w:p>
      <w:pPr>
        <w:widowControl/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The selected subcube totals ₹21,000. Dice applies a combination of restrictions across dimensions; unlike slice, it need not fix only one dimension to one value.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e) Pivot: Compare products across locations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Aggregate the full dataset over Time, place Product on rows and Location on columns, and sum Sales_Amount. This changes the orientation used to view the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Product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Chennai (₹)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Madurai (₹)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2"/>
              </w:rPr>
              <w:t>Total (₹)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Laptop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52,000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0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52,000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Phone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0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26,000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26,000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Total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52,000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26,000</w:t>
            </w:r>
          </w:p>
        </w:tc>
        <w:tc>
          <w:tcPr>
            <w:tcW w:type="dxa" w:w="2473"/>
          </w:tcPr>
          <w:p>
            <w:pPr>
              <w:spacing w:after="0" w:before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32"/>
              </w:rPr>
              <w:t>78,000</w:t>
            </w:r>
          </w:p>
        </w:tc>
      </w:tr>
    </w:tbl>
    <w:p>
      <w:pPr>
        <w:widowControl/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Zero means no sales records exist for that combination in this sample. Pivoting the table back would place locations on rows and products on columns without changing any totals.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Validation: ₹33,000 + ₹45,000 = ₹78,000, matching the pivot grand total. All operations use the same source data and the additive sales measure.</w:t>
      </w:r>
    </w:p>
    <w:p>
      <w:r>
        <w:rPr>
          <w:rFonts w:ascii="Times New Roman" w:hAnsi="Times New Roman" w:eastAsia="Times New Roman" w:cs="Times New Roman"/>
          <w:color w:val="000000"/>
          <w:sz w:val="32"/>
        </w:rPr>
        <w:br w:type="page"/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Activity 4: Hospital Warehouse Architecture (10 Marks)</w:t>
      </w:r>
    </w:p>
    <w:p>
      <w:r>
        <w:rPr>
          <w:rFonts w:ascii="Times New Roman" w:hAnsi="Times New Roman" w:eastAsia="Times New Roman" w:cs="Times New Roman"/>
          <w:color w:val="000000"/>
          <w:sz w:val="32"/>
        </w:rPr>
        <w:drawing>
          <wp:inline xmlns:a="http://schemas.openxmlformats.org/drawingml/2006/main" xmlns:pic="http://schemas.openxmlformats.org/drawingml/2006/picture">
            <wp:extent cx="6263640" cy="417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pit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Functions of the components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Sources: Registration supplies patient and visit details; laboratory supplies test results; pharmacy supplies dispensing records; billing supplies charges and payments.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ETL: Extract data, match patient identities, standardize codes and units, remove duplicates, validate records, and load the warehouse.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Staging: Temporarily stores source extracts for cleansing, reconciliation, and recovery before warehouse loading.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Central warehouse: Stores integrated historical data with shared Patient, Date, Department, and Clinician dimensions. Keep visits, tests, dispensing, and billing facts at their own grains to avoid double-counting.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Data marts: Provide subject-specific clinical, pharmacy, and finance views for each management team.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OLAP and reporting: OLAP enables multidimensional analysis; dashboards and reports present trends, indicators, and exceptions.</w:t>
      </w:r>
    </w:p>
    <w:p>
      <w:pPr>
        <w:widowControl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Decision support: Managers compare demand and revenue, monitor laboratory turnaround, plan medicine stock, and allocate staff. Shared dimensions support consistent comparisons. Apply role-based access, audit logging, and patient-data protection across the architecture.</w:t>
      </w:r>
    </w:p>
    <w:sectPr w:rsidR="00FC693F" w:rsidRPr="0006063C" w:rsidSect="00034616">
      <w:footerReference w:type="default" r:id="rId11"/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32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3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3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color w:val="000000"/>
      <w:sz w:val="3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3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3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  <w:sz w:val="3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  <w:sz w:val="3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  <w:sz w:val="3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3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3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  <w:sz w:val="3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  <w:sz w:val="3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  <w:sz w:val="3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  <w:sz w:val="3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  <w:sz w:val="3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  <w:sz w:val="3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  <w:sz w:val="3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  <w:sz w:val="3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  <w:sz w:val="3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  <w:sz w:val="3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3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3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3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3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3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  <w:sz w:val="32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  <w:sz w:val="3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  <w:sz w:val="3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  <w:sz w:val="3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sz w:val="3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3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Warehousing Activities – Star Schema, ETL, OLAP, and Architecture</dc:title>
  <dc:subject/>
  <dc:creator>Siva Balan 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