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600"/>
        <w:jc w:val="center"/>
      </w:pPr>
      <w:r>
        <w:rPr>
          <w:rFonts w:ascii="Calibri" w:cs="Calibri" w:eastAsia="Calibri" w:hAnsi="Calibri"/>
          <w:b/>
          <w:bCs/>
          <w:color w:val="000000"/>
          <w:sz w:val="36"/>
          <w:szCs w:val="36"/>
        </w:rPr>
        <w:t xml:space="preserve">SIMATS ENGINEERING</w:t>
      </w:r>
    </w:p>
    <w:p>
      <w:pPr>
        <w:spacing w:after="400"/>
      </w:pPr>
    </w:p>
    <w:tbl>
      <w:tblPr>
        <w:tblW w:type="dxa" w:w="8800"/>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5600"/>
      </w:tblGrid>
      <w:tr>
        <w:tc>
          <w:tcPr>
            <w:tcW w:type="dxa" w:w="3200"/>
            <w:shd w:fill="F2F2F2"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Assessment</w:t>
            </w:r>
          </w:p>
        </w:tc>
        <w:tc>
          <w:tcPr>
            <w:tcW w:type="dxa" w:w="5600"/>
            <w:tcMar>
              <w:top w:type="dxa" w:w="100"/>
              <w:left w:type="dxa" w:w="120"/>
              <w:bottom w:type="dxa" w:w="100"/>
              <w:right w:type="dxa" w:w="120"/>
            </w:tcMar>
            <w:vAlign w:val="center"/>
          </w:tcPr>
          <w:p>
            <w:r>
              <w:rPr>
                <w:rFonts w:ascii="Calibri" w:cs="Calibri" w:eastAsia="Calibri" w:hAnsi="Calibri"/>
                <w:color w:val="000000"/>
                <w:sz w:val="20"/>
                <w:szCs w:val="20"/>
              </w:rPr>
              <w:t xml:space="preserve">ASSESSMENT TOOL 1: Analytical Problem Solving</w:t>
            </w:r>
          </w:p>
        </w:tc>
      </w:tr>
      <w:tr>
        <w:tc>
          <w:tcPr>
            <w:tcW w:type="dxa" w:w="3200"/>
            <w:shd w:fill="F2F2F2"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Course Name</w:t>
            </w:r>
          </w:p>
        </w:tc>
        <w:tc>
          <w:tcPr>
            <w:tcW w:type="dxa" w:w="5600"/>
            <w:tcMar>
              <w:top w:type="dxa" w:w="100"/>
              <w:left w:type="dxa" w:w="120"/>
              <w:bottom w:type="dxa" w:w="100"/>
              <w:right w:type="dxa" w:w="120"/>
            </w:tcMar>
            <w:vAlign w:val="center"/>
          </w:tcPr>
          <w:p>
            <w:r>
              <w:rPr>
                <w:rFonts w:ascii="Calibri" w:cs="Calibri" w:eastAsia="Calibri" w:hAnsi="Calibri"/>
                <w:color w:val="000000"/>
                <w:sz w:val="20"/>
                <w:szCs w:val="20"/>
              </w:rPr>
              <w:t xml:space="preserve">Cloud Computing and Big Data Analytics</w:t>
            </w:r>
          </w:p>
        </w:tc>
      </w:tr>
      <w:tr>
        <w:tc>
          <w:tcPr>
            <w:tcW w:type="dxa" w:w="3200"/>
            <w:shd w:fill="F2F2F2"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Course Code</w:t>
            </w:r>
          </w:p>
        </w:tc>
        <w:tc>
          <w:tcPr>
            <w:tcW w:type="dxa" w:w="5600"/>
            <w:tcMar>
              <w:top w:type="dxa" w:w="100"/>
              <w:left w:type="dxa" w:w="120"/>
              <w:bottom w:type="dxa" w:w="100"/>
              <w:right w:type="dxa" w:w="120"/>
            </w:tcMar>
            <w:vAlign w:val="center"/>
          </w:tcPr>
          <w:p>
            <w:r>
              <w:rPr>
                <w:rFonts w:ascii="Calibri" w:cs="Calibri" w:eastAsia="Calibri" w:hAnsi="Calibri"/>
                <w:color w:val="000000"/>
                <w:sz w:val="20"/>
                <w:szCs w:val="20"/>
              </w:rPr>
              <w:t xml:space="preserve">CSA1516</w:t>
            </w:r>
          </w:p>
        </w:tc>
      </w:tr>
      <w:tr>
        <w:tc>
          <w:tcPr>
            <w:tcW w:type="dxa" w:w="3200"/>
            <w:shd w:fill="F2F2F2"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Name</w:t>
            </w:r>
          </w:p>
        </w:tc>
        <w:tc>
          <w:tcPr>
            <w:tcW w:type="dxa" w:w="5600"/>
            <w:tcMar>
              <w:top w:type="dxa" w:w="100"/>
              <w:left w:type="dxa" w:w="120"/>
              <w:bottom w:type="dxa" w:w="100"/>
              <w:right w:type="dxa" w:w="120"/>
            </w:tcMar>
            <w:vAlign w:val="center"/>
          </w:tcPr>
          <w:p>
            <w:r>
              <w:rPr>
                <w:rFonts w:ascii="Calibri" w:cs="Calibri" w:eastAsia="Calibri" w:hAnsi="Calibri"/>
                <w:color w:val="000000"/>
                <w:sz w:val="20"/>
                <w:szCs w:val="20"/>
              </w:rPr>
              <w:t xml:space="preserve">Y.Naga Giridhar</w:t>
            </w:r>
          </w:p>
        </w:tc>
      </w:tr>
      <w:tr>
        <w:tc>
          <w:tcPr>
            <w:tcW w:type="dxa" w:w="3200"/>
            <w:shd w:fill="F2F2F2"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Registration Number</w:t>
            </w:r>
          </w:p>
        </w:tc>
        <w:tc>
          <w:tcPr>
            <w:tcW w:type="dxa" w:w="5600"/>
            <w:tcMar>
              <w:top w:type="dxa" w:w="100"/>
              <w:left w:type="dxa" w:w="120"/>
              <w:bottom w:type="dxa" w:w="100"/>
              <w:right w:type="dxa" w:w="120"/>
            </w:tcMar>
            <w:vAlign w:val="center"/>
          </w:tcPr>
          <w:p>
            <w:r>
              <w:rPr>
                <w:rFonts w:ascii="Calibri" w:cs="Calibri" w:eastAsia="Calibri" w:hAnsi="Calibri"/>
                <w:color w:val="000000"/>
                <w:sz w:val="20"/>
                <w:szCs w:val="20"/>
              </w:rPr>
              <w:t xml:space="preserve">192572124</w:t>
            </w:r>
          </w:p>
        </w:tc>
      </w:tr>
    </w:tbl>
    <w:p>
      <w:r>
        <w:br w:type="page"/>
      </w:r>
    </w:p>
    <w:p>
      <w:pPr>
        <w:spacing w:after="160" w:before="0"/>
      </w:pPr>
      <w:r>
        <w:rPr>
          <w:rFonts w:ascii="Calibri" w:cs="Calibri" w:eastAsia="Calibri" w:hAnsi="Calibri"/>
          <w:b/>
          <w:bCs/>
          <w:color w:val="000000"/>
          <w:sz w:val="26"/>
          <w:szCs w:val="26"/>
        </w:rPr>
        <w:t xml:space="preserve">Question 1</w:t>
      </w:r>
    </w:p>
    <w:p>
      <w:pPr>
        <w:pBdr>
          <w:bottom w:val="single" w:color="000000" w:sz="6" w:space="2"/>
        </w:pBdr>
        <w:spacing w:after="100" w:before="120"/>
      </w:pPr>
      <w:r>
        <w:rPr>
          <w:rFonts w:ascii="Calibri" w:cs="Calibri" w:eastAsia="Calibri" w:hAnsi="Calibri"/>
          <w:b/>
          <w:bCs/>
          <w:color w:val="000000"/>
          <w:sz w:val="22"/>
          <w:szCs w:val="22"/>
        </w:rPr>
        <w:t xml:space="preserve">Problem Interpretation</w:t>
      </w:r>
    </w:p>
    <w:p>
      <w:pPr>
        <w:spacing w:after="90"/>
        <w:jc w:val="both"/>
      </w:pPr>
      <w:r>
        <w:rPr>
          <w:rFonts w:ascii="Calibri" w:cs="Calibri" w:eastAsia="Calibri" w:hAnsi="Calibri"/>
          <w:color w:val="000000"/>
          <w:sz w:val="19"/>
          <w:szCs w:val="19"/>
        </w:rPr>
        <w:t xml:space="preserve">A cloud datacenter running mission-critical workloads (billing systems, healthcare records, transaction engines) requires a hypervisor platform that guarantees near-continuous availability, predictable performance, and a minimal, well-audited attack surface. The core analytical task is to compare bare-metal (Type-1) and hosted (Type-2) hypervisors along three axes — performance, security, and manageability — and to select the architecture that best satisfies the reliability guarantees such workloads demand.</w:t>
      </w:r>
    </w:p>
    <w:p>
      <w:pPr>
        <w:pBdr>
          <w:bottom w:val="single" w:color="000000" w:sz="6" w:space="2"/>
        </w:pBdr>
        <w:spacing w:after="100" w:before="120"/>
      </w:pPr>
      <w:r>
        <w:rPr>
          <w:rFonts w:ascii="Calibri" w:cs="Calibri" w:eastAsia="Calibri" w:hAnsi="Calibri"/>
          <w:b/>
          <w:bCs/>
          <w:color w:val="000000"/>
          <w:sz w:val="22"/>
          <w:szCs w:val="22"/>
        </w:rPr>
        <w:t xml:space="preserve">Analytical Reasoning</w:t>
      </w:r>
    </w:p>
    <w:p>
      <w:pPr>
        <w:spacing w:after="60" w:before="100"/>
      </w:pPr>
      <w:r>
        <w:rPr>
          <w:rFonts w:ascii="Calibri" w:cs="Calibri" w:eastAsia="Calibri" w:hAnsi="Calibri"/>
          <w:b/>
          <w:bCs/>
          <w:color w:val="000000"/>
          <w:sz w:val="19"/>
          <w:szCs w:val="19"/>
        </w:rPr>
        <w:t xml:space="preserve">Performance</w:t>
      </w:r>
    </w:p>
    <w:p>
      <w:pPr>
        <w:spacing w:after="90"/>
        <w:jc w:val="both"/>
      </w:pPr>
      <w:r>
        <w:rPr>
          <w:rFonts w:ascii="Calibri" w:cs="Calibri" w:eastAsia="Calibri" w:hAnsi="Calibri"/>
          <w:color w:val="000000"/>
          <w:sz w:val="19"/>
          <w:szCs w:val="19"/>
        </w:rPr>
        <w:t xml:space="preserve">Type-1 hypervisors (VMware ESXi, Microsoft Hyper-V, Xen) run directly on the physical hardware, so guest instructions reach the CPU, memory controller, and I/O fabric through a thin hypervisor layer. This yields near-native throughput, low and consistent latency, and efficient scheduling across many VMs, because there is no host operating system competing for the same CPU cycles. Type-2 hypervisors (VMware Workstation, VirtualBox, Parasoft) run as an application on top of a general-purpose host OS. Every I/O and memory operation is translated twice — once by the hypervisor and again by the host OS kernel — which adds context-switch overhead and makes latency less predictable under load. For transaction-heavy or real-time workloads, this double translation is unacceptable.</w:t>
      </w:r>
    </w:p>
    <w:p>
      <w:pPr>
        <w:spacing w:after="60" w:before="100"/>
      </w:pPr>
      <w:r>
        <w:rPr>
          <w:rFonts w:ascii="Calibri" w:cs="Calibri" w:eastAsia="Calibri" w:hAnsi="Calibri"/>
          <w:b/>
          <w:bCs/>
          <w:color w:val="000000"/>
          <w:sz w:val="19"/>
          <w:szCs w:val="19"/>
        </w:rPr>
        <w:t xml:space="preserve">Security</w:t>
      </w:r>
    </w:p>
    <w:p>
      <w:pPr>
        <w:spacing w:after="90"/>
        <w:jc w:val="both"/>
      </w:pPr>
      <w:r>
        <w:rPr>
          <w:rFonts w:ascii="Calibri" w:cs="Calibri" w:eastAsia="Calibri" w:hAnsi="Calibri"/>
          <w:color w:val="000000"/>
          <w:sz w:val="19"/>
          <w:szCs w:val="19"/>
        </w:rPr>
        <w:t xml:space="preserve">A Type-1 hypervisor has a small, purpose-built codebase (a reduced trusted computing base), so its attack surface is limited mainly to the hypervisor kernel and management interface; hardware-assisted isolation (Intel VT-x/EPT, AMD-V/NPT) enforces strict boundaries between VMs. A Type-2 hypervisor inherits every vulnerability of its host OS — unpatched drivers, background services, and user-level processes all become potential pivot points for a VM-escape attack, so its effective trusted computing base is far larger.</w:t>
      </w:r>
    </w:p>
    <w:p>
      <w:pPr>
        <w:spacing w:after="60" w:before="100"/>
      </w:pPr>
      <w:r>
        <w:rPr>
          <w:rFonts w:ascii="Calibri" w:cs="Calibri" w:eastAsia="Calibri" w:hAnsi="Calibri"/>
          <w:b/>
          <w:bCs/>
          <w:color w:val="000000"/>
          <w:sz w:val="19"/>
          <w:szCs w:val="19"/>
        </w:rPr>
        <w:t xml:space="preserve">Manageability</w:t>
      </w:r>
    </w:p>
    <w:p>
      <w:pPr>
        <w:spacing w:after="90"/>
        <w:jc w:val="both"/>
      </w:pPr>
      <w:r>
        <w:rPr>
          <w:rFonts w:ascii="Calibri" w:cs="Calibri" w:eastAsia="Calibri" w:hAnsi="Calibri"/>
          <w:color w:val="000000"/>
          <w:sz w:val="19"/>
          <w:szCs w:val="19"/>
        </w:rPr>
        <w:t xml:space="preserve">Type-1 platforms expose centralized management stacks (vCenter, SCVMM) supporting live migration, automated failover, resource pools, and API-driven orchestration — essential for enterprise SLAs. Type-2 hypervisors are managed per-desktop with no native clustering, high-availability, or centralized policy engine, making them unsuitable beyond individual development or testing use.</w:t>
      </w:r>
    </w:p>
    <w:p>
      <w:pPr>
        <w:pBdr>
          <w:bottom w:val="single" w:color="000000" w:sz="6" w:space="2"/>
        </w:pBdr>
        <w:spacing w:after="100" w:before="120"/>
      </w:pPr>
      <w:r>
        <w:rPr>
          <w:rFonts w:ascii="Calibri" w:cs="Calibri" w:eastAsia="Calibri" w:hAnsi="Calibri"/>
          <w:b/>
          <w:bCs/>
          <w:color w:val="000000"/>
          <w:sz w:val="22"/>
          <w:szCs w:val="22"/>
        </w:rPr>
        <w:t xml:space="preserve">Justified Recommendation</w:t>
      </w:r>
    </w:p>
    <w:p>
      <w:pPr>
        <w:spacing w:after="90"/>
        <w:jc w:val="both"/>
      </w:pPr>
      <w:r>
        <w:rPr>
          <w:rFonts w:ascii="Calibri" w:cs="Calibri" w:eastAsia="Calibri" w:hAnsi="Calibri"/>
          <w:color w:val="000000"/>
          <w:sz w:val="19"/>
          <w:szCs w:val="19"/>
        </w:rPr>
        <w:t xml:space="preserve">Type-1 (bare-metal) hypervisors are the correct choice for a datacenter hosting mission-critical applications. The elimination of a host OS layer directly removes the largest source of both performance overhead and security exposure, while native clustering and live-migration capabilities satisfy the high-availability requirements that mission-critical services demand. Type-2 hypervisors remain appropriate only for isolated development, sandboxing, or training environments where the cost of a host OS layer is acceptable.</w:t>
      </w:r>
    </w:p>
    <w:p>
      <w:r>
        <w:br w:type="page"/>
      </w:r>
    </w:p>
    <w:p>
      <w:pPr>
        <w:spacing w:after="160" w:before="0"/>
      </w:pPr>
      <w:r>
        <w:rPr>
          <w:rFonts w:ascii="Calibri" w:cs="Calibri" w:eastAsia="Calibri" w:hAnsi="Calibri"/>
          <w:b/>
          <w:bCs/>
          <w:color w:val="000000"/>
          <w:sz w:val="26"/>
          <w:szCs w:val="26"/>
        </w:rPr>
        <w:t xml:space="preserve">Question 2</w:t>
      </w:r>
    </w:p>
    <w:p>
      <w:pPr>
        <w:pBdr>
          <w:bottom w:val="single" w:color="000000" w:sz="6" w:space="2"/>
        </w:pBdr>
        <w:spacing w:after="100" w:before="120"/>
      </w:pPr>
      <w:r>
        <w:rPr>
          <w:rFonts w:ascii="Calibri" w:cs="Calibri" w:eastAsia="Calibri" w:hAnsi="Calibri"/>
          <w:b/>
          <w:bCs/>
          <w:color w:val="000000"/>
          <w:sz w:val="22"/>
          <w:szCs w:val="22"/>
        </w:rPr>
        <w:t xml:space="preserve">Problem Interpretation</w:t>
      </w:r>
    </w:p>
    <w:p>
      <w:pPr>
        <w:spacing w:after="90"/>
        <w:jc w:val="both"/>
      </w:pPr>
      <w:r>
        <w:rPr>
          <w:rFonts w:ascii="Calibri" w:cs="Calibri" w:eastAsia="Calibri" w:hAnsi="Calibri"/>
          <w:color w:val="000000"/>
          <w:sz w:val="19"/>
          <w:szCs w:val="19"/>
        </w:rPr>
        <w:t xml:space="preserve">Multiple tenants with different compliance regimes (PCI-DSS for finance, HIPAA-equivalent controls for healthcare, and lower-sensitivity student-portal data) must share the same physical hardware without any tenant being able to read, corrupt, or starve another tenant's resources. The analysis must explain the isolation mechanisms virtualization provides and pinpoint where that isolation can realistically be breached.</w:t>
      </w:r>
    </w:p>
    <w:p>
      <w:pPr>
        <w:pBdr>
          <w:bottom w:val="single" w:color="000000" w:sz="6" w:space="2"/>
        </w:pBdr>
        <w:spacing w:after="100" w:before="120"/>
      </w:pPr>
      <w:r>
        <w:rPr>
          <w:rFonts w:ascii="Calibri" w:cs="Calibri" w:eastAsia="Calibri" w:hAnsi="Calibri"/>
          <w:b/>
          <w:bCs/>
          <w:color w:val="000000"/>
          <w:sz w:val="22"/>
          <w:szCs w:val="22"/>
        </w:rPr>
        <w:t xml:space="preserve">How Virtualization Architecture Enforces Isolation</w:t>
      </w:r>
    </w:p>
    <w:p>
      <w:pPr>
        <w:pStyle w:val="ListParagraph"/>
        <w:numPr>
          <w:ilvl w:val="0"/>
          <w:numId w:val="1"/>
        </w:numPr>
        <w:spacing w:after="60"/>
        <w:jc w:val="both"/>
      </w:pPr>
      <w:r>
        <w:rPr>
          <w:rFonts w:ascii="Calibri" w:cs="Calibri" w:eastAsia="Calibri" w:hAnsi="Calibri"/>
          <w:color w:val="000000"/>
          <w:sz w:val="19"/>
          <w:szCs w:val="19"/>
        </w:rPr>
        <w:t xml:space="preserve">CPU/Memory isolation: The hypervisor uses hardware-assisted virtualization (Intel VT-x/EPT, AMD-V/NPT) to give each VM its own virtual address space; a guest cannot address another guest's memory pages, and the hypervisor mediates every privileged instruction.</w:t>
      </w:r>
    </w:p>
    <w:p>
      <w:pPr>
        <w:pStyle w:val="ListParagraph"/>
        <w:numPr>
          <w:ilvl w:val="0"/>
          <w:numId w:val="1"/>
        </w:numPr>
        <w:spacing w:after="60"/>
        <w:jc w:val="both"/>
      </w:pPr>
      <w:r>
        <w:rPr>
          <w:rFonts w:ascii="Calibri" w:cs="Calibri" w:eastAsia="Calibri" w:hAnsi="Calibri"/>
          <w:color w:val="000000"/>
          <w:sz w:val="19"/>
          <w:szCs w:val="19"/>
        </w:rPr>
        <w:t xml:space="preserve">Storage isolation: Virtual disks are logically partitioned per tenant (thin-provisioned VMDKs/VHDs, LUN masking, or per-tenant storage pools), preventing one tenant's I/O stream or data blocks from being visible to another.</w:t>
      </w:r>
    </w:p>
    <w:p>
      <w:pPr>
        <w:pStyle w:val="ListParagraph"/>
        <w:numPr>
          <w:ilvl w:val="0"/>
          <w:numId w:val="1"/>
        </w:numPr>
        <w:spacing w:after="60"/>
        <w:jc w:val="both"/>
      </w:pPr>
      <w:r>
        <w:rPr>
          <w:rFonts w:ascii="Calibri" w:cs="Calibri" w:eastAsia="Calibri" w:hAnsi="Calibri"/>
          <w:color w:val="000000"/>
          <w:sz w:val="19"/>
          <w:szCs w:val="19"/>
        </w:rPr>
        <w:t xml:space="preserve">Network isolation: VLAN tagging, VXLAN overlays, and virtual switches with per-tenant security groups ensure finance, healthcare, and student-portal traffic never intermix on the same broadcast domain, even though they traverse shared physical NICs and switches.</w:t>
      </w:r>
    </w:p>
    <w:p>
      <w:pPr>
        <w:pStyle w:val="ListParagraph"/>
        <w:numPr>
          <w:ilvl w:val="0"/>
          <w:numId w:val="1"/>
        </w:numPr>
        <w:spacing w:after="60"/>
        <w:jc w:val="both"/>
      </w:pPr>
      <w:r>
        <w:rPr>
          <w:rFonts w:ascii="Calibri" w:cs="Calibri" w:eastAsia="Calibri" w:hAnsi="Calibri"/>
          <w:color w:val="000000"/>
          <w:sz w:val="19"/>
          <w:szCs w:val="19"/>
        </w:rPr>
        <w:t xml:space="preserve">Resource isolation (QoS): CPU shares/limits, memory ballooning controls, and storage I/O throttling prevent a noisy student-portal VM from starving the finance tenant's latency-sensitive workload — isolation of performance, not just data.</w:t>
      </w:r>
    </w:p>
    <w:p>
      <w:pPr>
        <w:pBdr>
          <w:bottom w:val="single" w:color="000000" w:sz="6" w:space="2"/>
        </w:pBdr>
        <w:spacing w:after="100" w:before="120"/>
      </w:pPr>
      <w:r>
        <w:rPr>
          <w:rFonts w:ascii="Calibri" w:cs="Calibri" w:eastAsia="Calibri" w:hAnsi="Calibri"/>
          <w:b/>
          <w:bCs/>
          <w:color w:val="000000"/>
          <w:sz w:val="22"/>
          <w:szCs w:val="22"/>
        </w:rPr>
        <w:t xml:space="preserve">Two Major Attack Surfaces</w:t>
      </w:r>
    </w:p>
    <w:p>
      <w:pPr>
        <w:spacing w:after="60" w:before="100"/>
      </w:pPr>
      <w:r>
        <w:rPr>
          <w:rFonts w:ascii="Calibri" w:cs="Calibri" w:eastAsia="Calibri" w:hAnsi="Calibri"/>
          <w:b/>
          <w:bCs/>
          <w:color w:val="000000"/>
          <w:sz w:val="19"/>
          <w:szCs w:val="19"/>
        </w:rPr>
        <w:t xml:space="preserve">1. Hypervisor / VM-escape surface</w:t>
      </w:r>
    </w:p>
    <w:p>
      <w:pPr>
        <w:spacing w:after="90"/>
        <w:jc w:val="both"/>
      </w:pPr>
      <w:r>
        <w:rPr>
          <w:rFonts w:ascii="Calibri" w:cs="Calibri" w:eastAsia="Calibri" w:hAnsi="Calibri"/>
          <w:color w:val="000000"/>
          <w:sz w:val="19"/>
          <w:szCs w:val="19"/>
        </w:rPr>
        <w:t xml:space="preserve">Because all tenants ultimately share one hypervisor, any flaw in device-emulation code, the virtual machine monitor, or the management API (e.g., a buggy virtual NIC or GPU driver) can allow a malicious guest to break out of its VM and gain control over the host or a sibling VM — directly defeating the isolation the architecture depends on. This is the single highest-value target because a successful escape compromises every tenant simultaneously.</w:t>
      </w:r>
    </w:p>
    <w:p>
      <w:pPr>
        <w:spacing w:after="60" w:before="100"/>
      </w:pPr>
      <w:r>
        <w:rPr>
          <w:rFonts w:ascii="Calibri" w:cs="Calibri" w:eastAsia="Calibri" w:hAnsi="Calibri"/>
          <w:b/>
          <w:bCs/>
          <w:color w:val="000000"/>
          <w:sz w:val="19"/>
          <w:szCs w:val="19"/>
        </w:rPr>
        <w:t xml:space="preserve">2. Shared management-plane / API surface</w:t>
      </w:r>
    </w:p>
    <w:p>
      <w:pPr>
        <w:spacing w:after="90"/>
        <w:jc w:val="both"/>
      </w:pPr>
      <w:r>
        <w:rPr>
          <w:rFonts w:ascii="Calibri" w:cs="Calibri" w:eastAsia="Calibri" w:hAnsi="Calibri"/>
          <w:color w:val="000000"/>
          <w:sz w:val="19"/>
          <w:szCs w:val="19"/>
        </w:rPr>
        <w:t xml:space="preserve">The orchestration layer (vCenter, cloud control-plane APIs, IAM tokens) that provisions and manages VMs across all three tenants is itself a shared resource. Weak API authentication, over-privileged service accounts, or misconfigured multi-tenant RBAC can let an attacker who compromises one tenant's management credentials pivot laterally to reconfigure or snapshot another tenant's VM — an isolation failure at the control layer rather than the data-plane layer.</w:t>
      </w:r>
    </w:p>
    <w:p>
      <w:pPr>
        <w:pBdr>
          <w:bottom w:val="single" w:color="000000" w:sz="6" w:space="2"/>
        </w:pBdr>
        <w:spacing w:after="100" w:before="120"/>
      </w:pPr>
      <w:r>
        <w:rPr>
          <w:rFonts w:ascii="Calibri" w:cs="Calibri" w:eastAsia="Calibri" w:hAnsi="Calibri"/>
          <w:b/>
          <w:bCs/>
          <w:color w:val="000000"/>
          <w:sz w:val="22"/>
          <w:szCs w:val="22"/>
        </w:rPr>
        <w:t xml:space="preserve">Conclusion</w:t>
      </w:r>
    </w:p>
    <w:p>
      <w:pPr>
        <w:spacing w:after="90"/>
        <w:jc w:val="both"/>
      </w:pPr>
      <w:r>
        <w:rPr>
          <w:rFonts w:ascii="Calibri" w:cs="Calibri" w:eastAsia="Calibri" w:hAnsi="Calibri"/>
          <w:color w:val="000000"/>
          <w:sz w:val="19"/>
          <w:szCs w:val="19"/>
        </w:rPr>
        <w:t xml:space="preserve">Virtualization enforces isolation through hardware-assisted compute, storage, and network segmentation, but that isolation is only as strong as the hypervisor kernel and the shared management plane; the provider must harden both with regular patching, minimal privilege management APIs, and continuous VM-escape monitoring.</w:t>
      </w:r>
    </w:p>
    <w:p>
      <w:r>
        <w:br w:type="page"/>
      </w:r>
    </w:p>
    <w:p>
      <w:pPr>
        <w:spacing w:after="160" w:before="0"/>
      </w:pPr>
      <w:r>
        <w:rPr>
          <w:rFonts w:ascii="Calibri" w:cs="Calibri" w:eastAsia="Calibri" w:hAnsi="Calibri"/>
          <w:b/>
          <w:bCs/>
          <w:color w:val="000000"/>
          <w:sz w:val="26"/>
          <w:szCs w:val="26"/>
        </w:rPr>
        <w:t xml:space="preserve">Question 3</w:t>
      </w:r>
    </w:p>
    <w:p>
      <w:pPr>
        <w:pBdr>
          <w:bottom w:val="single" w:color="000000" w:sz="6" w:space="2"/>
        </w:pBdr>
        <w:spacing w:after="100" w:before="120"/>
      </w:pPr>
      <w:r>
        <w:rPr>
          <w:rFonts w:ascii="Calibri" w:cs="Calibri" w:eastAsia="Calibri" w:hAnsi="Calibri"/>
          <w:b/>
          <w:bCs/>
          <w:color w:val="000000"/>
          <w:sz w:val="22"/>
          <w:szCs w:val="22"/>
        </w:rPr>
        <w:t xml:space="preserve">Problem Interpretation</w:t>
      </w:r>
    </w:p>
    <w:p>
      <w:pPr>
        <w:spacing w:after="90"/>
        <w:jc w:val="both"/>
      </w:pPr>
      <w:r>
        <w:rPr>
          <w:rFonts w:ascii="Calibri" w:cs="Calibri" w:eastAsia="Calibri" w:hAnsi="Calibri"/>
          <w:color w:val="000000"/>
          <w:sz w:val="19"/>
          <w:szCs w:val="19"/>
        </w:rPr>
        <w:t xml:space="preserve">The snapshot describes a physical host that is simultaneously near CPU saturation (92%), near memory saturation (88%), experiencing elevated storage latency (35 ms, well above the 1–10 ms expected for healthy SSD/SAN-backed storage), and suffering abnormally slow VM boot times (170 s versus a typical 30–60 s). The task is to diagnose the underlying bottleneck(s) rather than treat each metric in isolation, since these symptoms are causally linked.</w:t>
      </w:r>
    </w:p>
    <w:p>
      <w:pPr>
        <w:pBdr>
          <w:bottom w:val="single" w:color="000000" w:sz="6" w:space="2"/>
        </w:pBdr>
        <w:spacing w:after="100" w:before="120"/>
      </w:pPr>
      <w:r>
        <w:rPr>
          <w:rFonts w:ascii="Calibri" w:cs="Calibri" w:eastAsia="Calibri" w:hAnsi="Calibri"/>
          <w:b/>
          <w:bCs/>
          <w:color w:val="000000"/>
          <w:sz w:val="22"/>
          <w:szCs w:val="22"/>
        </w:rPr>
        <w:t xml:space="preserve">Analytical Reasoning — Chain of Causation</w:t>
      </w:r>
    </w:p>
    <w:p>
      <w:pPr>
        <w:spacing w:after="90"/>
        <w:jc w:val="both"/>
      </w:pPr>
      <w:r>
        <w:rPr>
          <w:rFonts w:ascii="Calibri" w:cs="Calibri" w:eastAsia="Calibri" w:hAnsi="Calibri"/>
          <w:color w:val="000000"/>
          <w:sz w:val="19"/>
          <w:szCs w:val="19"/>
        </w:rPr>
        <w:t xml:space="preserve">A CPU utilization of 92% indicates the hypervisor's scheduler is under constant contention; VMs are being co-scheduled with little idle headroom, which alone increases boot time because guest OS initialization competes for CPU slices. Memory at 88% is close enough to the host ceiling that the hypervisor is likely invoking memory-reclamation techniques (ballooning or, worse, host-level swapping); host-level swapping is especially damaging because it forces guest memory pages out to disk, and any VM that needs those pages back during boot must wait on a slow disk read instead of a fast RAM access.</w:t>
      </w:r>
    </w:p>
    <w:p>
      <w:pPr>
        <w:spacing w:after="90"/>
        <w:jc w:val="both"/>
      </w:pPr>
      <w:r>
        <w:rPr>
          <w:rFonts w:ascii="Calibri" w:cs="Calibri" w:eastAsia="Calibri" w:hAnsi="Calibri"/>
          <w:color w:val="000000"/>
          <w:sz w:val="19"/>
          <w:szCs w:val="19"/>
        </w:rPr>
        <w:t xml:space="preserve">This explains the 35 ms storage latency: it is too high for pure application I/O to a healthy datastore and is consistent with a datastore that is also absorbing swap traffic and multiple simultaneous boot-time disk reads. The 170-second boot time is therefore not an isolated storage problem — it is the compounded effect of CPU contention delaying scheduling, memory pressure forcing swap I/O, and that extra swap I/O saturating the same storage path that the booting VM needs for its own disk reads.</w:t>
      </w:r>
    </w:p>
    <w:p>
      <w:pPr>
        <w:spacing w:after="90"/>
        <w:jc w:val="both"/>
      </w:pPr>
      <w:r>
        <w:rPr>
          <w:rFonts w:ascii="Calibri" w:cs="Calibri" w:eastAsia="Calibri" w:hAnsi="Calibri"/>
          <w:color w:val="000000"/>
          <w:sz w:val="19"/>
          <w:szCs w:val="19"/>
        </w:rPr>
        <w:t xml:space="preserve">The root bottleneck is host-level resource over-commitment: too many VMs (or too large VMs) have been placed on one host relative to its physical CPU, RAM, and storage I/O capacity, and memory pressure is the primary trigger that cascades into the storage-latency and boot-time symptoms.</w:t>
      </w:r>
    </w:p>
    <w:p>
      <w:pPr>
        <w:pBdr>
          <w:bottom w:val="single" w:color="000000" w:sz="6" w:space="2"/>
        </w:pBdr>
        <w:spacing w:after="100" w:before="120"/>
      </w:pPr>
      <w:r>
        <w:rPr>
          <w:rFonts w:ascii="Calibri" w:cs="Calibri" w:eastAsia="Calibri" w:hAnsi="Calibri"/>
          <w:b/>
          <w:bCs/>
          <w:color w:val="000000"/>
          <w:sz w:val="22"/>
          <w:szCs w:val="22"/>
        </w:rPr>
        <w:t xml:space="preserve">Recommended Corrective Actions</w:t>
      </w:r>
    </w:p>
    <w:p>
      <w:pPr>
        <w:pStyle w:val="ListParagraph"/>
        <w:numPr>
          <w:ilvl w:val="0"/>
          <w:numId w:val="1"/>
        </w:numPr>
        <w:spacing w:after="60"/>
        <w:jc w:val="both"/>
      </w:pPr>
      <w:r>
        <w:rPr>
          <w:rFonts w:ascii="Calibri" w:cs="Calibri" w:eastAsia="Calibri" w:hAnsi="Calibri"/>
          <w:color w:val="000000"/>
          <w:sz w:val="19"/>
          <w:szCs w:val="19"/>
        </w:rPr>
        <w:t xml:space="preserve">Right-size and rebalance: use DRS/vMotion (or equivalent live-migration) to move a subset of VMs to hosts with spare capacity, immediately relieving CPU and memory pressure.</w:t>
      </w:r>
    </w:p>
    <w:p>
      <w:pPr>
        <w:pStyle w:val="ListParagraph"/>
        <w:numPr>
          <w:ilvl w:val="0"/>
          <w:numId w:val="1"/>
        </w:numPr>
        <w:spacing w:after="60"/>
        <w:jc w:val="both"/>
      </w:pPr>
      <w:r>
        <w:rPr>
          <w:rFonts w:ascii="Calibri" w:cs="Calibri" w:eastAsia="Calibri" w:hAnsi="Calibri"/>
          <w:color w:val="000000"/>
          <w:sz w:val="19"/>
          <w:szCs w:val="19"/>
        </w:rPr>
        <w:t xml:space="preserve">Increase physical memory or reduce VM memory reservations/limits so the host no longer needs to balloon or swap; disable host-level swapping wherever possible in favor of ballooning, which is far less costly to latency.</w:t>
      </w:r>
    </w:p>
    <w:p>
      <w:pPr>
        <w:pStyle w:val="ListParagraph"/>
        <w:numPr>
          <w:ilvl w:val="0"/>
          <w:numId w:val="1"/>
        </w:numPr>
        <w:spacing w:after="60"/>
        <w:jc w:val="both"/>
      </w:pPr>
      <w:r>
        <w:rPr>
          <w:rFonts w:ascii="Calibri" w:cs="Calibri" w:eastAsia="Calibri" w:hAnsi="Calibri"/>
          <w:color w:val="000000"/>
          <w:sz w:val="19"/>
          <w:szCs w:val="19"/>
        </w:rPr>
        <w:t xml:space="preserve">Move the datastore to faster media (NVMe/SSD tier) or add dedicated boot/swap storage separate from application data stores, reducing contention on the same I/O path.</w:t>
      </w:r>
    </w:p>
    <w:p>
      <w:pPr>
        <w:pStyle w:val="ListParagraph"/>
        <w:numPr>
          <w:ilvl w:val="0"/>
          <w:numId w:val="1"/>
        </w:numPr>
        <w:spacing w:after="60"/>
        <w:jc w:val="both"/>
      </w:pPr>
      <w:r>
        <w:rPr>
          <w:rFonts w:ascii="Calibri" w:cs="Calibri" w:eastAsia="Calibri" w:hAnsi="Calibri"/>
          <w:color w:val="000000"/>
          <w:sz w:val="19"/>
          <w:szCs w:val="19"/>
        </w:rPr>
        <w:t xml:space="preserve">Set CPU/memory reservations for latency-sensitive VMs and enable storage I/O control (SIOC) with per-VM shares to prevent any single VM from monopolizing the shared datastore during boot storms.</w:t>
      </w:r>
    </w:p>
    <w:p>
      <w:pPr>
        <w:pStyle w:val="ListParagraph"/>
        <w:numPr>
          <w:ilvl w:val="0"/>
          <w:numId w:val="1"/>
        </w:numPr>
        <w:spacing w:after="60"/>
        <w:jc w:val="both"/>
      </w:pPr>
      <w:r>
        <w:rPr>
          <w:rFonts w:ascii="Calibri" w:cs="Calibri" w:eastAsia="Calibri" w:hAnsi="Calibri"/>
          <w:color w:val="000000"/>
          <w:sz w:val="19"/>
          <w:szCs w:val="19"/>
        </w:rPr>
        <w:t xml:space="preserve">Establish proactive alerting at 75–80% CPU/memory thresholds so capacity is added before saturation, rather than reacting after boot times degrade.</w:t>
      </w:r>
    </w:p>
    <w:p>
      <w:r>
        <w:br w:type="page"/>
      </w:r>
    </w:p>
    <w:p>
      <w:pPr>
        <w:spacing w:after="160" w:before="0"/>
      </w:pPr>
      <w:r>
        <w:rPr>
          <w:rFonts w:ascii="Calibri" w:cs="Calibri" w:eastAsia="Calibri" w:hAnsi="Calibri"/>
          <w:b/>
          <w:bCs/>
          <w:color w:val="000000"/>
          <w:sz w:val="26"/>
          <w:szCs w:val="26"/>
        </w:rPr>
        <w:t xml:space="preserve">Question 4</w:t>
      </w:r>
    </w:p>
    <w:p>
      <w:pPr>
        <w:pBdr>
          <w:bottom w:val="single" w:color="000000" w:sz="6" w:space="2"/>
        </w:pBdr>
        <w:spacing w:after="100" w:before="120"/>
      </w:pPr>
      <w:r>
        <w:rPr>
          <w:rFonts w:ascii="Calibri" w:cs="Calibri" w:eastAsia="Calibri" w:hAnsi="Calibri"/>
          <w:b/>
          <w:bCs/>
          <w:color w:val="000000"/>
          <w:sz w:val="22"/>
          <w:szCs w:val="22"/>
        </w:rPr>
        <w:t xml:space="preserve">Problem Interpretation</w:t>
      </w:r>
    </w:p>
    <w:p>
      <w:pPr>
        <w:spacing w:after="90"/>
        <w:jc w:val="both"/>
      </w:pPr>
      <w:r>
        <w:rPr>
          <w:rFonts w:ascii="Calibri" w:cs="Calibri" w:eastAsia="Calibri" w:hAnsi="Calibri"/>
          <w:color w:val="000000"/>
          <w:sz w:val="19"/>
          <w:szCs w:val="19"/>
        </w:rPr>
        <w:t xml:space="preserve">A Software Defined Datacenter (SDDC) abstracts compute, storage, and networking into software-controlled pools that are provisioned and managed through APIs and policy engines, whereas a traditional datacenter binds each application to fixed physical servers, dedicated storage arrays, and manually configured network hardware. The analysis must show, layer by layer, why the software-defined approach produces measurably greater agility.</w:t>
      </w:r>
    </w:p>
    <w:p>
      <w:pPr>
        <w:pBdr>
          <w:bottom w:val="single" w:color="000000" w:sz="6" w:space="2"/>
        </w:pBdr>
        <w:spacing w:after="100" w:before="120"/>
      </w:pPr>
      <w:r>
        <w:rPr>
          <w:rFonts w:ascii="Calibri" w:cs="Calibri" w:eastAsia="Calibri" w:hAnsi="Calibri"/>
          <w:b/>
          <w:bCs/>
          <w:color w:val="000000"/>
          <w:sz w:val="22"/>
          <w:szCs w:val="22"/>
        </w:rPr>
        <w:t xml:space="preserve">Compute Virtualization</w:t>
      </w:r>
    </w:p>
    <w:p>
      <w:pPr>
        <w:spacing w:after="90"/>
        <w:jc w:val="both"/>
      </w:pPr>
      <w:r>
        <w:rPr>
          <w:rFonts w:ascii="Calibri" w:cs="Calibri" w:eastAsia="Calibri" w:hAnsi="Calibri"/>
          <w:color w:val="000000"/>
          <w:sz w:val="19"/>
          <w:szCs w:val="19"/>
        </w:rPr>
        <w:t xml:space="preserve">In a traditional datacenter, provisioning a new server means procuring hardware, racking it, and manually installing an OS — a process that can take days to weeks. In an SDDC, the hypervisor layer exposes CPU and memory as a pool; a new VM (or container) is created from a template in minutes, cloned or resized on demand, and moved between hosts via live migration without downtime. This converts capacity planning from a hardware lead-time problem into a software configuration task.</w:t>
      </w:r>
    </w:p>
    <w:p>
      <w:pPr>
        <w:pBdr>
          <w:bottom w:val="single" w:color="000000" w:sz="6" w:space="2"/>
        </w:pBdr>
        <w:spacing w:after="100" w:before="120"/>
      </w:pPr>
      <w:r>
        <w:rPr>
          <w:rFonts w:ascii="Calibri" w:cs="Calibri" w:eastAsia="Calibri" w:hAnsi="Calibri"/>
          <w:b/>
          <w:bCs/>
          <w:color w:val="000000"/>
          <w:sz w:val="22"/>
          <w:szCs w:val="22"/>
        </w:rPr>
        <w:t xml:space="preserve">Storage Virtualization</w:t>
      </w:r>
    </w:p>
    <w:p>
      <w:pPr>
        <w:spacing w:after="90"/>
        <w:jc w:val="both"/>
      </w:pPr>
      <w:r>
        <w:rPr>
          <w:rFonts w:ascii="Calibri" w:cs="Calibri" w:eastAsia="Calibri" w:hAnsi="Calibri"/>
          <w:color w:val="000000"/>
          <w:sz w:val="19"/>
          <w:szCs w:val="19"/>
        </w:rPr>
        <w:t xml:space="preserve">Traditional datacenters rely on dedicated SANs/NAS wired to specific servers, so storage capacity is fixed at purchase time and reconfiguration requires physical rewiring or vendor-specific tools. Software-defined storage (SDS) pools disks across the cluster and exposes them as policy-driven virtual volumes — capacity, replication factor, and performance tier are set per-application through software and can be changed instantly, and storage automatically rebalances as nodes are added, removing the manual LUN-provisioning cycle.</w:t>
      </w:r>
    </w:p>
    <w:p>
      <w:pPr>
        <w:pBdr>
          <w:bottom w:val="single" w:color="000000" w:sz="6" w:space="2"/>
        </w:pBdr>
        <w:spacing w:after="100" w:before="120"/>
      </w:pPr>
      <w:r>
        <w:rPr>
          <w:rFonts w:ascii="Calibri" w:cs="Calibri" w:eastAsia="Calibri" w:hAnsi="Calibri"/>
          <w:b/>
          <w:bCs/>
          <w:color w:val="000000"/>
          <w:sz w:val="22"/>
          <w:szCs w:val="22"/>
        </w:rPr>
        <w:t xml:space="preserve">Network Virtualization</w:t>
      </w:r>
    </w:p>
    <w:p>
      <w:pPr>
        <w:spacing w:after="90"/>
        <w:jc w:val="both"/>
      </w:pPr>
      <w:r>
        <w:rPr>
          <w:rFonts w:ascii="Calibri" w:cs="Calibri" w:eastAsia="Calibri" w:hAnsi="Calibri"/>
          <w:color w:val="000000"/>
          <w:sz w:val="19"/>
          <w:szCs w:val="19"/>
        </w:rPr>
        <w:t xml:space="preserve">Traditional networks depend on physically cabling VLANs and manually configuring routers/firewalls per application — a slow, error-prone, and hardware-locked process. Network virtualization (e.g., VXLAN overlays, software-defined networking controllers) creates logical switches, routers, load balancers, and firewalls entirely in software, decoupled from the physical topology. A whole multi-tier application network — segments, security groups, load balancing — can be spun up or torn down by an API call in the time it takes to deploy the VMs, rather than a network-change-request queue.</w:t>
      </w:r>
    </w:p>
    <w:p>
      <w:pPr>
        <w:pBdr>
          <w:bottom w:val="single" w:color="000000" w:sz="6" w:space="2"/>
        </w:pBdr>
        <w:spacing w:after="100" w:before="120"/>
      </w:pPr>
      <w:r>
        <w:rPr>
          <w:rFonts w:ascii="Calibri" w:cs="Calibri" w:eastAsia="Calibri" w:hAnsi="Calibri"/>
          <w:b/>
          <w:bCs/>
          <w:color w:val="000000"/>
          <w:sz w:val="22"/>
          <w:szCs w:val="22"/>
        </w:rPr>
        <w:t xml:space="preserve">Why This Adds Up to Agility</w:t>
      </w:r>
    </w:p>
    <w:p>
      <w:pPr>
        <w:spacing w:after="90"/>
        <w:jc w:val="both"/>
      </w:pPr>
      <w:r>
        <w:rPr>
          <w:rFonts w:ascii="Calibri" w:cs="Calibri" w:eastAsia="Calibri" w:hAnsi="Calibri"/>
          <w:color w:val="000000"/>
          <w:sz w:val="19"/>
          <w:szCs w:val="19"/>
        </w:rPr>
        <w:t xml:space="preserve">Because compute, storage, and network are each independently abstracted and policy-driven, an SDDC lets an organization provision an entire application stack — servers, storage tiers, and network segments — through a single automated workflow, typically in minutes rather than the days-to-weeks cycle of a traditional datacenter. This also enables elastic scaling, self-service provisioning, and infrastructure-as-code, all of which are structurally impossible when any one of the three layers remains hardware-bound.</w:t>
      </w:r>
    </w:p>
    <w:p>
      <w:r>
        <w:br w:type="page"/>
      </w:r>
    </w:p>
    <w:p>
      <w:pPr>
        <w:spacing w:after="160" w:before="0"/>
      </w:pPr>
      <w:r>
        <w:rPr>
          <w:rFonts w:ascii="Calibri" w:cs="Calibri" w:eastAsia="Calibri" w:hAnsi="Calibri"/>
          <w:b/>
          <w:bCs/>
          <w:color w:val="000000"/>
          <w:sz w:val="26"/>
          <w:szCs w:val="26"/>
        </w:rPr>
        <w:t xml:space="preserve">Question 5</w:t>
      </w:r>
    </w:p>
    <w:p>
      <w:pPr>
        <w:pBdr>
          <w:bottom w:val="single" w:color="000000" w:sz="6" w:space="2"/>
        </w:pBdr>
        <w:spacing w:after="100" w:before="120"/>
      </w:pPr>
      <w:r>
        <w:rPr>
          <w:rFonts w:ascii="Calibri" w:cs="Calibri" w:eastAsia="Calibri" w:hAnsi="Calibri"/>
          <w:b/>
          <w:bCs/>
          <w:color w:val="000000"/>
          <w:sz w:val="22"/>
          <w:szCs w:val="22"/>
        </w:rPr>
        <w:t xml:space="preserve">Problem Interpretation</w:t>
      </w:r>
    </w:p>
    <w:p>
      <w:pPr>
        <w:spacing w:after="90"/>
        <w:jc w:val="both"/>
      </w:pPr>
      <w:r>
        <w:rPr>
          <w:rFonts w:ascii="Calibri" w:cs="Calibri" w:eastAsia="Calibri" w:hAnsi="Calibri"/>
          <w:color w:val="000000"/>
          <w:sz w:val="19"/>
          <w:szCs w:val="19"/>
        </w:rPr>
        <w:t xml:space="preserve">The project links two or more independent cloud providers, each with its own identity store, attribute schema, and trust model. "Identity mismatch" means a user or service authenticated in Provider A is not recognized, or is misinterpreted, by Provider B — for example, differing username formats, missing or inconsistent role/attribute mappings, or no shared trust anchor — causing failed authentication, incorrect authorization, or duplicate/orphaned identities across clouds.</w:t>
      </w:r>
    </w:p>
    <w:p>
      <w:pPr>
        <w:pBdr>
          <w:bottom w:val="single" w:color="000000" w:sz="6" w:space="2"/>
        </w:pBdr>
        <w:spacing w:after="100" w:before="120"/>
      </w:pPr>
      <w:r>
        <w:rPr>
          <w:rFonts w:ascii="Calibri" w:cs="Calibri" w:eastAsia="Calibri" w:hAnsi="Calibri"/>
          <w:b/>
          <w:bCs/>
          <w:color w:val="000000"/>
          <w:sz w:val="22"/>
          <w:szCs w:val="22"/>
        </w:rPr>
        <w:t xml:space="preserve">Root-Cause Analysis</w:t>
      </w:r>
    </w:p>
    <w:p>
      <w:pPr>
        <w:pStyle w:val="ListParagraph"/>
        <w:numPr>
          <w:ilvl w:val="0"/>
          <w:numId w:val="1"/>
        </w:numPr>
        <w:spacing w:after="60"/>
        <w:jc w:val="both"/>
      </w:pPr>
      <w:r>
        <w:rPr>
          <w:rFonts w:ascii="Calibri" w:cs="Calibri" w:eastAsia="Calibri" w:hAnsi="Calibri"/>
          <w:color w:val="000000"/>
          <w:sz w:val="19"/>
          <w:szCs w:val="19"/>
        </w:rPr>
        <w:t xml:space="preserve">No common identity provider (IdP): each cloud silo authenticates locally, so there is no single source of truth for "who a user is" across providers.</w:t>
      </w:r>
    </w:p>
    <w:p>
      <w:pPr>
        <w:pStyle w:val="ListParagraph"/>
        <w:numPr>
          <w:ilvl w:val="0"/>
          <w:numId w:val="1"/>
        </w:numPr>
        <w:spacing w:after="60"/>
        <w:jc w:val="both"/>
      </w:pPr>
      <w:r>
        <w:rPr>
          <w:rFonts w:ascii="Calibri" w:cs="Calibri" w:eastAsia="Calibri" w:hAnsi="Calibri"/>
          <w:color w:val="000000"/>
          <w:sz w:val="19"/>
          <w:szCs w:val="19"/>
        </w:rPr>
        <w:t xml:space="preserve">Absence of a shared trust framework: without a federation standard (SAML, OAuth 2.0/OIDC) and a signed trust relationship between IdPs, one provider has no cryptographic basis for accepting another provider's assertion of identity.</w:t>
      </w:r>
    </w:p>
    <w:p>
      <w:pPr>
        <w:pStyle w:val="ListParagraph"/>
        <w:numPr>
          <w:ilvl w:val="0"/>
          <w:numId w:val="1"/>
        </w:numPr>
        <w:spacing w:after="60"/>
        <w:jc w:val="both"/>
      </w:pPr>
      <w:r>
        <w:rPr>
          <w:rFonts w:ascii="Calibri" w:cs="Calibri" w:eastAsia="Calibri" w:hAnsi="Calibri"/>
          <w:color w:val="000000"/>
          <w:sz w:val="19"/>
          <w:szCs w:val="19"/>
        </w:rPr>
        <w:t xml:space="preserve">Attribute schema divergence: even when authentication succeeds, role names, group memberships, or claims differ in format between providers, so authorization decisions downstream are inconsistent or fail closed.</w:t>
      </w:r>
    </w:p>
    <w:p>
      <w:pPr>
        <w:pStyle w:val="ListParagraph"/>
        <w:numPr>
          <w:ilvl w:val="0"/>
          <w:numId w:val="1"/>
        </w:numPr>
        <w:spacing w:after="60"/>
        <w:jc w:val="both"/>
      </w:pPr>
      <w:r>
        <w:rPr>
          <w:rFonts w:ascii="Calibri" w:cs="Calibri" w:eastAsia="Calibri" w:hAnsi="Calibri"/>
          <w:color w:val="000000"/>
          <w:sz w:val="19"/>
          <w:szCs w:val="19"/>
        </w:rPr>
        <w:t xml:space="preserve">No consistent session/token lifecycle: mismatched token expiry, revocation, or refresh handling across providers leads to stale or orphaned sessions that create both usability and security gaps.</w:t>
      </w:r>
    </w:p>
    <w:p>
      <w:pPr>
        <w:pBdr>
          <w:bottom w:val="single" w:color="000000" w:sz="6" w:space="2"/>
        </w:pBdr>
        <w:spacing w:after="100" w:before="120"/>
      </w:pPr>
      <w:r>
        <w:rPr>
          <w:rFonts w:ascii="Calibri" w:cs="Calibri" w:eastAsia="Calibri" w:hAnsi="Calibri"/>
          <w:b/>
          <w:bCs/>
          <w:color w:val="000000"/>
          <w:sz w:val="22"/>
          <w:szCs w:val="22"/>
        </w:rPr>
        <w:t xml:space="preserve">Proposed Secure Identity and Privacy Design</w:t>
      </w:r>
    </w:p>
    <w:p>
      <w:pPr>
        <w:spacing w:after="60" w:before="100"/>
      </w:pPr>
      <w:r>
        <w:rPr>
          <w:rFonts w:ascii="Calibri" w:cs="Calibri" w:eastAsia="Calibri" w:hAnsi="Calibri"/>
          <w:b/>
          <w:bCs/>
          <w:color w:val="000000"/>
          <w:sz w:val="19"/>
          <w:szCs w:val="19"/>
        </w:rPr>
        <w:t xml:space="preserve">1. Central Federated Identity Layer</w:t>
      </w:r>
    </w:p>
    <w:p>
      <w:pPr>
        <w:spacing w:after="90"/>
        <w:jc w:val="both"/>
      </w:pPr>
      <w:r>
        <w:rPr>
          <w:rFonts w:ascii="Calibri" w:cs="Calibri" w:eastAsia="Calibri" w:hAnsi="Calibri"/>
          <w:color w:val="000000"/>
          <w:sz w:val="19"/>
          <w:szCs w:val="19"/>
        </w:rPr>
        <w:t xml:space="preserve">Introduce a single trusted Identity Provider (or an Identity Broker) that all participating clouds federate against using OpenID Connect/OAuth 2.0 for user-facing access and SAML 2.0 where enterprise SSO is required. Each cloud becomes a Service Provider (SP) that trusts tokens issued by the central IdP rather than authenticating users independently.</w:t>
      </w:r>
    </w:p>
    <w:p>
      <w:pPr>
        <w:spacing w:after="60" w:before="100"/>
      </w:pPr>
      <w:r>
        <w:rPr>
          <w:rFonts w:ascii="Calibri" w:cs="Calibri" w:eastAsia="Calibri" w:hAnsi="Calibri"/>
          <w:b/>
          <w:bCs/>
          <w:color w:val="000000"/>
          <w:sz w:val="19"/>
          <w:szCs w:val="19"/>
        </w:rPr>
        <w:t xml:space="preserve">2. Standardized Claims and Attribute Mapping</w:t>
      </w:r>
    </w:p>
    <w:p>
      <w:pPr>
        <w:spacing w:after="90"/>
        <w:jc w:val="both"/>
      </w:pPr>
      <w:r>
        <w:rPr>
          <w:rFonts w:ascii="Calibri" w:cs="Calibri" w:eastAsia="Calibri" w:hAnsi="Calibri"/>
          <w:color w:val="000000"/>
          <w:sz w:val="19"/>
          <w:szCs w:val="19"/>
        </w:rPr>
        <w:t xml:space="preserve">Define a canonical attribute schema (a common claims contract — user ID, role, tenant, clearance level) that every provider maps its local attributes to, so authorization logic is evaluated consistently regardless of which cloud issued the underlying account.</w:t>
      </w:r>
    </w:p>
    <w:p>
      <w:pPr>
        <w:spacing w:after="60" w:before="100"/>
      </w:pPr>
      <w:r>
        <w:rPr>
          <w:rFonts w:ascii="Calibri" w:cs="Calibri" w:eastAsia="Calibri" w:hAnsi="Calibri"/>
          <w:b/>
          <w:bCs/>
          <w:color w:val="000000"/>
          <w:sz w:val="19"/>
          <w:szCs w:val="19"/>
        </w:rPr>
        <w:t xml:space="preserve">3. Short-Lived Tokens with Federated Revocation</w:t>
      </w:r>
    </w:p>
    <w:p>
      <w:pPr>
        <w:spacing w:after="90"/>
        <w:jc w:val="both"/>
      </w:pPr>
      <w:r>
        <w:rPr>
          <w:rFonts w:ascii="Calibri" w:cs="Calibri" w:eastAsia="Calibri" w:hAnsi="Calibri"/>
          <w:color w:val="000000"/>
          <w:sz w:val="19"/>
          <w:szCs w:val="19"/>
        </w:rPr>
        <w:t xml:space="preserve">Use short-lived JWT access tokens plus refresh tokens, with a shared revocation/introspection endpoint so that de-provisioning a user at the central IdP immediately invalidates their access across every federated cloud, closing the orphaned-session gap.</w:t>
      </w:r>
    </w:p>
    <w:p>
      <w:pPr>
        <w:spacing w:after="60" w:before="100"/>
      </w:pPr>
      <w:r>
        <w:rPr>
          <w:rFonts w:ascii="Calibri" w:cs="Calibri" w:eastAsia="Calibri" w:hAnsi="Calibri"/>
          <w:b/>
          <w:bCs/>
          <w:color w:val="000000"/>
          <w:sz w:val="19"/>
          <w:szCs w:val="19"/>
        </w:rPr>
        <w:t xml:space="preserve">4. Privacy-Preserving Attribute Release</w:t>
      </w:r>
    </w:p>
    <w:p>
      <w:pPr>
        <w:spacing w:after="90"/>
        <w:jc w:val="both"/>
      </w:pPr>
      <w:r>
        <w:rPr>
          <w:rFonts w:ascii="Calibri" w:cs="Calibri" w:eastAsia="Calibri" w:hAnsi="Calibri"/>
          <w:color w:val="000000"/>
          <w:sz w:val="19"/>
          <w:szCs w:val="19"/>
        </w:rPr>
        <w:t xml:space="preserve">Apply minimal-disclosure policies: each Service Provider receives only the claims it needs (e.g., role and tenant, not full personal data), governed by per-provider consent/attribute-release policies — protecting user privacy across organizational boundaries while still enabling correct authorization.</w:t>
      </w:r>
    </w:p>
    <w:p>
      <w:pPr>
        <w:spacing w:after="60" w:before="100"/>
      </w:pPr>
      <w:r>
        <w:rPr>
          <w:rFonts w:ascii="Calibri" w:cs="Calibri" w:eastAsia="Calibri" w:hAnsi="Calibri"/>
          <w:b/>
          <w:bCs/>
          <w:color w:val="000000"/>
          <w:sz w:val="19"/>
          <w:szCs w:val="19"/>
        </w:rPr>
        <w:t xml:space="preserve">5. Mutual Trust Establishment</w:t>
      </w:r>
    </w:p>
    <w:p>
      <w:pPr>
        <w:spacing w:after="90"/>
        <w:jc w:val="both"/>
      </w:pPr>
      <w:r>
        <w:rPr>
          <w:rFonts w:ascii="Calibri" w:cs="Calibri" w:eastAsia="Calibri" w:hAnsi="Calibri"/>
          <w:color w:val="000000"/>
          <w:sz w:val="19"/>
          <w:szCs w:val="19"/>
        </w:rPr>
        <w:t xml:space="preserve">Exchange and periodically rotate signing certificates between the IdP and each cloud's SP metadata, and enforce mutual TLS on federation endpoints, so identity assertions cannot be spoofed or replayed across the federation boundary.</w:t>
      </w:r>
    </w:p>
    <w:p>
      <w:pPr>
        <w:pBdr>
          <w:bottom w:val="single" w:color="000000" w:sz="6" w:space="2"/>
        </w:pBdr>
        <w:spacing w:after="100" w:before="120"/>
      </w:pPr>
      <w:r>
        <w:rPr>
          <w:rFonts w:ascii="Calibri" w:cs="Calibri" w:eastAsia="Calibri" w:hAnsi="Calibri"/>
          <w:b/>
          <w:bCs/>
          <w:color w:val="000000"/>
          <w:sz w:val="22"/>
          <w:szCs w:val="22"/>
        </w:rPr>
        <w:t xml:space="preserve">Outcome</w:t>
      </w:r>
    </w:p>
    <w:p>
      <w:pPr>
        <w:spacing w:after="90"/>
        <w:jc w:val="both"/>
      </w:pPr>
      <w:r>
        <w:rPr>
          <w:rFonts w:ascii="Calibri" w:cs="Calibri" w:eastAsia="Calibri" w:hAnsi="Calibri"/>
          <w:color w:val="000000"/>
          <w:sz w:val="19"/>
          <w:szCs w:val="19"/>
        </w:rPr>
        <w:t xml:space="preserve">This design replaces per-provider silos with a single federated trust root, consistent attribute semantics, and lifecycle-synchronized tokens — directly resolving the identity mismatch while minimizing the personal data each cloud provider needs to see.</w:t>
      </w:r>
    </w:p>
    <w:sectPr>
      <w:pgSz w:w="12240" w:h="15840" w:orient="portrait"/>
      <w:pgMar w:top="1440" w:right="1440" w:bottom="1440" w:left="1440" w:header="708" w:footer="708" w:gutter="0"/>
      <w:pgBorders w:display="allPages" w:offsetFrom="page" w:zOrder="front">
        <w:top w:val="single" w:color="000000" w:sz="18" w:space="24"/>
        <w:left w:val="single" w:color="000000" w:sz="18" w:space="24"/>
        <w:bottom w:val="single" w:color="000000" w:sz="18" w:space="24"/>
        <w:right w:val="single" w:color="000000" w:sz="18"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2026-08-07T08:28:55.375Z</dcterms:created>
  <dcterms:modified xsi:type="dcterms:W3CDTF">2026-08-07T08:28:55.375Z</dcterms:modified>
</cp:coreProperties>
</file>

<file path=docProps/custom.xml><?xml version="1.0" encoding="utf-8"?>
<Properties xmlns="http://schemas.openxmlformats.org/officeDocument/2006/custom-properties" xmlns:vt="http://schemas.openxmlformats.org/officeDocument/2006/docPropsVTypes"/>
</file>