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600"/>
        <w:jc w:val="center"/>
      </w:pPr>
      <w:r>
        <w:rPr>
          <w:rFonts w:ascii="Calibri" w:cs="Calibri" w:eastAsia="Calibri" w:hAnsi="Calibri"/>
          <w:b/>
          <w:bCs/>
          <w:color w:val="000000"/>
          <w:sz w:val="36"/>
          <w:szCs w:val="36"/>
        </w:rPr>
        <w:t xml:space="preserve">SIMATS ENGINEERING</w:t>
      </w:r>
    </w:p>
    <w:p>
      <w:pPr>
        <w:spacing w:after="400"/>
      </w:pPr>
    </w:p>
    <w:tbl>
      <w:tblPr>
        <w:tblW w:type="dxa" w:w="880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5600"/>
      </w:tblGrid>
      <w:tr>
        <w:tc>
          <w:tcPr>
            <w:tcW w:type="dxa" w:w="3200"/>
            <w:shd w:fill="F2F2F2"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Assessment</w:t>
            </w:r>
          </w:p>
        </w:tc>
        <w:tc>
          <w:tcPr>
            <w:tcW w:type="dxa" w:w="5600"/>
            <w:tcMar>
              <w:top w:type="dxa" w:w="100"/>
              <w:left w:type="dxa" w:w="120"/>
              <w:bottom w:type="dxa" w:w="100"/>
              <w:right w:type="dxa" w:w="120"/>
            </w:tcMar>
            <w:vAlign w:val="center"/>
          </w:tcPr>
          <w:p>
            <w:r>
              <w:rPr>
                <w:rFonts w:ascii="Calibri" w:cs="Calibri" w:eastAsia="Calibri" w:hAnsi="Calibri"/>
                <w:color w:val="000000"/>
                <w:sz w:val="20"/>
                <w:szCs w:val="20"/>
              </w:rPr>
              <w:t xml:space="preserve">ASSESSMENT TOOL 2: Scenario-Based</w:t>
            </w:r>
          </w:p>
        </w:tc>
      </w:tr>
      <w:tr>
        <w:tc>
          <w:tcPr>
            <w:tcW w:type="dxa" w:w="3200"/>
            <w:shd w:fill="F2F2F2"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Course Name</w:t>
            </w:r>
          </w:p>
        </w:tc>
        <w:tc>
          <w:tcPr>
            <w:tcW w:type="dxa" w:w="5600"/>
            <w:tcMar>
              <w:top w:type="dxa" w:w="100"/>
              <w:left w:type="dxa" w:w="120"/>
              <w:bottom w:type="dxa" w:w="100"/>
              <w:right w:type="dxa" w:w="120"/>
            </w:tcMar>
            <w:vAlign w:val="center"/>
          </w:tcPr>
          <w:p>
            <w:r>
              <w:rPr>
                <w:rFonts w:ascii="Calibri" w:cs="Calibri" w:eastAsia="Calibri" w:hAnsi="Calibri"/>
                <w:color w:val="000000"/>
                <w:sz w:val="20"/>
                <w:szCs w:val="20"/>
              </w:rPr>
              <w:t xml:space="preserve">Cloud Computing and Big Data Analytics</w:t>
            </w:r>
          </w:p>
        </w:tc>
      </w:tr>
      <w:tr>
        <w:tc>
          <w:tcPr>
            <w:tcW w:type="dxa" w:w="3200"/>
            <w:shd w:fill="F2F2F2"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Course Code</w:t>
            </w:r>
          </w:p>
        </w:tc>
        <w:tc>
          <w:tcPr>
            <w:tcW w:type="dxa" w:w="5600"/>
            <w:tcMar>
              <w:top w:type="dxa" w:w="100"/>
              <w:left w:type="dxa" w:w="120"/>
              <w:bottom w:type="dxa" w:w="100"/>
              <w:right w:type="dxa" w:w="120"/>
            </w:tcMar>
            <w:vAlign w:val="center"/>
          </w:tcPr>
          <w:p>
            <w:r>
              <w:rPr>
                <w:rFonts w:ascii="Calibri" w:cs="Calibri" w:eastAsia="Calibri" w:hAnsi="Calibri"/>
                <w:color w:val="000000"/>
                <w:sz w:val="20"/>
                <w:szCs w:val="20"/>
              </w:rPr>
              <w:t xml:space="preserve">CSA1516</w:t>
            </w:r>
          </w:p>
        </w:tc>
      </w:tr>
      <w:tr>
        <w:tc>
          <w:tcPr>
            <w:tcW w:type="dxa" w:w="3200"/>
            <w:shd w:fill="F2F2F2"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Name</w:t>
            </w:r>
          </w:p>
        </w:tc>
        <w:tc>
          <w:tcPr>
            <w:tcW w:type="dxa" w:w="5600"/>
            <w:tcMar>
              <w:top w:type="dxa" w:w="100"/>
              <w:left w:type="dxa" w:w="120"/>
              <w:bottom w:type="dxa" w:w="100"/>
              <w:right w:type="dxa" w:w="120"/>
            </w:tcMar>
            <w:vAlign w:val="center"/>
          </w:tcPr>
          <w:p>
            <w:r>
              <w:rPr>
                <w:rFonts w:ascii="Calibri" w:cs="Calibri" w:eastAsia="Calibri" w:hAnsi="Calibri"/>
                <w:color w:val="000000"/>
                <w:sz w:val="20"/>
                <w:szCs w:val="20"/>
              </w:rPr>
              <w:t xml:space="preserve">Y.Naga Giridhar</w:t>
            </w:r>
          </w:p>
        </w:tc>
      </w:tr>
      <w:tr>
        <w:tc>
          <w:tcPr>
            <w:tcW w:type="dxa" w:w="3200"/>
            <w:shd w:fill="F2F2F2"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Registration Number</w:t>
            </w:r>
          </w:p>
        </w:tc>
        <w:tc>
          <w:tcPr>
            <w:tcW w:type="dxa" w:w="5600"/>
            <w:tcMar>
              <w:top w:type="dxa" w:w="100"/>
              <w:left w:type="dxa" w:w="120"/>
              <w:bottom w:type="dxa" w:w="100"/>
              <w:right w:type="dxa" w:w="120"/>
            </w:tcMar>
            <w:vAlign w:val="center"/>
          </w:tcPr>
          <w:p>
            <w:r>
              <w:rPr>
                <w:rFonts w:ascii="Calibri" w:cs="Calibri" w:eastAsia="Calibri" w:hAnsi="Calibri"/>
                <w:color w:val="000000"/>
                <w:sz w:val="20"/>
                <w:szCs w:val="20"/>
              </w:rPr>
              <w:t xml:space="preserve">192572124</w:t>
            </w:r>
          </w:p>
        </w:tc>
      </w:tr>
    </w:tbl>
    <w:p>
      <w:r>
        <w:br w:type="page"/>
      </w:r>
    </w:p>
    <w:p>
      <w:pPr>
        <w:spacing w:after="160" w:before="0"/>
      </w:pPr>
      <w:r>
        <w:rPr>
          <w:rFonts w:ascii="Calibri" w:cs="Calibri" w:eastAsia="Calibri" w:hAnsi="Calibri"/>
          <w:b/>
          <w:bCs/>
          <w:color w:val="000000"/>
          <w:sz w:val="26"/>
          <w:szCs w:val="26"/>
        </w:rPr>
        <w:t xml:space="preserve">Question 1</w:t>
      </w:r>
    </w:p>
    <w:p>
      <w:pPr>
        <w:pBdr>
          <w:bottom w:val="single" w:color="000000" w:sz="6" w:space="2"/>
        </w:pBdr>
        <w:spacing w:after="100" w:before="120"/>
      </w:pPr>
      <w:r>
        <w:rPr>
          <w:rFonts w:ascii="Calibri" w:cs="Calibri" w:eastAsia="Calibri" w:hAnsi="Calibri"/>
          <w:b/>
          <w:bCs/>
          <w:color w:val="000000"/>
          <w:sz w:val="22"/>
          <w:szCs w:val="22"/>
        </w:rPr>
        <w:t xml:space="preserve">Understanding of the Scenario</w:t>
      </w:r>
    </w:p>
    <w:p>
      <w:pPr>
        <w:spacing w:after="90"/>
        <w:jc w:val="both"/>
      </w:pPr>
      <w:r>
        <w:rPr>
          <w:rFonts w:ascii="Calibri" w:cs="Calibri" w:eastAsia="Calibri" w:hAnsi="Calibri"/>
          <w:color w:val="000000"/>
          <w:sz w:val="19"/>
          <w:szCs w:val="19"/>
        </w:rPr>
        <w:t xml:space="preserve">A media company needs to migrate a video streaming platform to the cloud while supporting millions of concurrent viewers with minimal buffering. The core challenge is delivering large, latency-sensitive media payloads at massive, unpredictable scale, which means the architecture must treat scalability, content delivery, and cost as one connected design problem rather than separate concerns.</w:t>
      </w:r>
    </w:p>
    <w:p>
      <w:pPr>
        <w:pBdr>
          <w:bottom w:val="single" w:color="000000" w:sz="6" w:space="2"/>
        </w:pBdr>
        <w:spacing w:after="100" w:before="120"/>
      </w:pPr>
      <w:r>
        <w:rPr>
          <w:rFonts w:ascii="Calibri" w:cs="Calibri" w:eastAsia="Calibri" w:hAnsi="Calibri"/>
          <w:b/>
          <w:bCs/>
          <w:color w:val="000000"/>
          <w:sz w:val="22"/>
          <w:szCs w:val="22"/>
        </w:rPr>
        <w:t xml:space="preserve">Cloud Architecture: Scalability and Caching</w:t>
      </w:r>
    </w:p>
    <w:p>
      <w:pPr>
        <w:pStyle w:val="ListParagraph"/>
        <w:numPr>
          <w:ilvl w:val="0"/>
          <w:numId w:val="1"/>
        </w:numPr>
        <w:spacing w:after="60"/>
        <w:jc w:val="both"/>
      </w:pPr>
      <w:r>
        <w:rPr>
          <w:rFonts w:ascii="Calibri" w:cs="Calibri" w:eastAsia="Calibri" w:hAnsi="Calibri"/>
          <w:color w:val="000000"/>
          <w:sz w:val="19"/>
          <w:szCs w:val="19"/>
        </w:rPr>
        <w:t xml:space="preserve">Content Delivery Network (CDN): Cache video segments (using adaptive bitrate formats such as HLS/DASH) at edge locations close to viewers, so most requests never reach the origin, directly cutting buffering and origin load.</w:t>
      </w:r>
    </w:p>
    <w:p>
      <w:pPr>
        <w:pStyle w:val="ListParagraph"/>
        <w:numPr>
          <w:ilvl w:val="0"/>
          <w:numId w:val="1"/>
        </w:numPr>
        <w:spacing w:after="60"/>
        <w:jc w:val="both"/>
      </w:pPr>
      <w:r>
        <w:rPr>
          <w:rFonts w:ascii="Calibri" w:cs="Calibri" w:eastAsia="Calibri" w:hAnsi="Calibri"/>
          <w:color w:val="000000"/>
          <w:sz w:val="19"/>
          <w:szCs w:val="19"/>
        </w:rPr>
        <w:t xml:space="preserve">Origin and transcoding tier: Store master copies in object storage (e.g., S3-class storage) and use an elastic transcoding pipeline to generate multiple bitrate renditions for adaptive streaming across device and network conditions.</w:t>
      </w:r>
    </w:p>
    <w:p>
      <w:pPr>
        <w:pStyle w:val="ListParagraph"/>
        <w:numPr>
          <w:ilvl w:val="0"/>
          <w:numId w:val="1"/>
        </w:numPr>
        <w:spacing w:after="60"/>
        <w:jc w:val="both"/>
      </w:pPr>
      <w:r>
        <w:rPr>
          <w:rFonts w:ascii="Calibri" w:cs="Calibri" w:eastAsia="Calibri" w:hAnsi="Calibri"/>
          <w:color w:val="000000"/>
          <w:sz w:val="19"/>
          <w:szCs w:val="19"/>
        </w:rPr>
        <w:t xml:space="preserve">In-memory caching layer: Cache metadata, session state, and popular manifests in a distributed cache (Redis/Memcached) to keep control-plane requests fast even under viewer spikes.</w:t>
      </w:r>
    </w:p>
    <w:p>
      <w:pPr>
        <w:pStyle w:val="ListParagraph"/>
        <w:numPr>
          <w:ilvl w:val="0"/>
          <w:numId w:val="1"/>
        </w:numPr>
        <w:spacing w:after="60"/>
        <w:jc w:val="both"/>
      </w:pPr>
      <w:r>
        <w:rPr>
          <w:rFonts w:ascii="Calibri" w:cs="Calibri" w:eastAsia="Calibri" w:hAnsi="Calibri"/>
          <w:color w:val="000000"/>
          <w:sz w:val="19"/>
          <w:szCs w:val="19"/>
        </w:rPr>
        <w:t xml:space="preserve">Microservices decomposition: Separate authentication, catalog, recommendation, and playback services so each can scale independently based on its own demand pattern.</w:t>
      </w:r>
    </w:p>
    <w:p>
      <w:pPr>
        <w:pBdr>
          <w:bottom w:val="single" w:color="000000" w:sz="6" w:space="2"/>
        </w:pBdr>
        <w:spacing w:after="100" w:before="120"/>
      </w:pPr>
      <w:r>
        <w:rPr>
          <w:rFonts w:ascii="Calibri" w:cs="Calibri" w:eastAsia="Calibri" w:hAnsi="Calibri"/>
          <w:b/>
          <w:bCs/>
          <w:color w:val="000000"/>
          <w:sz w:val="22"/>
          <w:szCs w:val="22"/>
        </w:rPr>
        <w:t xml:space="preserve">Load Balancing and Auto-Scaling</w:t>
      </w:r>
    </w:p>
    <w:p>
      <w:pPr>
        <w:spacing w:after="90"/>
        <w:jc w:val="both"/>
      </w:pPr>
      <w:r>
        <w:rPr>
          <w:rFonts w:ascii="Calibri" w:cs="Calibri" w:eastAsia="Calibri" w:hAnsi="Calibri"/>
          <w:color w:val="000000"/>
          <w:sz w:val="19"/>
          <w:szCs w:val="19"/>
        </w:rPr>
        <w:t xml:space="preserve">A global (DNS/anycast-based) load balancer routes users to their nearest healthy region, while regional load balancers distribute traffic across stateless application instances. Auto-scaling groups, driven by real-time metrics (CPU, request rate, concurrent connections), add or remove compute capacity automatically — critical for handling predictable peaks (prime-time viewing, live events) as well as sudden unpredictable surges, ensuring smooth streaming without manual intervention.</w:t>
      </w:r>
    </w:p>
    <w:p>
      <w:pPr>
        <w:pBdr>
          <w:bottom w:val="single" w:color="000000" w:sz="6" w:space="2"/>
        </w:pBdr>
        <w:spacing w:after="100" w:before="120"/>
      </w:pPr>
      <w:r>
        <w:rPr>
          <w:rFonts w:ascii="Calibri" w:cs="Calibri" w:eastAsia="Calibri" w:hAnsi="Calibri"/>
          <w:b/>
          <w:bCs/>
          <w:color w:val="000000"/>
          <w:sz w:val="22"/>
          <w:szCs w:val="22"/>
        </w:rPr>
        <w:t xml:space="preserve">Cost Optimization Strategies</w:t>
      </w:r>
    </w:p>
    <w:p>
      <w:pPr>
        <w:pStyle w:val="ListParagraph"/>
        <w:numPr>
          <w:ilvl w:val="0"/>
          <w:numId w:val="1"/>
        </w:numPr>
        <w:spacing w:after="60"/>
        <w:jc w:val="both"/>
      </w:pPr>
      <w:r>
        <w:rPr>
          <w:rFonts w:ascii="Calibri" w:cs="Calibri" w:eastAsia="Calibri" w:hAnsi="Calibri"/>
          <w:color w:val="000000"/>
          <w:sz w:val="19"/>
          <w:szCs w:val="19"/>
        </w:rPr>
        <w:t xml:space="preserve">Use tiered storage: hot/popular content on high-performance storage, cold/rarely watched content on cheaper archival tiers.</w:t>
      </w:r>
    </w:p>
    <w:p>
      <w:pPr>
        <w:pStyle w:val="ListParagraph"/>
        <w:numPr>
          <w:ilvl w:val="0"/>
          <w:numId w:val="1"/>
        </w:numPr>
        <w:spacing w:after="60"/>
        <w:jc w:val="both"/>
      </w:pPr>
      <w:r>
        <w:rPr>
          <w:rFonts w:ascii="Calibri" w:cs="Calibri" w:eastAsia="Calibri" w:hAnsi="Calibri"/>
          <w:color w:val="000000"/>
          <w:sz w:val="19"/>
          <w:szCs w:val="19"/>
        </w:rPr>
        <w:t xml:space="preserve">Combine reserved/committed-use instances for predictable baseline load with spot/preemptible instances for transcoding batch jobs, reducing compute spend significantly.</w:t>
      </w:r>
    </w:p>
    <w:p>
      <w:pPr>
        <w:pStyle w:val="ListParagraph"/>
        <w:numPr>
          <w:ilvl w:val="0"/>
          <w:numId w:val="1"/>
        </w:numPr>
        <w:spacing w:after="60"/>
        <w:jc w:val="both"/>
      </w:pPr>
      <w:r>
        <w:rPr>
          <w:rFonts w:ascii="Calibri" w:cs="Calibri" w:eastAsia="Calibri" w:hAnsi="Calibri"/>
          <w:color w:val="000000"/>
          <w:sz w:val="19"/>
          <w:szCs w:val="19"/>
        </w:rPr>
        <w:t xml:space="preserve">Maximize CDN cache-hit ratio to minimize expensive origin egress traffic, and use pay-as-you-go auto-scaling so capacity is not paid for during low-traffic windows.</w:t>
      </w:r>
    </w:p>
    <w:p>
      <w:pPr>
        <w:pBdr>
          <w:bottom w:val="single" w:color="000000" w:sz="6" w:space="2"/>
        </w:pBdr>
        <w:spacing w:after="100" w:before="120"/>
      </w:pPr>
      <w:r>
        <w:rPr>
          <w:rFonts w:ascii="Calibri" w:cs="Calibri" w:eastAsia="Calibri" w:hAnsi="Calibri"/>
          <w:b/>
          <w:bCs/>
          <w:color w:val="000000"/>
          <w:sz w:val="22"/>
          <w:szCs w:val="22"/>
        </w:rPr>
        <w:t xml:space="preserve">Justification</w:t>
      </w:r>
    </w:p>
    <w:p>
      <w:pPr>
        <w:spacing w:after="90"/>
        <w:jc w:val="both"/>
      </w:pPr>
      <w:r>
        <w:rPr>
          <w:rFonts w:ascii="Calibri" w:cs="Calibri" w:eastAsia="Calibri" w:hAnsi="Calibri"/>
          <w:color w:val="000000"/>
          <w:sz w:val="19"/>
          <w:szCs w:val="19"/>
        </w:rPr>
        <w:t xml:space="preserve">This design directly addresses the scenario's two constraints — massive concurrency and minimal buffering — through edge caching and adaptive bitrate delivery, while auto-scaling and load balancing guarantee elasticity without over-provisioning, and tiered storage with spot capacity keeps the high-demand workload financially sustainable.</w:t>
      </w:r>
    </w:p>
    <w:p>
      <w:r>
        <w:br w:type="page"/>
      </w:r>
    </w:p>
    <w:p>
      <w:pPr>
        <w:spacing w:after="160" w:before="0"/>
      </w:pPr>
      <w:r>
        <w:rPr>
          <w:rFonts w:ascii="Calibri" w:cs="Calibri" w:eastAsia="Calibri" w:hAnsi="Calibri"/>
          <w:b/>
          <w:bCs/>
          <w:color w:val="000000"/>
          <w:sz w:val="26"/>
          <w:szCs w:val="26"/>
        </w:rPr>
        <w:t xml:space="preserve">Question 2</w:t>
      </w:r>
    </w:p>
    <w:p>
      <w:pPr>
        <w:pBdr>
          <w:bottom w:val="single" w:color="000000" w:sz="6" w:space="2"/>
        </w:pBdr>
        <w:spacing w:after="100" w:before="120"/>
      </w:pPr>
      <w:r>
        <w:rPr>
          <w:rFonts w:ascii="Calibri" w:cs="Calibri" w:eastAsia="Calibri" w:hAnsi="Calibri"/>
          <w:b/>
          <w:bCs/>
          <w:color w:val="000000"/>
          <w:sz w:val="22"/>
          <w:szCs w:val="22"/>
        </w:rPr>
        <w:t xml:space="preserve">Understanding of the Scenario</w:t>
      </w:r>
    </w:p>
    <w:p>
      <w:pPr>
        <w:spacing w:after="90"/>
        <w:jc w:val="both"/>
      </w:pPr>
      <w:r>
        <w:rPr>
          <w:rFonts w:ascii="Calibri" w:cs="Calibri" w:eastAsia="Calibri" w:hAnsi="Calibri"/>
          <w:color w:val="000000"/>
          <w:sz w:val="19"/>
          <w:szCs w:val="19"/>
        </w:rPr>
        <w:t xml:space="preserve">A fintech startup runs containerized applications across multiple cloud providers and struggles to keep deployments consistent and manageable. The underlying issue is a lack of a unifying orchestration and governance layer that can operate identically regardless of which provider is hosting a given workload — this is fundamentally a consistency and control problem, not just a tooling problem.</w:t>
      </w:r>
    </w:p>
    <w:p>
      <w:pPr>
        <w:pBdr>
          <w:bottom w:val="single" w:color="000000" w:sz="6" w:space="2"/>
        </w:pBdr>
        <w:spacing w:after="100" w:before="120"/>
      </w:pPr>
      <w:r>
        <w:rPr>
          <w:rFonts w:ascii="Calibri" w:cs="Calibri" w:eastAsia="Calibri" w:hAnsi="Calibri"/>
          <w:b/>
          <w:bCs/>
          <w:color w:val="000000"/>
          <w:sz w:val="22"/>
          <w:szCs w:val="22"/>
        </w:rPr>
        <w:t xml:space="preserve">Proposed Solution: Container Orchestration and Multi-Cloud Strategy</w:t>
      </w:r>
    </w:p>
    <w:p>
      <w:pPr>
        <w:pStyle w:val="ListParagraph"/>
        <w:numPr>
          <w:ilvl w:val="0"/>
          <w:numId w:val="1"/>
        </w:numPr>
        <w:spacing w:after="60"/>
        <w:jc w:val="both"/>
      </w:pPr>
      <w:r>
        <w:rPr>
          <w:rFonts w:ascii="Calibri" w:cs="Calibri" w:eastAsia="Calibri" w:hAnsi="Calibri"/>
          <w:color w:val="000000"/>
          <w:sz w:val="19"/>
          <w:szCs w:val="19"/>
        </w:rPr>
        <w:t xml:space="preserve">Adopt Kubernetes as a common orchestration layer across all providers (using managed offerings like EKS, AKS, GKE, or a self-managed cluster), so deployment manifests, scaling policies, and networking rules are defined once and applied identically everywhere.</w:t>
      </w:r>
    </w:p>
    <w:p>
      <w:pPr>
        <w:pStyle w:val="ListParagraph"/>
        <w:numPr>
          <w:ilvl w:val="0"/>
          <w:numId w:val="1"/>
        </w:numPr>
        <w:spacing w:after="60"/>
        <w:jc w:val="both"/>
      </w:pPr>
      <w:r>
        <w:rPr>
          <w:rFonts w:ascii="Calibri" w:cs="Calibri" w:eastAsia="Calibri" w:hAnsi="Calibri"/>
          <w:color w:val="000000"/>
          <w:sz w:val="19"/>
          <w:szCs w:val="19"/>
        </w:rPr>
        <w:t xml:space="preserve">Use GitOps-based continuous delivery (e.g., ArgoCD/Flux) so every cluster in every cloud pulls from the same declarative source of truth, eliminating configuration drift between providers.</w:t>
      </w:r>
    </w:p>
    <w:p>
      <w:pPr>
        <w:pStyle w:val="ListParagraph"/>
        <w:numPr>
          <w:ilvl w:val="0"/>
          <w:numId w:val="1"/>
        </w:numPr>
        <w:spacing w:after="60"/>
        <w:jc w:val="both"/>
      </w:pPr>
      <w:r>
        <w:rPr>
          <w:rFonts w:ascii="Calibri" w:cs="Calibri" w:eastAsia="Calibri" w:hAnsi="Calibri"/>
          <w:color w:val="000000"/>
          <w:sz w:val="19"/>
          <w:szCs w:val="19"/>
        </w:rPr>
        <w:t xml:space="preserve">Standardize container images and Helm charts so the same artifact is deployed unchanged across AWS, Azure, or GCP clusters, ensuring functional consistency.</w:t>
      </w:r>
    </w:p>
    <w:p>
      <w:pPr>
        <w:pBdr>
          <w:bottom w:val="single" w:color="000000" w:sz="6" w:space="2"/>
        </w:pBdr>
        <w:spacing w:after="100" w:before="120"/>
      </w:pPr>
      <w:r>
        <w:rPr>
          <w:rFonts w:ascii="Calibri" w:cs="Calibri" w:eastAsia="Calibri" w:hAnsi="Calibri"/>
          <w:b/>
          <w:bCs/>
          <w:color w:val="000000"/>
          <w:sz w:val="22"/>
          <w:szCs w:val="22"/>
        </w:rPr>
        <w:t xml:space="preserve">Service Discovery and Scaling</w:t>
      </w:r>
    </w:p>
    <w:p>
      <w:pPr>
        <w:spacing w:after="90"/>
        <w:jc w:val="both"/>
      </w:pPr>
      <w:r>
        <w:rPr>
          <w:rFonts w:ascii="Calibri" w:cs="Calibri" w:eastAsia="Calibri" w:hAnsi="Calibri"/>
          <w:color w:val="000000"/>
          <w:sz w:val="19"/>
          <w:szCs w:val="19"/>
        </w:rPr>
        <w:t xml:space="preserve">A service mesh (Istio/Linkerd) layered across the multi-cloud clusters provides consistent service discovery, mutual TLS, and traffic routing regardless of which cloud a service instance runs in, so services can call each other by name without hardcoding provider-specific endpoints. Horizontal Pod Autoscalers, combined with cluster autoscalers per cloud, allow each region/provider to scale its own container replicas independently based on load, while a global traffic manager balances requests across providers for both performance and redundancy.</w:t>
      </w:r>
    </w:p>
    <w:p>
      <w:pPr>
        <w:pBdr>
          <w:bottom w:val="single" w:color="000000" w:sz="6" w:space="2"/>
        </w:pBdr>
        <w:spacing w:after="100" w:before="120"/>
      </w:pPr>
      <w:r>
        <w:rPr>
          <w:rFonts w:ascii="Calibri" w:cs="Calibri" w:eastAsia="Calibri" w:hAnsi="Calibri"/>
          <w:b/>
          <w:bCs/>
          <w:color w:val="000000"/>
          <w:sz w:val="22"/>
          <w:szCs w:val="22"/>
        </w:rPr>
        <w:t xml:space="preserve">Benefits and Risks of Multi-Cloud Deployment</w:t>
      </w:r>
    </w:p>
    <w:p>
      <w:pPr>
        <w:pStyle w:val="ListParagraph"/>
        <w:numPr>
          <w:ilvl w:val="0"/>
          <w:numId w:val="1"/>
        </w:numPr>
        <w:spacing w:after="60"/>
        <w:jc w:val="both"/>
      </w:pPr>
      <w:r>
        <w:rPr>
          <w:rFonts w:ascii="Calibri" w:cs="Calibri" w:eastAsia="Calibri" w:hAnsi="Calibri"/>
          <w:color w:val="000000"/>
          <w:sz w:val="19"/>
          <w:szCs w:val="19"/>
        </w:rPr>
        <w:t xml:space="preserve">Benefits: avoids vendor lock-in, improves resilience (no single provider is a single point of failure), and allows workload placement based on regulatory or cost advantages of each provider.</w:t>
      </w:r>
    </w:p>
    <w:p>
      <w:pPr>
        <w:pStyle w:val="ListParagraph"/>
        <w:numPr>
          <w:ilvl w:val="0"/>
          <w:numId w:val="1"/>
        </w:numPr>
        <w:spacing w:after="60"/>
        <w:jc w:val="both"/>
      </w:pPr>
      <w:r>
        <w:rPr>
          <w:rFonts w:ascii="Calibri" w:cs="Calibri" w:eastAsia="Calibri" w:hAnsi="Calibri"/>
          <w:color w:val="000000"/>
          <w:sz w:val="19"/>
          <w:szCs w:val="19"/>
        </w:rPr>
        <w:t xml:space="preserve">Risks: increased operational complexity, inconsistent provider-specific services (IAM, storage APIs) that can reintroduce drift if not abstracted, higher networking cost for cross-cloud traffic, and a larger overall security surface to monitor and audit.</w:t>
      </w:r>
    </w:p>
    <w:p>
      <w:pPr>
        <w:pBdr>
          <w:bottom w:val="single" w:color="000000" w:sz="6" w:space="2"/>
        </w:pBdr>
        <w:spacing w:after="100" w:before="120"/>
      </w:pPr>
      <w:r>
        <w:rPr>
          <w:rFonts w:ascii="Calibri" w:cs="Calibri" w:eastAsia="Calibri" w:hAnsi="Calibri"/>
          <w:b/>
          <w:bCs/>
          <w:color w:val="000000"/>
          <w:sz w:val="22"/>
          <w:szCs w:val="22"/>
        </w:rPr>
        <w:t xml:space="preserve">Justification</w:t>
      </w:r>
    </w:p>
    <w:p>
      <w:pPr>
        <w:spacing w:after="90"/>
        <w:jc w:val="both"/>
      </w:pPr>
      <w:r>
        <w:rPr>
          <w:rFonts w:ascii="Calibri" w:cs="Calibri" w:eastAsia="Calibri" w:hAnsi="Calibri"/>
          <w:color w:val="000000"/>
          <w:sz w:val="19"/>
          <w:szCs w:val="19"/>
        </w:rPr>
        <w:t xml:space="preserve">Standardizing on Kubernetes plus GitOps and a service mesh directly resolves the consistency problem by making the orchestration layer, not the underlying cloud, the source of truth — while the identified risks (complexity, cost, security surface) are the necessary trade-offs for the resilience and lock-in avoidance the startup is seeking.</w:t>
      </w:r>
    </w:p>
    <w:p>
      <w:r>
        <w:br w:type="page"/>
      </w:r>
    </w:p>
    <w:p>
      <w:pPr>
        <w:spacing w:after="160" w:before="0"/>
      </w:pPr>
      <w:r>
        <w:rPr>
          <w:rFonts w:ascii="Calibri" w:cs="Calibri" w:eastAsia="Calibri" w:hAnsi="Calibri"/>
          <w:b/>
          <w:bCs/>
          <w:color w:val="000000"/>
          <w:sz w:val="26"/>
          <w:szCs w:val="26"/>
        </w:rPr>
        <w:t xml:space="preserve">Question 3</w:t>
      </w:r>
    </w:p>
    <w:p>
      <w:pPr>
        <w:pBdr>
          <w:bottom w:val="single" w:color="000000" w:sz="6" w:space="2"/>
        </w:pBdr>
        <w:spacing w:after="100" w:before="120"/>
      </w:pPr>
      <w:r>
        <w:rPr>
          <w:rFonts w:ascii="Calibri" w:cs="Calibri" w:eastAsia="Calibri" w:hAnsi="Calibri"/>
          <w:b/>
          <w:bCs/>
          <w:color w:val="000000"/>
          <w:sz w:val="22"/>
          <w:szCs w:val="22"/>
        </w:rPr>
        <w:t xml:space="preserve">Understanding of the Scenario</w:t>
      </w:r>
    </w:p>
    <w:p>
      <w:pPr>
        <w:spacing w:after="90"/>
        <w:jc w:val="both"/>
      </w:pPr>
      <w:r>
        <w:rPr>
          <w:rFonts w:ascii="Calibri" w:cs="Calibri" w:eastAsia="Calibri" w:hAnsi="Calibri"/>
          <w:color w:val="000000"/>
          <w:sz w:val="19"/>
          <w:szCs w:val="19"/>
        </w:rPr>
        <w:t xml:space="preserve">An e-learning platform suffered data loss from accidental deletion in the cloud, revealing that the organization has no robust backup and disaster recovery (DR) posture. The scenario requires a design that not only restores lost data but also bounds how much data can ever be lost and how quickly service can be restored after any future failure.</w:t>
      </w:r>
    </w:p>
    <w:p>
      <w:pPr>
        <w:pBdr>
          <w:bottom w:val="single" w:color="000000" w:sz="6" w:space="2"/>
        </w:pBdr>
        <w:spacing w:after="100" w:before="120"/>
      </w:pPr>
      <w:r>
        <w:rPr>
          <w:rFonts w:ascii="Calibri" w:cs="Calibri" w:eastAsia="Calibri" w:hAnsi="Calibri"/>
          <w:b/>
          <w:bCs/>
          <w:color w:val="000000"/>
          <w:sz w:val="22"/>
          <w:szCs w:val="22"/>
        </w:rPr>
        <w:t xml:space="preserve">Backup, Replication, and Versioning Design</w:t>
      </w:r>
    </w:p>
    <w:p>
      <w:pPr>
        <w:pStyle w:val="ListParagraph"/>
        <w:numPr>
          <w:ilvl w:val="0"/>
          <w:numId w:val="1"/>
        </w:numPr>
        <w:spacing w:after="60"/>
        <w:jc w:val="both"/>
      </w:pPr>
      <w:r>
        <w:rPr>
          <w:rFonts w:ascii="Calibri" w:cs="Calibri" w:eastAsia="Calibri" w:hAnsi="Calibri"/>
          <w:color w:val="000000"/>
          <w:sz w:val="19"/>
          <w:szCs w:val="19"/>
        </w:rPr>
        <w:t xml:space="preserve">Automated, scheduled backups of databases and course content to a separate storage account/region, using cloud-native backup services (e.g., AWS Backup, Azure Backup) rather than manual processes prone to human error.</w:t>
      </w:r>
    </w:p>
    <w:p>
      <w:pPr>
        <w:pStyle w:val="ListParagraph"/>
        <w:numPr>
          <w:ilvl w:val="0"/>
          <w:numId w:val="1"/>
        </w:numPr>
        <w:spacing w:after="60"/>
        <w:jc w:val="both"/>
      </w:pPr>
      <w:r>
        <w:rPr>
          <w:rFonts w:ascii="Calibri" w:cs="Calibri" w:eastAsia="Calibri" w:hAnsi="Calibri"/>
          <w:color w:val="000000"/>
          <w:sz w:val="19"/>
          <w:szCs w:val="19"/>
        </w:rPr>
        <w:t xml:space="preserve">Object versioning enabled on all storage buckets holding course materials, so an accidental delete or overwrite can be reverted to a prior version instead of being permanently lost.</w:t>
      </w:r>
    </w:p>
    <w:p>
      <w:pPr>
        <w:pStyle w:val="ListParagraph"/>
        <w:numPr>
          <w:ilvl w:val="0"/>
          <w:numId w:val="1"/>
        </w:numPr>
        <w:spacing w:after="60"/>
        <w:jc w:val="both"/>
      </w:pPr>
      <w:r>
        <w:rPr>
          <w:rFonts w:ascii="Calibri" w:cs="Calibri" w:eastAsia="Calibri" w:hAnsi="Calibri"/>
          <w:color w:val="000000"/>
          <w:sz w:val="19"/>
          <w:szCs w:val="19"/>
        </w:rPr>
        <w:t xml:space="preserve">Cross-region replication of critical databases (synchronous for the primary region, asynchronous to a secondary region) so a regional outage does not equal data loss.</w:t>
      </w:r>
    </w:p>
    <w:p>
      <w:pPr>
        <w:pStyle w:val="ListParagraph"/>
        <w:numPr>
          <w:ilvl w:val="0"/>
          <w:numId w:val="1"/>
        </w:numPr>
        <w:spacing w:after="60"/>
        <w:jc w:val="both"/>
      </w:pPr>
      <w:r>
        <w:rPr>
          <w:rFonts w:ascii="Calibri" w:cs="Calibri" w:eastAsia="Calibri" w:hAnsi="Calibri"/>
          <w:color w:val="000000"/>
          <w:sz w:val="19"/>
          <w:szCs w:val="19"/>
        </w:rPr>
        <w:t xml:space="preserve">Soft-delete / retention policies with a mandatory recovery window (e.g., 30 days) before any object is permanently purged, directly preventing the accidental-deletion scenario described.</w:t>
      </w:r>
    </w:p>
    <w:p>
      <w:pPr>
        <w:pBdr>
          <w:bottom w:val="single" w:color="000000" w:sz="6" w:space="2"/>
        </w:pBdr>
        <w:spacing w:after="100" w:before="120"/>
      </w:pPr>
      <w:r>
        <w:rPr>
          <w:rFonts w:ascii="Calibri" w:cs="Calibri" w:eastAsia="Calibri" w:hAnsi="Calibri"/>
          <w:b/>
          <w:bCs/>
          <w:color w:val="000000"/>
          <w:sz w:val="22"/>
          <w:szCs w:val="22"/>
        </w:rPr>
        <w:t xml:space="preserve">Achieving RTO and RPO Targets</w:t>
      </w:r>
    </w:p>
    <w:p>
      <w:pPr>
        <w:spacing w:after="90"/>
        <w:jc w:val="both"/>
      </w:pPr>
      <w:r>
        <w:rPr>
          <w:rFonts w:ascii="Calibri" w:cs="Calibri" w:eastAsia="Calibri" w:hAnsi="Calibri"/>
          <w:color w:val="000000"/>
          <w:sz w:val="19"/>
          <w:szCs w:val="19"/>
        </w:rPr>
        <w:t xml:space="preserve">Recovery Point Objective (RPO) — the maximum tolerable data loss — is achieved by setting backup/replication frequency tighter than the acceptable loss window; for example, continuous replication yields near-zero RPO, while nightly backups yield a 24-hour RPO. Recovery Time Objective (RTO) — the maximum tolerable downtime — is achieved by maintaining a warm or hot standby environment (pre-provisioned infrastructure in the DR region) so failover is a matter of redirecting traffic rather than rebuilding infrastructure from scratch; the specific RTO/RPO targets should be set per data criticality tier (e.g., grading records need near-zero RPO, while static course videos can tolerate a longer RPO).</w:t>
      </w:r>
    </w:p>
    <w:p>
      <w:pPr>
        <w:pBdr>
          <w:bottom w:val="single" w:color="000000" w:sz="6" w:space="2"/>
        </w:pBdr>
        <w:spacing w:after="100" w:before="120"/>
      </w:pPr>
      <w:r>
        <w:rPr>
          <w:rFonts w:ascii="Calibri" w:cs="Calibri" w:eastAsia="Calibri" w:hAnsi="Calibri"/>
          <w:b/>
          <w:bCs/>
          <w:color w:val="000000"/>
          <w:sz w:val="22"/>
          <w:szCs w:val="22"/>
        </w:rPr>
        <w:t xml:space="preserve">Business Continuity Steps</w:t>
      </w:r>
    </w:p>
    <w:p>
      <w:pPr>
        <w:pStyle w:val="ListParagraph"/>
        <w:numPr>
          <w:ilvl w:val="0"/>
          <w:numId w:val="1"/>
        </w:numPr>
        <w:spacing w:after="60"/>
        <w:jc w:val="both"/>
      </w:pPr>
      <w:r>
        <w:rPr>
          <w:rFonts w:ascii="Calibri" w:cs="Calibri" w:eastAsia="Calibri" w:hAnsi="Calibri"/>
          <w:color w:val="000000"/>
          <w:sz w:val="19"/>
          <w:szCs w:val="19"/>
        </w:rPr>
        <w:t xml:space="preserve">Define and document a DR runbook with clear roles, failover triggers, and communication steps.</w:t>
      </w:r>
    </w:p>
    <w:p>
      <w:pPr>
        <w:pStyle w:val="ListParagraph"/>
        <w:numPr>
          <w:ilvl w:val="0"/>
          <w:numId w:val="1"/>
        </w:numPr>
        <w:spacing w:after="60"/>
        <w:jc w:val="both"/>
      </w:pPr>
      <w:r>
        <w:rPr>
          <w:rFonts w:ascii="Calibri" w:cs="Calibri" w:eastAsia="Calibri" w:hAnsi="Calibri"/>
          <w:color w:val="000000"/>
          <w:sz w:val="19"/>
          <w:szCs w:val="19"/>
        </w:rPr>
        <w:t xml:space="preserve">Regularly test restoration (not just backup) through scheduled DR drills to validate that the RTO/RPO targets are actually achievable in practice.</w:t>
      </w:r>
    </w:p>
    <w:p>
      <w:pPr>
        <w:pStyle w:val="ListParagraph"/>
        <w:numPr>
          <w:ilvl w:val="0"/>
          <w:numId w:val="1"/>
        </w:numPr>
        <w:spacing w:after="60"/>
        <w:jc w:val="both"/>
      </w:pPr>
      <w:r>
        <w:rPr>
          <w:rFonts w:ascii="Calibri" w:cs="Calibri" w:eastAsia="Calibri" w:hAnsi="Calibri"/>
          <w:color w:val="000000"/>
          <w:sz w:val="19"/>
          <w:szCs w:val="19"/>
        </w:rPr>
        <w:t xml:space="preserve">Automate failover using health checks and DNS/traffic-manager redirection to the DR region, minimizing manual intervention during an incident.</w:t>
      </w:r>
    </w:p>
    <w:p>
      <w:pPr>
        <w:pBdr>
          <w:bottom w:val="single" w:color="000000" w:sz="6" w:space="2"/>
        </w:pBdr>
        <w:spacing w:after="100" w:before="120"/>
      </w:pPr>
      <w:r>
        <w:rPr>
          <w:rFonts w:ascii="Calibri" w:cs="Calibri" w:eastAsia="Calibri" w:hAnsi="Calibri"/>
          <w:b/>
          <w:bCs/>
          <w:color w:val="000000"/>
          <w:sz w:val="22"/>
          <w:szCs w:val="22"/>
        </w:rPr>
        <w:t xml:space="preserve">Justification</w:t>
      </w:r>
    </w:p>
    <w:p>
      <w:pPr>
        <w:spacing w:after="90"/>
        <w:jc w:val="both"/>
      </w:pPr>
      <w:r>
        <w:rPr>
          <w:rFonts w:ascii="Calibri" w:cs="Calibri" w:eastAsia="Calibri" w:hAnsi="Calibri"/>
          <w:color w:val="000000"/>
          <w:sz w:val="19"/>
          <w:szCs w:val="19"/>
        </w:rPr>
        <w:t xml:space="preserve">Versioning and soft-delete directly close the gap that caused the original incident, while tiered replication and a tested failover runbook ensure the platform meets defined RTO/RPO targets rather than relying on best-effort recovery.</w:t>
      </w:r>
    </w:p>
    <w:p>
      <w:r>
        <w:br w:type="page"/>
      </w:r>
    </w:p>
    <w:p>
      <w:pPr>
        <w:spacing w:after="160" w:before="0"/>
      </w:pPr>
      <w:r>
        <w:rPr>
          <w:rFonts w:ascii="Calibri" w:cs="Calibri" w:eastAsia="Calibri" w:hAnsi="Calibri"/>
          <w:b/>
          <w:bCs/>
          <w:color w:val="000000"/>
          <w:sz w:val="26"/>
          <w:szCs w:val="26"/>
        </w:rPr>
        <w:t xml:space="preserve">Question 4</w:t>
      </w:r>
    </w:p>
    <w:p>
      <w:pPr>
        <w:pBdr>
          <w:bottom w:val="single" w:color="000000" w:sz="6" w:space="2"/>
        </w:pBdr>
        <w:spacing w:after="100" w:before="120"/>
      </w:pPr>
      <w:r>
        <w:rPr>
          <w:rFonts w:ascii="Calibri" w:cs="Calibri" w:eastAsia="Calibri" w:hAnsi="Calibri"/>
          <w:b/>
          <w:bCs/>
          <w:color w:val="000000"/>
          <w:sz w:val="22"/>
          <w:szCs w:val="22"/>
        </w:rPr>
        <w:t xml:space="preserve">Understanding of the Scenario</w:t>
      </w:r>
    </w:p>
    <w:p>
      <w:pPr>
        <w:spacing w:after="90"/>
        <w:jc w:val="both"/>
      </w:pPr>
      <w:r>
        <w:rPr>
          <w:rFonts w:ascii="Calibri" w:cs="Calibri" w:eastAsia="Calibri" w:hAnsi="Calibri"/>
          <w:color w:val="000000"/>
          <w:sz w:val="19"/>
          <w:szCs w:val="19"/>
        </w:rPr>
        <w:t xml:space="preserve">A government agency must adopt a hybrid cloud model where sensitive workloads remain on-premises for compliance while other applications move to the cloud. The design challenge is enabling these two environments to interoperate securely without violating the compliance boundary that keeps sensitive data on-premises.</w:t>
      </w:r>
    </w:p>
    <w:p>
      <w:pPr>
        <w:pBdr>
          <w:bottom w:val="single" w:color="000000" w:sz="6" w:space="2"/>
        </w:pBdr>
        <w:spacing w:after="100" w:before="120"/>
      </w:pPr>
      <w:r>
        <w:rPr>
          <w:rFonts w:ascii="Calibri" w:cs="Calibri" w:eastAsia="Calibri" w:hAnsi="Calibri"/>
          <w:b/>
          <w:bCs/>
          <w:color w:val="000000"/>
          <w:sz w:val="22"/>
          <w:szCs w:val="22"/>
        </w:rPr>
        <w:t xml:space="preserve">Hybrid Architecture and Secure Communication</w:t>
      </w:r>
    </w:p>
    <w:p>
      <w:pPr>
        <w:pStyle w:val="ListParagraph"/>
        <w:numPr>
          <w:ilvl w:val="0"/>
          <w:numId w:val="1"/>
        </w:numPr>
        <w:spacing w:after="60"/>
        <w:jc w:val="both"/>
      </w:pPr>
      <w:r>
        <w:rPr>
          <w:rFonts w:ascii="Calibri" w:cs="Calibri" w:eastAsia="Calibri" w:hAnsi="Calibri"/>
          <w:color w:val="000000"/>
          <w:sz w:val="19"/>
          <w:szCs w:val="19"/>
        </w:rPr>
        <w:t xml:space="preserve">Segment workloads explicitly: sensitive/regulated data and applications stay on-premises; non-sensitive, elastic workloads (portals, analytics, public-facing services) run in the cloud.</w:t>
      </w:r>
    </w:p>
    <w:p>
      <w:pPr>
        <w:pStyle w:val="ListParagraph"/>
        <w:numPr>
          <w:ilvl w:val="0"/>
          <w:numId w:val="1"/>
        </w:numPr>
        <w:spacing w:after="60"/>
        <w:jc w:val="both"/>
      </w:pPr>
      <w:r>
        <w:rPr>
          <w:rFonts w:ascii="Calibri" w:cs="Calibri" w:eastAsia="Calibri" w:hAnsi="Calibri"/>
          <w:color w:val="000000"/>
          <w:sz w:val="19"/>
          <w:szCs w:val="19"/>
        </w:rPr>
        <w:t xml:space="preserve">Connect the two environments using a dedicated private link (e.g., AWS Direct Connect / Azure ExpressRoute) or an IPsec VPN with a site-to-site gateway, avoiding exposure of either environment directly to the public internet.</w:t>
      </w:r>
    </w:p>
    <w:p>
      <w:pPr>
        <w:pStyle w:val="ListParagraph"/>
        <w:numPr>
          <w:ilvl w:val="0"/>
          <w:numId w:val="1"/>
        </w:numPr>
        <w:spacing w:after="60"/>
        <w:jc w:val="both"/>
      </w:pPr>
      <w:r>
        <w:rPr>
          <w:rFonts w:ascii="Calibri" w:cs="Calibri" w:eastAsia="Calibri" w:hAnsi="Calibri"/>
          <w:color w:val="000000"/>
          <w:sz w:val="19"/>
          <w:szCs w:val="19"/>
        </w:rPr>
        <w:t xml:space="preserve">Deploy a hybrid API gateway/reverse proxy at the boundary so cloud applications request only the specific on-premises data they need, through an authenticated, auditable interface rather than direct database access.</w:t>
      </w:r>
    </w:p>
    <w:p>
      <w:pPr>
        <w:pBdr>
          <w:bottom w:val="single" w:color="000000" w:sz="6" w:space="2"/>
        </w:pBdr>
        <w:spacing w:after="100" w:before="120"/>
      </w:pPr>
      <w:r>
        <w:rPr>
          <w:rFonts w:ascii="Calibri" w:cs="Calibri" w:eastAsia="Calibri" w:hAnsi="Calibri"/>
          <w:b/>
          <w:bCs/>
          <w:color w:val="000000"/>
          <w:sz w:val="22"/>
          <w:szCs w:val="22"/>
        </w:rPr>
        <w:t xml:space="preserve">Identity Management and Encryption</w:t>
      </w:r>
    </w:p>
    <w:p>
      <w:pPr>
        <w:spacing w:after="90"/>
        <w:jc w:val="both"/>
      </w:pPr>
      <w:r>
        <w:rPr>
          <w:rFonts w:ascii="Calibri" w:cs="Calibri" w:eastAsia="Calibri" w:hAnsi="Calibri"/>
          <w:color w:val="000000"/>
          <w:sz w:val="19"/>
          <w:szCs w:val="19"/>
        </w:rPr>
        <w:t xml:space="preserve">A federated identity provider (using SAML/OIDC) synchronized between the on-premises directory (e.g., Active Directory) and the cloud IAM system ensures a single identity governs access on both sides, with role-based access control consistently enforced regardless of where a resource lives. All data must be encrypted at rest (using keys managed in a hardware security module or cloud KMS, with the agency retaining key control for sensitive data) and in transit (TLS 1.2+/mutual TLS across the hybrid link), so compliance requirements are met on both ends of the connection.</w:t>
      </w:r>
    </w:p>
    <w:p>
      <w:pPr>
        <w:pBdr>
          <w:bottom w:val="single" w:color="000000" w:sz="6" w:space="2"/>
        </w:pBdr>
        <w:spacing w:after="100" w:before="120"/>
      </w:pPr>
      <w:r>
        <w:rPr>
          <w:rFonts w:ascii="Calibri" w:cs="Calibri" w:eastAsia="Calibri" w:hAnsi="Calibri"/>
          <w:b/>
          <w:bCs/>
          <w:color w:val="000000"/>
          <w:sz w:val="22"/>
          <w:szCs w:val="22"/>
        </w:rPr>
        <w:t xml:space="preserve">Challenges in Managing Hybrid Cloud Environments</w:t>
      </w:r>
    </w:p>
    <w:p>
      <w:pPr>
        <w:pStyle w:val="ListParagraph"/>
        <w:numPr>
          <w:ilvl w:val="0"/>
          <w:numId w:val="1"/>
        </w:numPr>
        <w:spacing w:after="60"/>
        <w:jc w:val="both"/>
      </w:pPr>
      <w:r>
        <w:rPr>
          <w:rFonts w:ascii="Calibri" w:cs="Calibri" w:eastAsia="Calibri" w:hAnsi="Calibri"/>
          <w:color w:val="000000"/>
          <w:sz w:val="19"/>
          <w:szCs w:val="19"/>
        </w:rPr>
        <w:t xml:space="preserve">Consistent policy enforcement: keeping security and compliance policies identical across on-premises and cloud requires additional tooling and governance overhead.</w:t>
      </w:r>
    </w:p>
    <w:p>
      <w:pPr>
        <w:pStyle w:val="ListParagraph"/>
        <w:numPr>
          <w:ilvl w:val="0"/>
          <w:numId w:val="1"/>
        </w:numPr>
        <w:spacing w:after="60"/>
        <w:jc w:val="both"/>
      </w:pPr>
      <w:r>
        <w:rPr>
          <w:rFonts w:ascii="Calibri" w:cs="Calibri" w:eastAsia="Calibri" w:hAnsi="Calibri"/>
          <w:color w:val="000000"/>
          <w:sz w:val="19"/>
          <w:szCs w:val="19"/>
        </w:rPr>
        <w:t xml:space="preserve">Network complexity and latency: hybrid connectivity introduces a dependency on link reliability and can add latency for workloads that must cross the boundary frequently.</w:t>
      </w:r>
    </w:p>
    <w:p>
      <w:pPr>
        <w:pStyle w:val="ListParagraph"/>
        <w:numPr>
          <w:ilvl w:val="0"/>
          <w:numId w:val="1"/>
        </w:numPr>
        <w:spacing w:after="60"/>
        <w:jc w:val="both"/>
      </w:pPr>
      <w:r>
        <w:rPr>
          <w:rFonts w:ascii="Calibri" w:cs="Calibri" w:eastAsia="Calibri" w:hAnsi="Calibri"/>
          <w:color w:val="000000"/>
          <w:sz w:val="19"/>
          <w:szCs w:val="19"/>
        </w:rPr>
        <w:t xml:space="preserve">Visibility and monitoring: correlating logs and security events across two fundamentally different environments is harder than monitoring a single platform.</w:t>
      </w:r>
    </w:p>
    <w:p>
      <w:pPr>
        <w:pStyle w:val="ListParagraph"/>
        <w:numPr>
          <w:ilvl w:val="0"/>
          <w:numId w:val="1"/>
        </w:numPr>
        <w:spacing w:after="60"/>
        <w:jc w:val="both"/>
      </w:pPr>
      <w:r>
        <w:rPr>
          <w:rFonts w:ascii="Calibri" w:cs="Calibri" w:eastAsia="Calibri" w:hAnsi="Calibri"/>
          <w:color w:val="000000"/>
          <w:sz w:val="19"/>
          <w:szCs w:val="19"/>
        </w:rPr>
        <w:t xml:space="preserve">Skill and operational overhead: staff must maintain expertise in both on-premises infrastructure and cloud-native services.</w:t>
      </w:r>
    </w:p>
    <w:p>
      <w:pPr>
        <w:pBdr>
          <w:bottom w:val="single" w:color="000000" w:sz="6" w:space="2"/>
        </w:pBdr>
        <w:spacing w:after="100" w:before="120"/>
      </w:pPr>
      <w:r>
        <w:rPr>
          <w:rFonts w:ascii="Calibri" w:cs="Calibri" w:eastAsia="Calibri" w:hAnsi="Calibri"/>
          <w:b/>
          <w:bCs/>
          <w:color w:val="000000"/>
          <w:sz w:val="22"/>
          <w:szCs w:val="22"/>
        </w:rPr>
        <w:t xml:space="preserve">Justification</w:t>
      </w:r>
    </w:p>
    <w:p>
      <w:pPr>
        <w:spacing w:after="90"/>
        <w:jc w:val="both"/>
      </w:pPr>
      <w:r>
        <w:rPr>
          <w:rFonts w:ascii="Calibri" w:cs="Calibri" w:eastAsia="Calibri" w:hAnsi="Calibri"/>
          <w:color w:val="000000"/>
          <w:sz w:val="19"/>
          <w:szCs w:val="19"/>
        </w:rPr>
        <w:t xml:space="preserve">Segmenting workloads by sensitivity and connecting them through a private, encrypted link with federated identity satisfies the compliance requirement to keep sensitive data on-premises while still allowing controlled, auditable interoperability with cloud-hosted services.</w:t>
      </w:r>
    </w:p>
    <w:p>
      <w:r>
        <w:br w:type="page"/>
      </w:r>
    </w:p>
    <w:p>
      <w:pPr>
        <w:spacing w:after="160" w:before="0"/>
      </w:pPr>
      <w:r>
        <w:rPr>
          <w:rFonts w:ascii="Calibri" w:cs="Calibri" w:eastAsia="Calibri" w:hAnsi="Calibri"/>
          <w:b/>
          <w:bCs/>
          <w:color w:val="000000"/>
          <w:sz w:val="26"/>
          <w:szCs w:val="26"/>
        </w:rPr>
        <w:t xml:space="preserve">Question 5</w:t>
      </w:r>
    </w:p>
    <w:p>
      <w:pPr>
        <w:pBdr>
          <w:bottom w:val="single" w:color="000000" w:sz="6" w:space="2"/>
        </w:pBdr>
        <w:spacing w:after="100" w:before="120"/>
      </w:pPr>
      <w:r>
        <w:rPr>
          <w:rFonts w:ascii="Calibri" w:cs="Calibri" w:eastAsia="Calibri" w:hAnsi="Calibri"/>
          <w:b/>
          <w:bCs/>
          <w:color w:val="000000"/>
          <w:sz w:val="22"/>
          <w:szCs w:val="22"/>
        </w:rPr>
        <w:t xml:space="preserve">Understanding of the Scenario</w:t>
      </w:r>
    </w:p>
    <w:p>
      <w:pPr>
        <w:spacing w:after="90"/>
        <w:jc w:val="both"/>
      </w:pPr>
      <w:r>
        <w:rPr>
          <w:rFonts w:ascii="Calibri" w:cs="Calibri" w:eastAsia="Calibri" w:hAnsi="Calibri"/>
          <w:color w:val="000000"/>
          <w:sz w:val="19"/>
          <w:szCs w:val="19"/>
        </w:rPr>
        <w:t xml:space="preserve">A SaaS provider must keep its application available and fault-tolerant even if an entire cloud region fails. This requires an architecture where no single region is a single point of failure, and both data and traffic can shift to a healthy region automatically.</w:t>
      </w:r>
    </w:p>
    <w:p>
      <w:pPr>
        <w:pBdr>
          <w:bottom w:val="single" w:color="000000" w:sz="6" w:space="2"/>
        </w:pBdr>
        <w:spacing w:after="100" w:before="120"/>
      </w:pPr>
      <w:r>
        <w:rPr>
          <w:rFonts w:ascii="Calibri" w:cs="Calibri" w:eastAsia="Calibri" w:hAnsi="Calibri"/>
          <w:b/>
          <w:bCs/>
          <w:color w:val="000000"/>
          <w:sz w:val="22"/>
          <w:szCs w:val="22"/>
        </w:rPr>
        <w:t xml:space="preserve">Multi-Region Deployment Strategy</w:t>
      </w:r>
    </w:p>
    <w:p>
      <w:pPr>
        <w:pStyle w:val="ListParagraph"/>
        <w:numPr>
          <w:ilvl w:val="0"/>
          <w:numId w:val="1"/>
        </w:numPr>
        <w:spacing w:after="60"/>
        <w:jc w:val="both"/>
      </w:pPr>
      <w:r>
        <w:rPr>
          <w:rFonts w:ascii="Calibri" w:cs="Calibri" w:eastAsia="Calibri" w:hAnsi="Calibri"/>
          <w:color w:val="000000"/>
          <w:sz w:val="19"/>
          <w:szCs w:val="19"/>
        </w:rPr>
        <w:t xml:space="preserve">Deploy the application stack identically in at least two (ideally three) geographically separate regions, each capable of serving full production traffic independently.</w:t>
      </w:r>
    </w:p>
    <w:p>
      <w:pPr>
        <w:pStyle w:val="ListParagraph"/>
        <w:numPr>
          <w:ilvl w:val="0"/>
          <w:numId w:val="1"/>
        </w:numPr>
        <w:spacing w:after="60"/>
        <w:jc w:val="both"/>
      </w:pPr>
      <w:r>
        <w:rPr>
          <w:rFonts w:ascii="Calibri" w:cs="Calibri" w:eastAsia="Calibri" w:hAnsi="Calibri"/>
          <w:color w:val="000000"/>
          <w:sz w:val="19"/>
          <w:szCs w:val="19"/>
        </w:rPr>
        <w:t xml:space="preserve">Use an active-active model where feasible (all regions serve live traffic concurrently) for maximum resource utilization and fastest failover, or active-passive (a warm standby region) where data consistency requirements make active-active complex.</w:t>
      </w:r>
    </w:p>
    <w:p>
      <w:pPr>
        <w:pStyle w:val="ListParagraph"/>
        <w:numPr>
          <w:ilvl w:val="0"/>
          <w:numId w:val="1"/>
        </w:numPr>
        <w:spacing w:after="60"/>
        <w:jc w:val="both"/>
      </w:pPr>
      <w:r>
        <w:rPr>
          <w:rFonts w:ascii="Calibri" w:cs="Calibri" w:eastAsia="Calibri" w:hAnsi="Calibri"/>
          <w:color w:val="000000"/>
          <w:sz w:val="19"/>
          <w:szCs w:val="19"/>
        </w:rPr>
        <w:t xml:space="preserve">Front the regions with a global traffic manager / DNS-based load balancer that performs health checks and routes users only to healthy regions.</w:t>
      </w:r>
    </w:p>
    <w:p>
      <w:pPr>
        <w:pBdr>
          <w:bottom w:val="single" w:color="000000" w:sz="6" w:space="2"/>
        </w:pBdr>
        <w:spacing w:after="100" w:before="120"/>
      </w:pPr>
      <w:r>
        <w:rPr>
          <w:rFonts w:ascii="Calibri" w:cs="Calibri" w:eastAsia="Calibri" w:hAnsi="Calibri"/>
          <w:b/>
          <w:bCs/>
          <w:color w:val="000000"/>
          <w:sz w:val="22"/>
          <w:szCs w:val="22"/>
        </w:rPr>
        <w:t xml:space="preserve">Data Replication and Failover Mechanisms</w:t>
      </w:r>
    </w:p>
    <w:p>
      <w:pPr>
        <w:spacing w:after="90"/>
        <w:jc w:val="both"/>
      </w:pPr>
      <w:r>
        <w:rPr>
          <w:rFonts w:ascii="Calibri" w:cs="Calibri" w:eastAsia="Calibri" w:hAnsi="Calibri"/>
          <w:color w:val="000000"/>
          <w:sz w:val="19"/>
          <w:szCs w:val="19"/>
        </w:rPr>
        <w:t xml:space="preserve">Databases use multi-region replication appropriate to the consistency needs of the data — synchronous replication within a region for strong consistency, and asynchronous cross-region replication for geo-redundancy, accepting a small, bounded replication lag as the trade-off for availability. Automated failover is triggered by continuous health checks: when a region is detected as unhealthy, the traffic manager redirects users to the nearest healthy region within seconds to minutes, while the database layer promotes a replica in the healthy region to primary, following a predefined, tested failover procedure rather than manual intervention.</w:t>
      </w:r>
    </w:p>
    <w:p>
      <w:pPr>
        <w:pBdr>
          <w:bottom w:val="single" w:color="000000" w:sz="6" w:space="2"/>
        </w:pBdr>
        <w:spacing w:after="100" w:before="120"/>
      </w:pPr>
      <w:r>
        <w:rPr>
          <w:rFonts w:ascii="Calibri" w:cs="Calibri" w:eastAsia="Calibri" w:hAnsi="Calibri"/>
          <w:b/>
          <w:bCs/>
          <w:color w:val="000000"/>
          <w:sz w:val="22"/>
          <w:szCs w:val="22"/>
        </w:rPr>
        <w:t xml:space="preserve">Monitoring and Alerting Strategies</w:t>
      </w:r>
    </w:p>
    <w:p>
      <w:pPr>
        <w:pStyle w:val="ListParagraph"/>
        <w:numPr>
          <w:ilvl w:val="0"/>
          <w:numId w:val="1"/>
        </w:numPr>
        <w:spacing w:after="60"/>
        <w:jc w:val="both"/>
      </w:pPr>
      <w:r>
        <w:rPr>
          <w:rFonts w:ascii="Calibri" w:cs="Calibri" w:eastAsia="Calibri" w:hAnsi="Calibri"/>
          <w:color w:val="000000"/>
          <w:sz w:val="19"/>
          <w:szCs w:val="19"/>
        </w:rPr>
        <w:t xml:space="preserve">Deploy synthetic transaction monitoring and real-user monitoring in every region to detect degradation before users report it.</w:t>
      </w:r>
    </w:p>
    <w:p>
      <w:pPr>
        <w:pStyle w:val="ListParagraph"/>
        <w:numPr>
          <w:ilvl w:val="0"/>
          <w:numId w:val="1"/>
        </w:numPr>
        <w:spacing w:after="60"/>
        <w:jc w:val="both"/>
      </w:pPr>
      <w:r>
        <w:rPr>
          <w:rFonts w:ascii="Calibri" w:cs="Calibri" w:eastAsia="Calibri" w:hAnsi="Calibri"/>
          <w:color w:val="000000"/>
          <w:sz w:val="19"/>
          <w:szCs w:val="19"/>
        </w:rPr>
        <w:t xml:space="preserve">Set multi-layer health checks (infrastructure, application, and dependency-level) so failover triggers on real service impact, not just a single component failing.</w:t>
      </w:r>
    </w:p>
    <w:p>
      <w:pPr>
        <w:pStyle w:val="ListParagraph"/>
        <w:numPr>
          <w:ilvl w:val="0"/>
          <w:numId w:val="1"/>
        </w:numPr>
        <w:spacing w:after="60"/>
        <w:jc w:val="both"/>
      </w:pPr>
      <w:r>
        <w:rPr>
          <w:rFonts w:ascii="Calibri" w:cs="Calibri" w:eastAsia="Calibri" w:hAnsi="Calibri"/>
          <w:color w:val="000000"/>
          <w:sz w:val="19"/>
          <w:szCs w:val="19"/>
        </w:rPr>
        <w:t xml:space="preserve">Use centralized, cross-region log aggregation and metrics dashboards, with alerting thresholds tuned to trigger paging before a full regional outage develops (proactive detection), and automated runbooks to reduce mean-time-to-recovery.</w:t>
      </w:r>
    </w:p>
    <w:p>
      <w:pPr>
        <w:pBdr>
          <w:bottom w:val="single" w:color="000000" w:sz="6" w:space="2"/>
        </w:pBdr>
        <w:spacing w:after="100" w:before="120"/>
      </w:pPr>
      <w:r>
        <w:rPr>
          <w:rFonts w:ascii="Calibri" w:cs="Calibri" w:eastAsia="Calibri" w:hAnsi="Calibri"/>
          <w:b/>
          <w:bCs/>
          <w:color w:val="000000"/>
          <w:sz w:val="22"/>
          <w:szCs w:val="22"/>
        </w:rPr>
        <w:t xml:space="preserve">Justification</w:t>
      </w:r>
    </w:p>
    <w:p>
      <w:pPr>
        <w:spacing w:after="90"/>
        <w:jc w:val="both"/>
      </w:pPr>
      <w:r>
        <w:rPr>
          <w:rFonts w:ascii="Calibri" w:cs="Calibri" w:eastAsia="Calibri" w:hAnsi="Calibri"/>
          <w:color w:val="000000"/>
          <w:sz w:val="19"/>
          <w:szCs w:val="19"/>
        </w:rPr>
        <w:t xml:space="preserve">Multi-region active deployment with automated, health-check-driven failover and cross-region replication directly satisfies the requirement that the SaaS application keeps operating through a full regional outage, while proactive monitoring ensures issues are caught and mitigated before they escalate into a customer-facing outage.</w:t>
      </w:r>
    </w:p>
    <w:sectPr>
      <w:pgSz w:w="12240" w:h="15840" w:orient="portrait"/>
      <w:pgMar w:top="1440" w:right="1440" w:bottom="1440" w:left="1440" w:header="708" w:footer="708" w:gutter="0"/>
      <w:pgBorders w:display="allPages" w:offsetFrom="page" w:zOrder="front">
        <w:top w:val="single" w:color="000000" w:sz="18" w:space="24"/>
        <w:left w:val="single" w:color="000000" w:sz="18" w:space="24"/>
        <w:bottom w:val="single" w:color="000000" w:sz="18" w:space="24"/>
        <w:right w:val="single" w:color="000000" w:sz="1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2026-08-07T08:35:28.121Z</dcterms:created>
  <dcterms:modified xsi:type="dcterms:W3CDTF">2026-08-07T08:35:28.142Z</dcterms:modified>
</cp:coreProperties>
</file>

<file path=docProps/custom.xml><?xml version="1.0" encoding="utf-8"?>
<Properties xmlns="http://schemas.openxmlformats.org/officeDocument/2006/custom-properties" xmlns:vt="http://schemas.openxmlformats.org/officeDocument/2006/docPropsVTypes"/>
</file>