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jc w:val="center"/>
      </w:pPr>
      <w:r>
        <w:rPr>
          <w:rFonts w:ascii="Calibri" w:cs="Calibri" w:eastAsia="Calibri" w:hAnsi="Calibri"/>
          <w:b/>
          <w:bCs/>
          <w:color w:val="000000"/>
          <w:sz w:val="36"/>
          <w:szCs w:val="36"/>
        </w:rPr>
        <w:t xml:space="preserve">SIMATS ENGINEERING</w:t>
      </w:r>
    </w:p>
    <w:p>
      <w:pPr>
        <w:spacing w:after="400"/>
      </w:pPr>
    </w:p>
    <w:tbl>
      <w:tblPr>
        <w:tblW w:type="dxa" w:w="88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5600"/>
      </w:tblGrid>
      <w:tr>
        <w:tc>
          <w:tcPr>
            <w:tcW w:type="dxa" w:w="3200"/>
            <w:shd w:fill="F2F2F2"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Assessment</w:t>
            </w:r>
          </w:p>
        </w:tc>
        <w:tc>
          <w:tcPr>
            <w:tcW w:type="dxa" w:w="5600"/>
            <w:tcMar>
              <w:top w:type="dxa" w:w="100"/>
              <w:left w:type="dxa" w:w="120"/>
              <w:bottom w:type="dxa" w:w="100"/>
              <w:right w:type="dxa" w:w="120"/>
            </w:tcMar>
            <w:vAlign w:val="center"/>
          </w:tcPr>
          <w:p>
            <w:r>
              <w:rPr>
                <w:rFonts w:ascii="Calibri" w:cs="Calibri" w:eastAsia="Calibri" w:hAnsi="Calibri"/>
                <w:color w:val="000000"/>
                <w:sz w:val="20"/>
                <w:szCs w:val="20"/>
              </w:rPr>
              <w:t xml:space="preserve">ASSESSMENT TOOL 3: Application Based Questions</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Course Name</w:t>
            </w:r>
          </w:p>
        </w:tc>
        <w:tc>
          <w:tcPr>
            <w:tcW w:type="dxa" w:w="5600"/>
            <w:tcMar>
              <w:top w:type="dxa" w:w="100"/>
              <w:left w:type="dxa" w:w="120"/>
              <w:bottom w:type="dxa" w:w="100"/>
              <w:right w:type="dxa" w:w="120"/>
            </w:tcMar>
            <w:vAlign w:val="center"/>
          </w:tcPr>
          <w:p>
            <w:r>
              <w:rPr>
                <w:rFonts w:ascii="Calibri" w:cs="Calibri" w:eastAsia="Calibri" w:hAnsi="Calibri"/>
                <w:color w:val="000000"/>
                <w:sz w:val="20"/>
                <w:szCs w:val="20"/>
              </w:rPr>
              <w:t xml:space="preserve">Cloud Computing and Big Data Analytics</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Course Code</w:t>
            </w:r>
          </w:p>
        </w:tc>
        <w:tc>
          <w:tcPr>
            <w:tcW w:type="dxa" w:w="5600"/>
            <w:tcMar>
              <w:top w:type="dxa" w:w="100"/>
              <w:left w:type="dxa" w:w="120"/>
              <w:bottom w:type="dxa" w:w="100"/>
              <w:right w:type="dxa" w:w="120"/>
            </w:tcMar>
            <w:vAlign w:val="center"/>
          </w:tcPr>
          <w:p>
            <w:r>
              <w:rPr>
                <w:rFonts w:ascii="Calibri" w:cs="Calibri" w:eastAsia="Calibri" w:hAnsi="Calibri"/>
                <w:color w:val="000000"/>
                <w:sz w:val="20"/>
                <w:szCs w:val="20"/>
              </w:rPr>
              <w:t xml:space="preserve">CSA1516</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Name</w:t>
            </w:r>
          </w:p>
        </w:tc>
        <w:tc>
          <w:tcPr>
            <w:tcW w:type="dxa" w:w="5600"/>
            <w:tcMar>
              <w:top w:type="dxa" w:w="100"/>
              <w:left w:type="dxa" w:w="120"/>
              <w:bottom w:type="dxa" w:w="100"/>
              <w:right w:type="dxa" w:w="120"/>
            </w:tcMar>
            <w:vAlign w:val="center"/>
          </w:tcPr>
          <w:p>
            <w:r>
              <w:rPr>
                <w:rFonts w:ascii="Calibri" w:cs="Calibri" w:eastAsia="Calibri" w:hAnsi="Calibri"/>
                <w:color w:val="000000"/>
                <w:sz w:val="20"/>
                <w:szCs w:val="20"/>
              </w:rPr>
              <w:t xml:space="preserve">Y.Naga Giridhar</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Registration Number</w:t>
            </w:r>
          </w:p>
        </w:tc>
        <w:tc>
          <w:tcPr>
            <w:tcW w:type="dxa" w:w="5600"/>
            <w:tcMar>
              <w:top w:type="dxa" w:w="100"/>
              <w:left w:type="dxa" w:w="120"/>
              <w:bottom w:type="dxa" w:w="100"/>
              <w:right w:type="dxa" w:w="120"/>
            </w:tcMar>
            <w:vAlign w:val="center"/>
          </w:tcPr>
          <w:p>
            <w:r>
              <w:rPr>
                <w:rFonts w:ascii="Calibri" w:cs="Calibri" w:eastAsia="Calibri" w:hAnsi="Calibri"/>
                <w:color w:val="000000"/>
                <w:sz w:val="20"/>
                <w:szCs w:val="20"/>
              </w:rPr>
              <w:t xml:space="preserve">192572124</w:t>
            </w:r>
          </w:p>
        </w:tc>
      </w:tr>
    </w:tbl>
    <w:p>
      <w:r>
        <w:br w:type="page"/>
      </w:r>
    </w:p>
    <w:p>
      <w:pPr>
        <w:spacing w:after="160" w:before="0"/>
      </w:pPr>
      <w:r>
        <w:rPr>
          <w:rFonts w:ascii="Calibri" w:cs="Calibri" w:eastAsia="Calibri" w:hAnsi="Calibri"/>
          <w:b/>
          <w:bCs/>
          <w:color w:val="000000"/>
          <w:sz w:val="26"/>
          <w:szCs w:val="26"/>
        </w:rPr>
        <w:t xml:space="preserve">Question 1</w:t>
      </w:r>
    </w:p>
    <w:p>
      <w:pPr>
        <w:pBdr>
          <w:bottom w:val="single" w:color="000000" w:sz="6" w:space="2"/>
        </w:pBdr>
        <w:spacing w:after="100" w:before="120"/>
      </w:pPr>
      <w:r>
        <w:rPr>
          <w:rFonts w:ascii="Calibri" w:cs="Calibri" w:eastAsia="Calibri" w:hAnsi="Calibri"/>
          <w:b/>
          <w:bCs/>
          <w:color w:val="000000"/>
          <w:sz w:val="22"/>
          <w:szCs w:val="22"/>
        </w:rPr>
        <w:t xml:space="preserve">Auto-Scaling and Load Balancing for Traffic Spikes</w:t>
      </w:r>
    </w:p>
    <w:p>
      <w:pPr>
        <w:spacing w:after="90"/>
        <w:jc w:val="both"/>
      </w:pPr>
      <w:r>
        <w:rPr>
          <w:rFonts w:ascii="Calibri" w:cs="Calibri" w:eastAsia="Calibri" w:hAnsi="Calibri"/>
          <w:color w:val="000000"/>
          <w:sz w:val="19"/>
          <w:szCs w:val="19"/>
        </w:rPr>
        <w:t xml:space="preserve">During seasonal sales, an e-commerce platform's traffic can multiply many times over within hours, and provisioning for that peak year-round would waste money for the other 350 days. Cloud auto-scaling solves this by automatically adding compute instances (web/app servers) when demand rises — based on real-time metrics like CPU utilization, request rate, or queue depth — and removing them once the spike subsides, so capacity always tracks actual demand rather than a fixed guess.</w:t>
      </w:r>
    </w:p>
    <w:p>
      <w:pPr>
        <w:spacing w:after="90"/>
        <w:jc w:val="both"/>
      </w:pPr>
      <w:r>
        <w:rPr>
          <w:rFonts w:ascii="Calibri" w:cs="Calibri" w:eastAsia="Calibri" w:hAnsi="Calibri"/>
          <w:color w:val="000000"/>
          <w:sz w:val="19"/>
          <w:szCs w:val="19"/>
        </w:rPr>
        <w:t xml:space="preserve">Load balancing works alongside auto-scaling by distributing incoming requests evenly across all currently running instances, so no single server becomes a bottleneck as new instances come online. Together they ensure that as thousands of new shoppers arrive simultaneously, requests are spread across a growing pool of servers instead of overwhelming a fixed set.</w:t>
      </w:r>
    </w:p>
    <w:p>
      <w:pPr>
        <w:pBdr>
          <w:bottom w:val="single" w:color="000000" w:sz="6" w:space="2"/>
        </w:pBdr>
        <w:spacing w:after="100" w:before="120"/>
      </w:pPr>
      <w:r>
        <w:rPr>
          <w:rFonts w:ascii="Calibri" w:cs="Calibri" w:eastAsia="Calibri" w:hAnsi="Calibri"/>
          <w:b/>
          <w:bCs/>
          <w:color w:val="000000"/>
          <w:sz w:val="22"/>
          <w:szCs w:val="22"/>
        </w:rPr>
        <w:t xml:space="preserve">Impact on Downtime and User Experience</w:t>
      </w:r>
    </w:p>
    <w:p>
      <w:pPr>
        <w:spacing w:after="90"/>
        <w:jc w:val="both"/>
      </w:pPr>
      <w:r>
        <w:rPr>
          <w:rFonts w:ascii="Calibri" w:cs="Calibri" w:eastAsia="Calibri" w:hAnsi="Calibri"/>
          <w:color w:val="000000"/>
          <w:sz w:val="19"/>
          <w:szCs w:val="19"/>
        </w:rPr>
        <w:t xml:space="preserve">Because capacity expands automatically before servers are overwhelmed, auto-scaling prevents the crashes and timeouts that occur when a fixed-size deployment is pushed past its limit — directly reducing downtime. Load balancing also enables graceful failover: if one instance becomes unhealthy, traffic is rerouted to healthy ones without the user noticing, keeping checkout and browsing responsive even during the peak.</w:t>
      </w:r>
    </w:p>
    <w:p>
      <w:pPr>
        <w:pBdr>
          <w:bottom w:val="single" w:color="000000" w:sz="6" w:space="2"/>
        </w:pBdr>
        <w:spacing w:after="100" w:before="120"/>
      </w:pPr>
      <w:r>
        <w:rPr>
          <w:rFonts w:ascii="Calibri" w:cs="Calibri" w:eastAsia="Calibri" w:hAnsi="Calibri"/>
          <w:b/>
          <w:bCs/>
          <w:color w:val="000000"/>
          <w:sz w:val="22"/>
          <w:szCs w:val="22"/>
        </w:rPr>
        <w:t xml:space="preserve">Role of Monitoring Tools</w:t>
      </w:r>
    </w:p>
    <w:p>
      <w:pPr>
        <w:spacing w:after="90"/>
        <w:jc w:val="both"/>
      </w:pPr>
      <w:r>
        <w:rPr>
          <w:rFonts w:ascii="Calibri" w:cs="Calibri" w:eastAsia="Calibri" w:hAnsi="Calibri"/>
          <w:color w:val="000000"/>
          <w:sz w:val="19"/>
          <w:szCs w:val="19"/>
        </w:rPr>
        <w:t xml:space="preserve">Monitoring tools (e.g., CloudWatch, Azure Monitor, Prometheus/Grafana) continuously track metrics such as latency, error rates, and resource utilization, feeding the data that auto-scaling policies act on. They also provide alerting so operations teams are notified of anomalies (e.g., a payment service slowing down) before customers are significantly affected, turning scaling from a reactive fix into a proactive, metric-driven process.</w:t>
      </w:r>
    </w:p>
    <w:p>
      <w:pPr>
        <w:pBdr>
          <w:bottom w:val="single" w:color="000000" w:sz="6" w:space="2"/>
        </w:pBdr>
        <w:spacing w:after="100" w:before="120"/>
      </w:pPr>
      <w:r>
        <w:rPr>
          <w:rFonts w:ascii="Calibri" w:cs="Calibri" w:eastAsia="Calibri" w:hAnsi="Calibri"/>
          <w:b/>
          <w:bCs/>
          <w:color w:val="000000"/>
          <w:sz w:val="22"/>
          <w:szCs w:val="22"/>
        </w:rPr>
        <w:t xml:space="preserve">Real-World Example</w:t>
      </w:r>
    </w:p>
    <w:p>
      <w:pPr>
        <w:spacing w:after="90"/>
        <w:jc w:val="both"/>
      </w:pPr>
      <w:r>
        <w:rPr>
          <w:rFonts w:ascii="Calibri" w:cs="Calibri" w:eastAsia="Calibri" w:hAnsi="Calibri"/>
          <w:color w:val="000000"/>
          <w:sz w:val="19"/>
          <w:szCs w:val="19"/>
        </w:rPr>
        <w:t xml:space="preserve">A large e-commerce retailer running a Black Friday sale typically configures auto-scaling groups behind an application load balancer, with scaling triggered by request latency and CPU thresholds; monitoring dashboards let the operations team watch traffic climb in real time and confirm new instances are healthy before they take production traffic — this pattern is exactly how major retail platforms avoid the classic 'site crashed during the big sale' failure.</w:t>
      </w:r>
    </w:p>
    <w:p>
      <w:r>
        <w:br w:type="page"/>
      </w:r>
    </w:p>
    <w:p>
      <w:pPr>
        <w:spacing w:after="160" w:before="0"/>
      </w:pPr>
      <w:r>
        <w:rPr>
          <w:rFonts w:ascii="Calibri" w:cs="Calibri" w:eastAsia="Calibri" w:hAnsi="Calibri"/>
          <w:b/>
          <w:bCs/>
          <w:color w:val="000000"/>
          <w:sz w:val="26"/>
          <w:szCs w:val="26"/>
        </w:rPr>
        <w:t xml:space="preserve">Question 2</w:t>
      </w:r>
    </w:p>
    <w:p>
      <w:pPr>
        <w:pBdr>
          <w:bottom w:val="single" w:color="000000" w:sz="6" w:space="2"/>
        </w:pBdr>
        <w:spacing w:after="100" w:before="120"/>
      </w:pPr>
      <w:r>
        <w:rPr>
          <w:rFonts w:ascii="Calibri" w:cs="Calibri" w:eastAsia="Calibri" w:hAnsi="Calibri"/>
          <w:b/>
          <w:bCs/>
          <w:color w:val="000000"/>
          <w:sz w:val="22"/>
          <w:szCs w:val="22"/>
        </w:rPr>
        <w:t xml:space="preserve">Durability and Data Redundancy</w:t>
      </w:r>
    </w:p>
    <w:p>
      <w:pPr>
        <w:spacing w:after="90"/>
        <w:jc w:val="both"/>
      </w:pPr>
      <w:r>
        <w:rPr>
          <w:rFonts w:ascii="Calibri" w:cs="Calibri" w:eastAsia="Calibri" w:hAnsi="Calibri"/>
          <w:color w:val="000000"/>
          <w:sz w:val="19"/>
          <w:szCs w:val="19"/>
        </w:rPr>
        <w:t xml:space="preserve">Cloud storage services achieve durability (data surviving hardware failure) by automatically replicating every object across multiple physical devices, and often multiple availability zones, within a region — commonly advertised at 99.999999999% ('eleven nines') durability. This means the loss of a single disk, or even an entire data center, does not result in data loss, because redundant copies exist elsewhere in the provider's infrastructure. Cross-region replication can be layered on top for organizations that need protection against a full regional outage.</w:t>
      </w:r>
    </w:p>
    <w:p>
      <w:pPr>
        <w:pBdr>
          <w:bottom w:val="single" w:color="000000" w:sz="6" w:space="2"/>
        </w:pBdr>
        <w:spacing w:after="100" w:before="120"/>
      </w:pPr>
      <w:r>
        <w:rPr>
          <w:rFonts w:ascii="Calibri" w:cs="Calibri" w:eastAsia="Calibri" w:hAnsi="Calibri"/>
          <w:b/>
          <w:bCs/>
          <w:color w:val="000000"/>
          <w:sz w:val="22"/>
          <w:szCs w:val="22"/>
        </w:rPr>
        <w:t xml:space="preserve">Encryption and Access Control</w:t>
      </w:r>
    </w:p>
    <w:p>
      <w:pPr>
        <w:spacing w:after="90"/>
        <w:jc w:val="both"/>
      </w:pPr>
      <w:r>
        <w:rPr>
          <w:rFonts w:ascii="Calibri" w:cs="Calibri" w:eastAsia="Calibri" w:hAnsi="Calibri"/>
          <w:color w:val="000000"/>
          <w:sz w:val="19"/>
          <w:szCs w:val="19"/>
        </w:rPr>
        <w:t xml:space="preserve">Sensitive backup data is protected at rest using server-side encryption (AES-256), with encryption keys managed either by the provider or, for stricter control, by the organization itself through a cloud key management service (KMS). In transit, data is protected via TLS during upload and download. Access control is enforced through fine-grained IAM policies and bucket/object-level permissions, ensuring only authorized users or services can read or restore backup data, with multi-factor authentication and audit logging adding further protection against unauthorized access.</w:t>
      </w:r>
    </w:p>
    <w:p>
      <w:pPr>
        <w:pBdr>
          <w:bottom w:val="single" w:color="000000" w:sz="6" w:space="2"/>
        </w:pBdr>
        <w:spacing w:after="100" w:before="120"/>
      </w:pPr>
      <w:r>
        <w:rPr>
          <w:rFonts w:ascii="Calibri" w:cs="Calibri" w:eastAsia="Calibri" w:hAnsi="Calibri"/>
          <w:b/>
          <w:bCs/>
          <w:color w:val="000000"/>
          <w:sz w:val="22"/>
          <w:szCs w:val="22"/>
        </w:rPr>
        <w:t xml:space="preserve">Cost Advantages Over Traditional Storage</w:t>
      </w:r>
    </w:p>
    <w:p>
      <w:pPr>
        <w:spacing w:after="90"/>
        <w:jc w:val="both"/>
      </w:pPr>
      <w:r>
        <w:rPr>
          <w:rFonts w:ascii="Calibri" w:cs="Calibri" w:eastAsia="Calibri" w:hAnsi="Calibri"/>
          <w:color w:val="000000"/>
          <w:sz w:val="19"/>
          <w:szCs w:val="19"/>
        </w:rPr>
        <w:t xml:space="preserve">Traditional on-premises backup requires capital investment in storage hardware, off-site tape rotation, and dedicated facility/cooling costs, all sized for worst-case capacity. Cloud storage uses a pay-as-you-go model with tiered pricing (hot, cool, and archive tiers), so infrequently accessed backups can be moved to low-cost archival storage automatically, and the organization only pays for the capacity it actually uses — eliminating both the upfront hardware cost and the ongoing maintenance overhead of physical infrastructure.</w:t>
      </w:r>
    </w:p>
    <w:p>
      <w:pPr>
        <w:pBdr>
          <w:bottom w:val="single" w:color="000000" w:sz="6" w:space="2"/>
        </w:pBdr>
        <w:spacing w:after="100" w:before="120"/>
      </w:pPr>
      <w:r>
        <w:rPr>
          <w:rFonts w:ascii="Calibri" w:cs="Calibri" w:eastAsia="Calibri" w:hAnsi="Calibri"/>
          <w:b/>
          <w:bCs/>
          <w:color w:val="000000"/>
          <w:sz w:val="22"/>
          <w:szCs w:val="22"/>
        </w:rPr>
        <w:t xml:space="preserve">Disaster Recovery Use Case</w:t>
      </w:r>
    </w:p>
    <w:p>
      <w:pPr>
        <w:spacing w:after="90"/>
        <w:jc w:val="both"/>
      </w:pPr>
      <w:r>
        <w:rPr>
          <w:rFonts w:ascii="Calibri" w:cs="Calibri" w:eastAsia="Calibri" w:hAnsi="Calibri"/>
          <w:color w:val="000000"/>
          <w:sz w:val="19"/>
          <w:szCs w:val="19"/>
        </w:rPr>
        <w:t xml:space="preserve">A regional hospital network backs up patient records nightly to cloud object storage with versioning and cross-region replication enabled. When a ransomware attack encrypts the on-premises file servers, the organization restores clean, versioned backups from the cloud to a recovery environment in a different region within hours — avoiding both data loss and a costly ransom payment, which is only possible because the backups were durable, redundant, and isolated from the compromised on-premises network.</w:t>
      </w:r>
    </w:p>
    <w:p>
      <w:r>
        <w:br w:type="page"/>
      </w:r>
    </w:p>
    <w:p>
      <w:pPr>
        <w:spacing w:after="160" w:before="0"/>
      </w:pPr>
      <w:r>
        <w:rPr>
          <w:rFonts w:ascii="Calibri" w:cs="Calibri" w:eastAsia="Calibri" w:hAnsi="Calibri"/>
          <w:b/>
          <w:bCs/>
          <w:color w:val="000000"/>
          <w:sz w:val="26"/>
          <w:szCs w:val="26"/>
        </w:rPr>
        <w:t xml:space="preserve">Question 3</w:t>
      </w:r>
    </w:p>
    <w:p>
      <w:pPr>
        <w:pBdr>
          <w:bottom w:val="single" w:color="000000" w:sz="6" w:space="2"/>
        </w:pBdr>
        <w:spacing w:after="100" w:before="120"/>
      </w:pPr>
      <w:r>
        <w:rPr>
          <w:rFonts w:ascii="Calibri" w:cs="Calibri" w:eastAsia="Calibri" w:hAnsi="Calibri"/>
          <w:b/>
          <w:bCs/>
          <w:color w:val="000000"/>
          <w:sz w:val="22"/>
          <w:szCs w:val="22"/>
        </w:rPr>
        <w:t xml:space="preserve">How CDNs Improve Performance and Reduce Latency</w:t>
      </w:r>
    </w:p>
    <w:p>
      <w:pPr>
        <w:spacing w:after="90"/>
        <w:jc w:val="both"/>
      </w:pPr>
      <w:r>
        <w:rPr>
          <w:rFonts w:ascii="Calibri" w:cs="Calibri" w:eastAsia="Calibri" w:hAnsi="Calibri"/>
          <w:color w:val="000000"/>
          <w:sz w:val="19"/>
          <w:szCs w:val="19"/>
        </w:rPr>
        <w:t xml:space="preserve">A Content Delivery Network caches static and semi-static content (images, videos, app assets, API responses) at points of presence (PoPs) distributed around the world, so a user's request is served from a nearby edge location instead of traveling all the way back to a single origin server. This shortens the physical distance data must travel, cutting round-trip latency dramatically and reducing load on the origin infrastructure, which in turn improves reliability under high global demand.</w:t>
      </w:r>
    </w:p>
    <w:p>
      <w:pPr>
        <w:pBdr>
          <w:bottom w:val="single" w:color="000000" w:sz="6" w:space="2"/>
        </w:pBdr>
        <w:spacing w:after="100" w:before="120"/>
      </w:pPr>
      <w:r>
        <w:rPr>
          <w:rFonts w:ascii="Calibri" w:cs="Calibri" w:eastAsia="Calibri" w:hAnsi="Calibri"/>
          <w:b/>
          <w:bCs/>
          <w:color w:val="000000"/>
          <w:sz w:val="22"/>
          <w:szCs w:val="22"/>
        </w:rPr>
        <w:t xml:space="preserve">Role of Edge Servers Across Regions</w:t>
      </w:r>
    </w:p>
    <w:p>
      <w:pPr>
        <w:spacing w:after="90"/>
        <w:jc w:val="both"/>
      </w:pPr>
      <w:r>
        <w:rPr>
          <w:rFonts w:ascii="Calibri" w:cs="Calibri" w:eastAsia="Calibri" w:hAnsi="Calibri"/>
          <w:color w:val="000000"/>
          <w:sz w:val="19"/>
          <w:szCs w:val="19"/>
        </w:rPr>
        <w:t xml:space="preserve">Edge servers do more than cache files — they can execute lightweight compute (edge functions) close to the user for tasks like authentication checks, request routing, or personalization, avoiding a round trip to a distant region. For a globally deployed mobile app, this means a user in Singapore and a user in Germany both experience fast load times and low-latency interactions, because each is served by infrastructure near them rather than a single centralized backend.</w:t>
      </w:r>
    </w:p>
    <w:p>
      <w:pPr>
        <w:pBdr>
          <w:bottom w:val="single" w:color="000000" w:sz="6" w:space="2"/>
        </w:pBdr>
        <w:spacing w:after="100" w:before="120"/>
      </w:pPr>
      <w:r>
        <w:rPr>
          <w:rFonts w:ascii="Calibri" w:cs="Calibri" w:eastAsia="Calibri" w:hAnsi="Calibri"/>
          <w:b/>
          <w:bCs/>
          <w:color w:val="000000"/>
          <w:sz w:val="22"/>
          <w:szCs w:val="22"/>
        </w:rPr>
        <w:t xml:space="preserve">How Cloud Providers Support Global Availability</w:t>
      </w:r>
    </w:p>
    <w:p>
      <w:pPr>
        <w:spacing w:after="90"/>
        <w:jc w:val="both"/>
      </w:pPr>
      <w:r>
        <w:rPr>
          <w:rFonts w:ascii="Calibri" w:cs="Calibri" w:eastAsia="Calibri" w:hAnsi="Calibri"/>
          <w:color w:val="000000"/>
          <w:sz w:val="19"/>
          <w:szCs w:val="19"/>
        </w:rPr>
        <w:t xml:space="preserve">Major cloud providers operate a global network of regions and edge locations, allowing an application to be deployed across multiple regions with data replicated or cached close to each user base. Global load balancers and DNS-based routing (e.g., latency-based or geo-routing) automatically direct each user to their nearest healthy endpoint, giving the application consistent availability and performance regardless of where in the world a user connects from.</w:t>
      </w:r>
    </w:p>
    <w:p>
      <w:pPr>
        <w:pBdr>
          <w:bottom w:val="single" w:color="000000" w:sz="6" w:space="2"/>
        </w:pBdr>
        <w:spacing w:after="100" w:before="120"/>
      </w:pPr>
      <w:r>
        <w:rPr>
          <w:rFonts w:ascii="Calibri" w:cs="Calibri" w:eastAsia="Calibri" w:hAnsi="Calibri"/>
          <w:b/>
          <w:bCs/>
          <w:color w:val="000000"/>
          <w:sz w:val="22"/>
          <w:szCs w:val="22"/>
        </w:rPr>
        <w:t xml:space="preserve">Real-World Example</w:t>
      </w:r>
    </w:p>
    <w:p>
      <w:pPr>
        <w:spacing w:after="90"/>
        <w:jc w:val="both"/>
      </w:pPr>
      <w:r>
        <w:rPr>
          <w:rFonts w:ascii="Calibri" w:cs="Calibri" w:eastAsia="Calibri" w:hAnsi="Calibri"/>
          <w:color w:val="000000"/>
          <w:sz w:val="19"/>
          <w:szCs w:val="19"/>
        </w:rPr>
        <w:t xml:space="preserve">A real-time multiplayer gaming platform or a live video streaming service relies heavily on this architecture: game state or video segments are distributed through edge PoPs so players or viewers in different continents experience minimal lag or buffering, while the CDN absorbs the massive simultaneous demand of a global live event — something a single centralized server could never handle without severe latency and outages.</w:t>
      </w:r>
    </w:p>
    <w:p>
      <w:r>
        <w:br w:type="page"/>
      </w:r>
    </w:p>
    <w:p>
      <w:pPr>
        <w:spacing w:after="160" w:before="0"/>
      </w:pPr>
      <w:r>
        <w:rPr>
          <w:rFonts w:ascii="Calibri" w:cs="Calibri" w:eastAsia="Calibri" w:hAnsi="Calibri"/>
          <w:b/>
          <w:bCs/>
          <w:color w:val="000000"/>
          <w:sz w:val="26"/>
          <w:szCs w:val="26"/>
        </w:rPr>
        <w:t xml:space="preserve">Question 4</w:t>
      </w:r>
    </w:p>
    <w:p>
      <w:pPr>
        <w:pBdr>
          <w:bottom w:val="single" w:color="000000" w:sz="6" w:space="2"/>
        </w:pBdr>
        <w:spacing w:after="100" w:before="120"/>
      </w:pPr>
      <w:r>
        <w:rPr>
          <w:rFonts w:ascii="Calibri" w:cs="Calibri" w:eastAsia="Calibri" w:hAnsi="Calibri"/>
          <w:b/>
          <w:bCs/>
          <w:color w:val="000000"/>
          <w:sz w:val="22"/>
          <w:szCs w:val="22"/>
        </w:rPr>
        <w:t xml:space="preserve">Supporting Regulatory Compliance and Auditing</w:t>
      </w:r>
    </w:p>
    <w:p>
      <w:pPr>
        <w:spacing w:after="90"/>
        <w:jc w:val="both"/>
      </w:pPr>
      <w:r>
        <w:rPr>
          <w:rFonts w:ascii="Calibri" w:cs="Calibri" w:eastAsia="Calibri" w:hAnsi="Calibri"/>
          <w:color w:val="000000"/>
          <w:sz w:val="19"/>
          <w:szCs w:val="19"/>
        </w:rPr>
        <w:t xml:space="preserve">Major cloud providers offer compliance frameworks and certifications (SOC 2, PCI-DSS, ISO 27001) along with tools like AWS Artifact or Azure Compliance Manager that give financial institutions the documentation needed to demonstrate adherence to regulations. Built-in audit trails (e.g., AWS CloudTrail, Azure Activity Log) record every API call and administrative action, giving auditors a complete, tamper-evident history of who accessed or changed what, which is essential for regulatory examinations in the financial sector.</w:t>
      </w:r>
    </w:p>
    <w:p>
      <w:pPr>
        <w:pBdr>
          <w:bottom w:val="single" w:color="000000" w:sz="6" w:space="2"/>
        </w:pBdr>
        <w:spacing w:after="100" w:before="120"/>
      </w:pPr>
      <w:r>
        <w:rPr>
          <w:rFonts w:ascii="Calibri" w:cs="Calibri" w:eastAsia="Calibri" w:hAnsi="Calibri"/>
          <w:b/>
          <w:bCs/>
          <w:color w:val="000000"/>
          <w:sz w:val="22"/>
          <w:szCs w:val="22"/>
        </w:rPr>
        <w:t xml:space="preserve">Role of Logging, Monitoring, and Encryption</w:t>
      </w:r>
    </w:p>
    <w:p>
      <w:pPr>
        <w:spacing w:after="90"/>
        <w:jc w:val="both"/>
      </w:pPr>
      <w:r>
        <w:rPr>
          <w:rFonts w:ascii="Calibri" w:cs="Calibri" w:eastAsia="Calibri" w:hAnsi="Calibri"/>
          <w:color w:val="000000"/>
          <w:sz w:val="19"/>
          <w:szCs w:val="19"/>
        </w:rPr>
        <w:t xml:space="preserve">Centralized logging captures access to sensitive systems (transaction databases, payment gateways) so any anomalous access can be investigated after the fact. Continuous monitoring and SIEM integration detect suspicious patterns in near real time — such as unusual access from an unrecognized location — enabling rapid incident response. Encryption, both at rest (protecting stored transaction records) and in transit (protecting data moving between services), ensures that even if a breach occurs, the underlying financial data remains unreadable without the corresponding keys, which is a baseline expectation for handling sensitive financial data.</w:t>
      </w:r>
    </w:p>
    <w:p>
      <w:pPr>
        <w:pBdr>
          <w:bottom w:val="single" w:color="000000" w:sz="6" w:space="2"/>
        </w:pBdr>
        <w:spacing w:after="100" w:before="120"/>
      </w:pPr>
      <w:r>
        <w:rPr>
          <w:rFonts w:ascii="Calibri" w:cs="Calibri" w:eastAsia="Calibri" w:hAnsi="Calibri"/>
          <w:b/>
          <w:bCs/>
          <w:color w:val="000000"/>
          <w:sz w:val="22"/>
          <w:szCs w:val="22"/>
        </w:rPr>
        <w:t xml:space="preserve">Meeting Data Sovereignty Requirements</w:t>
      </w:r>
    </w:p>
    <w:p>
      <w:pPr>
        <w:spacing w:after="90"/>
        <w:jc w:val="both"/>
      </w:pPr>
      <w:r>
        <w:rPr>
          <w:rFonts w:ascii="Calibri" w:cs="Calibri" w:eastAsia="Calibri" w:hAnsi="Calibri"/>
          <w:color w:val="000000"/>
          <w:sz w:val="19"/>
          <w:szCs w:val="19"/>
        </w:rPr>
        <w:t xml:space="preserve">Financial regulators often require that certain data physically reside within national or regional borders. Cloud providers address this by letting customers pin resources to specific regions and by publishing details of exactly which data centers house their data, so the institution can architect its deployment to keep regulated data within the required jurisdiction while still using the provider's global infrastructure for non-regulated components.</w:t>
      </w:r>
    </w:p>
    <w:p>
      <w:pPr>
        <w:pBdr>
          <w:bottom w:val="single" w:color="000000" w:sz="6" w:space="2"/>
        </w:pBdr>
        <w:spacing w:after="100" w:before="120"/>
      </w:pPr>
      <w:r>
        <w:rPr>
          <w:rFonts w:ascii="Calibri" w:cs="Calibri" w:eastAsia="Calibri" w:hAnsi="Calibri"/>
          <w:b/>
          <w:bCs/>
          <w:color w:val="000000"/>
          <w:sz w:val="22"/>
          <w:szCs w:val="22"/>
        </w:rPr>
        <w:t xml:space="preserve">Example: Sensitive Financial Transactions</w:t>
      </w:r>
    </w:p>
    <w:p>
      <w:pPr>
        <w:spacing w:after="90"/>
        <w:jc w:val="both"/>
      </w:pPr>
      <w:r>
        <w:rPr>
          <w:rFonts w:ascii="Calibri" w:cs="Calibri" w:eastAsia="Calibri" w:hAnsi="Calibri"/>
          <w:color w:val="000000"/>
          <w:sz w:val="19"/>
          <w:szCs w:val="19"/>
        </w:rPr>
        <w:t xml:space="preserve">A bank processing card payments keeps its cardholder data environment within a PCI-DSS-compliant, region-pinned deployment, with all transaction logs encrypted and forwarded to a dedicated audit pipeline; this setup lets the bank demonstrate to regulators that transaction data never leaves the required jurisdiction and that every access to that data is fully logged and encrypted end to end.</w:t>
      </w:r>
    </w:p>
    <w:p>
      <w:r>
        <w:br w:type="page"/>
      </w:r>
    </w:p>
    <w:p>
      <w:pPr>
        <w:spacing w:after="160" w:before="0"/>
      </w:pPr>
      <w:r>
        <w:rPr>
          <w:rFonts w:ascii="Calibri" w:cs="Calibri" w:eastAsia="Calibri" w:hAnsi="Calibri"/>
          <w:b/>
          <w:bCs/>
          <w:color w:val="000000"/>
          <w:sz w:val="26"/>
          <w:szCs w:val="26"/>
        </w:rPr>
        <w:t xml:space="preserve">Question 5</w:t>
      </w:r>
    </w:p>
    <w:p>
      <w:pPr>
        <w:pBdr>
          <w:bottom w:val="single" w:color="000000" w:sz="6" w:space="2"/>
        </w:pBdr>
        <w:spacing w:after="100" w:before="120"/>
      </w:pPr>
      <w:r>
        <w:rPr>
          <w:rFonts w:ascii="Calibri" w:cs="Calibri" w:eastAsia="Calibri" w:hAnsi="Calibri"/>
          <w:b/>
          <w:bCs/>
          <w:color w:val="000000"/>
          <w:sz w:val="22"/>
          <w:szCs w:val="22"/>
        </w:rPr>
        <w:t xml:space="preserve">Containers vs Virtual Machines: Performance and Resource Usage</w:t>
      </w:r>
    </w:p>
    <w:p>
      <w:pPr>
        <w:spacing w:after="90"/>
        <w:jc w:val="both"/>
      </w:pPr>
      <w:r>
        <w:rPr>
          <w:rFonts w:ascii="Calibri" w:cs="Calibri" w:eastAsia="Calibri" w:hAnsi="Calibri"/>
          <w:color w:val="000000"/>
          <w:sz w:val="19"/>
          <w:szCs w:val="19"/>
        </w:rPr>
        <w:t xml:space="preserve">A virtual machine virtualizes an entire hardware stack, including a full guest operating system, which makes each VM relatively heavyweight — consuming more memory and disk, and taking longer (often minutes) to boot. A container, by contrast, shares the host OS kernel and packages only the application and its dependencies, making it far lighter-weight: containers typically start in seconds, use a fraction of the memory and disk of an equivalent VM, and allow many more containers than VMs to run on the same physical hardware — directly improving resource density and cost efficiency.</w:t>
      </w:r>
    </w:p>
    <w:p>
      <w:pPr>
        <w:pBdr>
          <w:bottom w:val="single" w:color="000000" w:sz="6" w:space="2"/>
        </w:pBdr>
        <w:spacing w:after="100" w:before="120"/>
      </w:pPr>
      <w:r>
        <w:rPr>
          <w:rFonts w:ascii="Calibri" w:cs="Calibri" w:eastAsia="Calibri" w:hAnsi="Calibri"/>
          <w:b/>
          <w:bCs/>
          <w:color w:val="000000"/>
          <w:sz w:val="22"/>
          <w:szCs w:val="22"/>
        </w:rPr>
        <w:t xml:space="preserve">How Orchestration (Kubernetes) Simplifies Deployment and Scaling</w:t>
      </w:r>
    </w:p>
    <w:p>
      <w:pPr>
        <w:spacing w:after="90"/>
        <w:jc w:val="both"/>
      </w:pPr>
      <w:r>
        <w:rPr>
          <w:rFonts w:ascii="Calibri" w:cs="Calibri" w:eastAsia="Calibri" w:hAnsi="Calibri"/>
          <w:color w:val="000000"/>
          <w:sz w:val="19"/>
          <w:szCs w:val="19"/>
        </w:rPr>
        <w:t xml:space="preserve">Managing containers individually at scale is impractical, so orchestration platforms like Kubernetes automate scheduling (placing containers on available nodes), self-healing (automatically restarting failed containers), scaling (adding/removing container replicas based on load), and rolling updates (deploying new versions without downtime). This turns deployment from a manual, error-prone process into a declarative one — the team specifies the desired state (e.g., 'run 5 replicas of this service'), and Kubernetes continuously works to maintain it.</w:t>
      </w:r>
    </w:p>
    <w:p>
      <w:pPr>
        <w:pBdr>
          <w:bottom w:val="single" w:color="000000" w:sz="6" w:space="2"/>
        </w:pBdr>
        <w:spacing w:after="100" w:before="120"/>
      </w:pPr>
      <w:r>
        <w:rPr>
          <w:rFonts w:ascii="Calibri" w:cs="Calibri" w:eastAsia="Calibri" w:hAnsi="Calibri"/>
          <w:b/>
          <w:bCs/>
          <w:color w:val="000000"/>
          <w:sz w:val="22"/>
          <w:szCs w:val="22"/>
        </w:rPr>
        <w:t xml:space="preserve">Portability Benefits Across Cloud Environments</w:t>
      </w:r>
    </w:p>
    <w:p>
      <w:pPr>
        <w:spacing w:after="90"/>
        <w:jc w:val="both"/>
      </w:pPr>
      <w:r>
        <w:rPr>
          <w:rFonts w:ascii="Calibri" w:cs="Calibri" w:eastAsia="Calibri" w:hAnsi="Calibri"/>
          <w:color w:val="000000"/>
          <w:sz w:val="19"/>
          <w:szCs w:val="19"/>
        </w:rPr>
        <w:t xml:space="preserve">Because a container packages the application with all its dependencies into a single portable image, the same container runs identically on a developer's laptop, an on-premises cluster, or any major cloud provider's managed Kubernetes service (EKS, AKS, GKE) — eliminating the 'it works on my machine' problem and avoiding vendor lock-in, since the workload is not tied to any provider-specific virtual machine image or configuration.</w:t>
      </w:r>
    </w:p>
    <w:p>
      <w:pPr>
        <w:pBdr>
          <w:bottom w:val="single" w:color="000000" w:sz="6" w:space="2"/>
        </w:pBdr>
        <w:spacing w:after="100" w:before="120"/>
      </w:pPr>
      <w:r>
        <w:rPr>
          <w:rFonts w:ascii="Calibri" w:cs="Calibri" w:eastAsia="Calibri" w:hAnsi="Calibri"/>
          <w:b/>
          <w:bCs/>
          <w:color w:val="000000"/>
          <w:sz w:val="22"/>
          <w:szCs w:val="22"/>
        </w:rPr>
        <w:t xml:space="preserve">Example: Microservices-Based Application</w:t>
      </w:r>
    </w:p>
    <w:p>
      <w:pPr>
        <w:spacing w:after="90"/>
        <w:jc w:val="both"/>
      </w:pPr>
      <w:r>
        <w:rPr>
          <w:rFonts w:ascii="Calibri" w:cs="Calibri" w:eastAsia="Calibri" w:hAnsi="Calibri"/>
          <w:color w:val="000000"/>
          <w:sz w:val="19"/>
          <w:szCs w:val="19"/>
        </w:rPr>
        <w:t xml:space="preserve">An online food-delivery platform can be built as independent microservices — order management, payment processing, restaurant catalog, and delivery tracking — each packaged as its own container. Kubernetes independently scales the order-management service during a lunchtime rush without over-provisioning the less busy restaurant-catalog service, and the same container images can be deployed across regions or even across cloud providers for redundancy, demonstrating exactly the performance, orchestration, and portability benefits described above.</w:t>
      </w:r>
    </w:p>
    <w:sectPr>
      <w:pgSz w:w="12240" w:h="15840" w:orient="portrait"/>
      <w:pgMar w:top="1440" w:right="1440" w:bottom="1440" w:left="1440" w:header="708" w:footer="708" w:gutter="0"/>
      <w:pgBorders w:display="allPages" w:offsetFrom="page" w:zOrder="front">
        <w:top w:val="single" w:color="000000" w:sz="18" w:space="24"/>
        <w:left w:val="single" w:color="000000" w:sz="18" w:space="24"/>
        <w:bottom w:val="single" w:color="000000" w:sz="18" w:space="24"/>
        <w:right w:val="single" w:color="000000" w:sz="1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2026-08-07T08:39:02.480Z</dcterms:created>
  <dcterms:modified xsi:type="dcterms:W3CDTF">2026-08-07T08:39:02.497Z</dcterms:modified>
</cp:coreProperties>
</file>

<file path=docProps/custom.xml><?xml version="1.0" encoding="utf-8"?>
<Properties xmlns="http://schemas.openxmlformats.org/officeDocument/2006/custom-properties" xmlns:vt="http://schemas.openxmlformats.org/officeDocument/2006/docPropsVTypes"/>
</file>