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Experiment-19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STUDENT-TEACHER-SUB-CODE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represent relationships between Student, Teacher and Subject Code, and to query which teacher teaches a given student.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facts teaches(Teacher, SubCode) linking a teacher to the subject code taught.</w:t>
      </w:r>
    </w:p>
    <w:p>
      <w:pPr>
        <w:spacing w:after="60"/>
      </w:pPr>
      <w:r>
        <w:t xml:space="preserve">3. Define facts studies(Student, SubCode) linking a student to the subject code studied.</w:t>
      </w:r>
    </w:p>
    <w:p>
      <w:pPr>
        <w:spacing w:after="60"/>
      </w:pPr>
      <w:r>
        <w:t xml:space="preserve">4. Define a rule taught_by(Student, Teacher) that joins the two relations through SubCode.</w:t>
      </w:r>
    </w:p>
    <w:p>
      <w:pPr>
        <w:spacing w:after="60"/>
      </w:pPr>
      <w:r>
        <w:t xml:space="preserve">5. Query the rule to find the teacher of a given student.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teaches(prof_smith, cs101).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teaches(prof_jones, cs102).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teaches(prof_smith, cs103).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teaches(prof_rao, cs104).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studies(john, cs101).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studies(mary, cs102).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studies(alex, cs103).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studies(priya, cs104).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taught_by(Student, Teacher):-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studies(Student, Sub),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teaches(Teacher, Sub).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cd3c989ab08ab6c621eebbb9b40cbcd09b44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2026-09-03T04:03:00.870Z</dcterms:created>
  <dcterms:modified xsi:type="dcterms:W3CDTF">2026-09-03T04:03:00.870Z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