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Experiment-29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Forward Chaining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implement forward chaining inference, incorporating the required queries.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known facts about the world (e.g. animal characteristics).</w:t>
      </w:r>
    </w:p>
    <w:p>
      <w:pPr>
        <w:spacing w:after="60"/>
      </w:pPr>
      <w:r>
        <w:t xml:space="preserve">3. Define rules that derive new facts from existing facts (data-driven inference).</w:t>
      </w:r>
    </w:p>
    <w:p>
      <w:pPr>
        <w:spacing w:after="60"/>
      </w:pPr>
      <w:r>
        <w:t xml:space="preserve">4. Starting from the known facts, repeatedly apply the rules to derive new facts until no more new facts can be derived.</w:t>
      </w:r>
    </w:p>
    <w:p>
      <w:pPr>
        <w:spacing w:after="60"/>
      </w:pPr>
      <w:r>
        <w:t xml:space="preserve">5. Query the derived facts to confirm the conclusion (e.g. the species of the animal).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has_hair(tom).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gives_milk(tom).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has_feathers(tweety).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flies(tweety).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lays_eggs(tweety).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mammal(X):- has_hair(X).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mammal(X):- gives_milk(X).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bird(X):- has_feathers(X).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bird(X):- flies(X), lays_eggs(X).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animal(X):- mammal(X).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animal(X):- bird(X).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c04edf902334ac7679cf240b02f5b626a037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2026-09-03T04:03:01.110Z</dcterms:created>
  <dcterms:modified xsi:type="dcterms:W3CDTF">2026-09-03T04:03:01.110Z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