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Experiment-30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Backward Chaining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implement backward chaining inference, incorporating the required queries.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rules in the form Goal :- Condition1, Condition2, ... where the goal depends on conditions.</w:t>
      </w:r>
    </w:p>
    <w:p>
      <w:pPr>
        <w:spacing w:after="60"/>
      </w:pPr>
      <w:r>
        <w:t xml:space="preserve">3. Define base facts that satisfy the lowest-level conditions.</w:t>
      </w:r>
    </w:p>
    <w:p>
      <w:pPr>
        <w:spacing w:after="60"/>
      </w:pPr>
      <w:r>
        <w:t xml:space="preserve">4. To prove a goal, Prolog works backward: it looks at the rule for the goal and tries to prove each condition, recursively, until it reaches known facts.</w:t>
      </w:r>
    </w:p>
    <w:p>
      <w:pPr>
        <w:spacing w:after="60"/>
      </w:pPr>
      <w:r>
        <w:t xml:space="preserve">5. Query the top-level goal; Prolog's SLD resolution performs the backward chaining automatically.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% Facts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has_feathers(tweety).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can_fly(tweety).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chirps(tweety).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% Rule: goal 'bird' is proved backward from its conditions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bird(X):-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has_feathers(X),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can_fly(X).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canary(X):-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bird(X),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chirps(X).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d04f847c2cdaccfc5c024985118b50c1c662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2026-09-03T04:03:01.132Z</dcterms:created>
  <dcterms:modified xsi:type="dcterms:W3CDTF">2026-09-03T04:03:01.132Z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