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Prepare the following reactions in a PCR tube: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If you are using the 2x Taq Master Mix: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416.75"/>
        <w:gridCol w:w="1447.875"/>
        <w:gridCol w:w="1462.5"/>
        <w:gridCol w:w="2032.875"/>
        <w:tblGridChange w:id="0">
          <w:tblGrid>
            <w:gridCol w:w="4416.75"/>
            <w:gridCol w:w="1447.875"/>
            <w:gridCol w:w="1462.5"/>
            <w:gridCol w:w="2032.875"/>
          </w:tblGrid>
        </w:tblGridChange>
      </w:tblGrid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25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50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Final Concentration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2X Taq Master Mix(add last)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12.5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25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10 µM Forward Primer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0.2 µM (0.05–1 µM)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10 µM Reverse Primer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μl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0.2 µM (0.05–1 µM)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Template 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~50ng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~100ng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&lt;1,000 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Nuclease-free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~10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~20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If you are using another enzyme not in a Master MIx: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4416.75"/>
        <w:gridCol w:w="1447.875"/>
        <w:gridCol w:w="1462.5"/>
        <w:gridCol w:w="2032.875"/>
        <w:tblGridChange w:id="0">
          <w:tblGrid>
            <w:gridCol w:w="4416.75"/>
            <w:gridCol w:w="1447.875"/>
            <w:gridCol w:w="1462.5"/>
            <w:gridCol w:w="2032.875"/>
          </w:tblGrid>
        </w:tblGridChange>
      </w:tblGrid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25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50 μl reaction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4c4c4c"/>
                <w:sz w:val="18"/>
                <w:szCs w:val="18"/>
                <w:rtl w:val="0"/>
              </w:rPr>
              <w:t xml:space="preserve">Final Concentration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10X Polymerase/PCR Buffer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2.5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5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10 mM dNTPs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μl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200 µM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10 µM Forward Primer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1 μl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0.2 µM (0.05–1 µM)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10 µM Reverse Primer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μl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0.2 µM (0.05–1 µM)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Template DNA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~50ng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~100ng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&lt;1,000 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Taq DNA Polymerase*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0.5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 µl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rtl w:val="0"/>
              </w:rPr>
              <w:t xml:space="preserve">1.25 units/50 µl PCR</w:t>
            </w:r>
          </w:p>
        </w:tc>
      </w:tr>
      <w:t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Nuclease-free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to 25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to 50 µl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319.9999992" w:lineRule="auto"/>
              <w:contextualSpacing w:val="0"/>
              <w:rPr>
                <w:i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c4c4c"/>
                <w:sz w:val="18"/>
                <w:szCs w:val="18"/>
                <w:shd w:fill="ecede8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i w:val="1"/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i w:val="1"/>
          <w:color w:val="4c4c4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Gently mix the reaction and spin down in microcentrifuge.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06" w:lineRule="auto"/>
        <w:contextualSpacing w:val="0"/>
        <w:rPr>
          <w:color w:val="4c4c4c"/>
          <w:sz w:val="20"/>
          <w:szCs w:val="20"/>
        </w:rPr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Cycling Conditions for a Routine PCR: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4065.75"/>
        <w:gridCol w:w="2047.5"/>
        <w:gridCol w:w="3246.75"/>
        <w:tblGridChange w:id="0">
          <w:tblGrid>
            <w:gridCol w:w="4065.75"/>
            <w:gridCol w:w="2047.5"/>
            <w:gridCol w:w="3246.75"/>
          </w:tblGrid>
        </w:tblGridChange>
      </w:tblGrid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b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c4c4c"/>
                <w:sz w:val="18"/>
                <w:szCs w:val="18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b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c4c4c"/>
                <w:sz w:val="18"/>
                <w:szCs w:val="18"/>
                <w:rtl w:val="0"/>
              </w:rPr>
              <w:t xml:space="preserve">TEMP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b w:val="1"/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c4c4c"/>
                <w:sz w:val="18"/>
                <w:szCs w:val="18"/>
                <w:rtl w:val="0"/>
              </w:rPr>
              <w:t xml:space="preserve">TIME </w:t>
            </w:r>
          </w:p>
        </w:tc>
      </w:tr>
      <w:tr>
        <w:trPr>
          <w:trHeight w:val="600" w:hRule="atLeast"/>
        </w:trP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Initial Denaturation </w:t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95°C </w:t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30 seconds </w:t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30 Cycles     Melting Temp.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                    Annealing Temp.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                    Extension Temp.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95°C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56°C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68°C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30 seconds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30 seconds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1 minute/kb </w:t>
            </w:r>
          </w:p>
        </w:tc>
      </w:tr>
      <w:tr>
        <w:trPr>
          <w:trHeight w:val="460" w:hRule="atLeast"/>
        </w:trPr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Final Extension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68°C </w:t>
            </w:r>
          </w:p>
        </w:tc>
        <w:tc>
          <w:tcPr>
            <w:shd w:fill="ecede8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  <w:shd w:fill="ecede8" w:val="clear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shd w:fill="ecede8" w:val="clear"/>
                <w:rtl w:val="0"/>
              </w:rPr>
              <w:t xml:space="preserve">8 minutes </w:t>
            </w:r>
          </w:p>
        </w:tc>
      </w:tr>
      <w:tr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Hold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4-10°C </w:t>
            </w:r>
          </w:p>
        </w:tc>
        <w:tc>
          <w:tcPr>
            <w:shd w:fill="auto" w:val="clear"/>
            <w:tcMar>
              <w:top w:w="120.0" w:type="dxa"/>
              <w:left w:w="100.0" w:type="dxa"/>
              <w:bottom w:w="1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line="240" w:lineRule="auto"/>
              <w:contextualSpacing w:val="0"/>
              <w:rPr>
                <w:color w:val="4c4c4c"/>
                <w:sz w:val="18"/>
                <w:szCs w:val="18"/>
              </w:rPr>
            </w:pPr>
            <w:r w:rsidDel="00000000" w:rsidR="00000000" w:rsidRPr="00000000">
              <w:rPr>
                <w:color w:val="4c4c4c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always use 56 or 56.5C for my Annealing Temperature unless the primer has a large region of random nucleotides, then I might drop it down to 52-54C. This has worked on 99.99% of all of my PCR reactions.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4c4c4c"/>
          <w:sz w:val="20"/>
          <w:szCs w:val="20"/>
          <w:rtl w:val="0"/>
        </w:rPr>
        <w:t xml:space="preserve">Modified from NEB: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https://www.neb.com/protocols/1/01/01/protocol-for-a-routine-taq-pcr-reaction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b.com/protocols/1/01/01/protocol-for-a-routine-taq-pcr-re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