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w:t>
      </w:r>
      <w:r>
        <w:rPr>
          <w:b w:val="0"/>
        </w:rPr>
        <w:t>分布式事物的解决方案</w:t>
      </w:r>
    </w:p>
    <w:p>
      <w:pPr>
        <w:pStyle w:val="3"/>
        <w:rPr>
          <w:b w:val="0"/>
        </w:rPr>
      </w:pPr>
      <w:r>
        <w:rPr>
          <w:rFonts w:hint="eastAsia"/>
          <w:b w:val="0"/>
        </w:rPr>
        <w:t>1</w:t>
      </w:r>
      <w:r>
        <w:rPr>
          <w:b w:val="0"/>
        </w:rPr>
        <w:t>.1 XA刚性事物</w:t>
      </w:r>
    </w:p>
    <w:p>
      <w:pPr>
        <w:rPr>
          <w:rFonts w:ascii="宋体" w:hAnsi="宋体"/>
          <w:color w:val="323232"/>
          <w:szCs w:val="21"/>
        </w:rPr>
      </w:pPr>
      <w:r>
        <w:rPr>
          <w:rFonts w:ascii="宋体" w:hAnsi="宋体"/>
          <w:color w:val="323232"/>
          <w:szCs w:val="21"/>
        </w:rPr>
        <w:t>两阶段事务提交采用的是X/OPEN组织所定义的</w:t>
      </w:r>
      <w:r>
        <w:fldChar w:fldCharType="begin"/>
      </w:r>
      <w:r>
        <w:instrText xml:space="preserve"> HYPERLINK "http://pubs.opengroup.org/onlinepubs/009680699/toc.pdf" </w:instrText>
      </w:r>
      <w:r>
        <w:fldChar w:fldCharType="separate"/>
      </w:r>
      <w:r>
        <w:rPr>
          <w:rFonts w:ascii="宋体" w:hAnsi="宋体"/>
          <w:color w:val="323232"/>
          <w:szCs w:val="21"/>
        </w:rPr>
        <w:t>DTP模型</w:t>
      </w:r>
      <w:r>
        <w:rPr>
          <w:rFonts w:ascii="宋体" w:hAnsi="宋体"/>
          <w:color w:val="323232"/>
          <w:szCs w:val="21"/>
        </w:rPr>
        <w:fldChar w:fldCharType="end"/>
      </w:r>
      <w:r>
        <w:rPr>
          <w:rFonts w:ascii="宋体" w:hAnsi="宋体"/>
          <w:color w:val="323232"/>
          <w:szCs w:val="21"/>
        </w:rPr>
        <w:t>，通过抽象出来的AP, TM, RM的概念可以保证事务的强一致性。 其中TM和RM间采用XA的协议进行双向通信。 与传统的本地事务相比，XA事务增加了prepare阶段，数据库除了被动接受提交指令外，还可以反向通知调用方事务是否可以被提交。 因此TM可以收集所有分支事务的prepare结果，最后进行原子的提交，保证事务的强一致性。事务管理器国内使用Atomikos较多，其它主流事务管理器 Narayana和Bitronix</w:t>
      </w:r>
    </w:p>
    <w:p>
      <w:pPr>
        <w:rPr>
          <w:rFonts w:ascii="宋体" w:hAnsi="宋体"/>
          <w:color w:val="323232"/>
          <w:szCs w:val="21"/>
        </w:rPr>
      </w:pPr>
    </w:p>
    <w:p>
      <w:pPr>
        <w:pStyle w:val="8"/>
        <w:shd w:val="clear" w:color="auto" w:fill="FFFFFF"/>
        <w:spacing w:before="0" w:beforeAutospacing="0" w:after="150" w:afterAutospacing="0"/>
        <w:rPr>
          <w:rFonts w:ascii="宋体" w:hAnsi="宋体"/>
          <w:color w:val="323232"/>
          <w:kern w:val="2"/>
          <w:sz w:val="21"/>
          <w:szCs w:val="21"/>
        </w:rPr>
      </w:pPr>
      <w:r>
        <w:rPr>
          <w:rFonts w:ascii="宋体" w:hAnsi="宋体"/>
          <w:color w:val="323232"/>
          <w:szCs w:val="21"/>
        </w:rPr>
        <w:t>缺点</w:t>
      </w:r>
      <w:r>
        <w:rPr>
          <w:rFonts w:hint="eastAsia" w:ascii="宋体" w:hAnsi="宋体"/>
          <w:color w:val="323232"/>
          <w:szCs w:val="21"/>
        </w:rPr>
        <w:t>：</w:t>
      </w:r>
      <w:r>
        <w:rPr>
          <w:rFonts w:ascii="宋体" w:hAnsi="宋体"/>
          <w:color w:val="323232"/>
          <w:kern w:val="2"/>
          <w:sz w:val="21"/>
          <w:szCs w:val="21"/>
        </w:rPr>
        <w:t>由于隔离性互斥的要求，在事务执行过程中，所有的资源都是被锁定的，这种情况只适合执行时间确定的短事务。 但是为了保证分布式事务的一致性，大都是采用串行化的隔离级别来保证事务一致性，这样会降低系统的吞吐</w:t>
      </w:r>
      <w:r>
        <w:rPr>
          <w:rFonts w:hint="eastAsia" w:ascii="宋体" w:hAnsi="宋体"/>
          <w:color w:val="323232"/>
          <w:kern w:val="2"/>
          <w:sz w:val="21"/>
          <w:szCs w:val="21"/>
        </w:rPr>
        <w:t>，</w:t>
      </w:r>
      <w:r>
        <w:rPr>
          <w:rFonts w:ascii="宋体" w:hAnsi="宋体"/>
          <w:color w:val="323232"/>
          <w:kern w:val="2"/>
          <w:sz w:val="21"/>
          <w:szCs w:val="21"/>
        </w:rPr>
        <w:t>同时两阶段提交在提交阶段不允许出错</w:t>
      </w:r>
      <w:r>
        <w:rPr>
          <w:rFonts w:hint="eastAsia" w:ascii="宋体" w:hAnsi="宋体"/>
          <w:color w:val="323232"/>
          <w:kern w:val="2"/>
          <w:sz w:val="21"/>
          <w:szCs w:val="21"/>
        </w:rPr>
        <w:t>，</w:t>
      </w:r>
      <w:r>
        <w:rPr>
          <w:rFonts w:ascii="宋体" w:hAnsi="宋体"/>
          <w:color w:val="323232"/>
          <w:kern w:val="2"/>
          <w:sz w:val="21"/>
          <w:szCs w:val="21"/>
        </w:rPr>
        <w:t>如果这个阶段发生异常无法回滚</w:t>
      </w:r>
      <w:r>
        <w:rPr>
          <w:rFonts w:hint="eastAsia" w:ascii="宋体" w:hAnsi="宋体"/>
          <w:color w:val="323232"/>
          <w:kern w:val="2"/>
          <w:sz w:val="21"/>
          <w:szCs w:val="21"/>
        </w:rPr>
        <w:t>，</w:t>
      </w:r>
      <w:r>
        <w:rPr>
          <w:rFonts w:ascii="宋体" w:hAnsi="宋体"/>
          <w:color w:val="323232"/>
          <w:kern w:val="2"/>
          <w:sz w:val="21"/>
          <w:szCs w:val="21"/>
        </w:rPr>
        <w:t>会造成数据异常。</w:t>
      </w:r>
    </w:p>
    <w:p>
      <w:r>
        <w:rPr>
          <w:rFonts w:ascii="宋体" w:hAnsi="宋体" w:cs="Times New Roman"/>
          <w:color w:val="323232"/>
          <w:szCs w:val="21"/>
        </w:rPr>
        <w:t>但因为2PC的协议成本比较高，又有全局锁的问题，性能会比较差。</w:t>
      </w:r>
      <w:r>
        <w:rPr>
          <w:rFonts w:ascii="宋体" w:hAnsi="宋体"/>
          <w:color w:val="323232"/>
          <w:szCs w:val="21"/>
        </w:rPr>
        <w:t>现在大家基本上不会采用这种强一致解决方案</w:t>
      </w:r>
    </w:p>
    <w:p>
      <w:r>
        <w:drawing>
          <wp:inline distT="0" distB="0" distL="0" distR="0">
            <wp:extent cx="5274310" cy="2790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90825"/>
                    </a:xfrm>
                    <a:prstGeom prst="rect">
                      <a:avLst/>
                    </a:prstGeom>
                  </pic:spPr>
                </pic:pic>
              </a:graphicData>
            </a:graphic>
          </wp:inline>
        </w:drawing>
      </w:r>
    </w:p>
    <w:p>
      <w:r>
        <w:drawing>
          <wp:inline distT="0" distB="0" distL="0" distR="0">
            <wp:extent cx="5274310" cy="2632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632710"/>
                    </a:xfrm>
                    <a:prstGeom prst="rect">
                      <a:avLst/>
                    </a:prstGeom>
                  </pic:spPr>
                </pic:pic>
              </a:graphicData>
            </a:graphic>
          </wp:inline>
        </w:drawing>
      </w:r>
    </w:p>
    <w:p/>
    <w:p>
      <w:pPr>
        <w:pStyle w:val="3"/>
        <w:rPr>
          <w:b w:val="0"/>
        </w:rPr>
      </w:pPr>
      <w:r>
        <w:rPr>
          <w:rFonts w:hint="eastAsia"/>
          <w:b w:val="0"/>
        </w:rPr>
        <w:t>1</w:t>
      </w:r>
      <w:r>
        <w:rPr>
          <w:b w:val="0"/>
        </w:rPr>
        <w:t>.2 柔性事物</w:t>
      </w:r>
    </w:p>
    <w:p>
      <w:pPr>
        <w:rPr>
          <w:rFonts w:ascii="宋体" w:hAnsi="宋体" w:cs="Times New Roman"/>
          <w:color w:val="323232"/>
          <w:szCs w:val="21"/>
        </w:rPr>
      </w:pPr>
      <w:r>
        <w:rPr>
          <w:rFonts w:ascii="宋体" w:hAnsi="宋体" w:cs="Times New Roman"/>
          <w:color w:val="323232"/>
          <w:szCs w:val="21"/>
        </w:rPr>
        <w:t>BASE基本可用 可以保证分布式事务参与方不一定同时在线。柔性状态 允许系统状态更新有一定的延时，这个延时对客户来说不一定能察觉。最终一致性 通常是通过消息可达的方式保证系统的最终一致性。</w:t>
      </w:r>
    </w:p>
    <w:p>
      <w:pPr>
        <w:rPr>
          <w:rFonts w:ascii="宋体" w:hAnsi="宋体" w:cs="Times New Roman"/>
          <w:color w:val="323232"/>
          <w:szCs w:val="21"/>
        </w:rPr>
      </w:pPr>
      <w:r>
        <w:rPr>
          <w:rFonts w:ascii="宋体" w:hAnsi="宋体" w:cs="Times New Roman"/>
          <w:color w:val="323232"/>
          <w:szCs w:val="21"/>
        </w:rPr>
        <w:t>通过业务逻辑将互斥锁操作从资源层面上移到业务层面，这并不是完全放弃了ACID，而是通过放宽一致性要求，借助本地事务来实现最终分布式事务一致性的同时也保证系统的吞吐。</w:t>
      </w:r>
    </w:p>
    <w:p>
      <w:r>
        <w:drawing>
          <wp:inline distT="0" distB="0" distL="0" distR="0">
            <wp:extent cx="5274310" cy="2612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612390"/>
                    </a:xfrm>
                    <a:prstGeom prst="rect">
                      <a:avLst/>
                    </a:prstGeom>
                  </pic:spPr>
                </pic:pic>
              </a:graphicData>
            </a:graphic>
          </wp:inline>
        </w:drawing>
      </w:r>
    </w:p>
    <w:p/>
    <w:p>
      <w:pPr>
        <w:pStyle w:val="4"/>
        <w:rPr>
          <w:b w:val="0"/>
        </w:rPr>
      </w:pPr>
      <w:r>
        <w:rPr>
          <w:rFonts w:hint="eastAsia"/>
          <w:b w:val="0"/>
        </w:rPr>
        <w:t>2</w:t>
      </w:r>
      <w:r>
        <w:rPr>
          <w:b w:val="0"/>
        </w:rPr>
        <w:t>.1 tcc实现方式</w:t>
      </w:r>
    </w:p>
    <w:p/>
    <w:p>
      <w:pPr>
        <w:rPr>
          <w:rFonts w:hint="eastAsia"/>
        </w:rPr>
      </w:pPr>
      <w:r>
        <w:drawing>
          <wp:inline distT="0" distB="0" distL="0" distR="0">
            <wp:extent cx="5274310" cy="2588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588260"/>
                    </a:xfrm>
                    <a:prstGeom prst="rect">
                      <a:avLst/>
                    </a:prstGeom>
                  </pic:spPr>
                </pic:pic>
              </a:graphicData>
            </a:graphic>
          </wp:inline>
        </w:drawing>
      </w:r>
    </w:p>
    <w:p>
      <w:pPr>
        <w:pStyle w:val="8"/>
        <w:shd w:val="clear" w:color="auto" w:fill="FFFFFF"/>
        <w:spacing w:before="0" w:beforeAutospacing="0" w:after="150" w:afterAutospacing="0"/>
        <w:rPr>
          <w:rFonts w:ascii="宋体" w:hAnsi="宋体" w:eastAsiaTheme="minorEastAsia"/>
          <w:color w:val="323232"/>
          <w:kern w:val="2"/>
          <w:sz w:val="21"/>
          <w:szCs w:val="21"/>
        </w:rPr>
      </w:pPr>
      <w:r>
        <w:rPr>
          <w:rFonts w:ascii="宋体" w:hAnsi="宋体" w:eastAsiaTheme="minorEastAsia"/>
          <w:color w:val="323232"/>
          <w:kern w:val="2"/>
          <w:sz w:val="21"/>
          <w:szCs w:val="21"/>
        </w:rPr>
        <w:t>TCC名字的由来是其中包含了 try, confirm, cancel三个操作。</w:t>
      </w:r>
    </w:p>
    <w:p>
      <w:pPr>
        <w:pStyle w:val="8"/>
        <w:shd w:val="clear" w:color="auto" w:fill="FFFFFF"/>
        <w:spacing w:before="0" w:beforeAutospacing="0" w:after="150" w:afterAutospacing="0"/>
        <w:rPr>
          <w:rFonts w:ascii="宋体" w:hAnsi="宋体" w:eastAsiaTheme="minorEastAsia"/>
          <w:color w:val="323232"/>
          <w:kern w:val="2"/>
          <w:sz w:val="21"/>
          <w:szCs w:val="21"/>
        </w:rPr>
      </w:pPr>
      <w:r>
        <w:rPr>
          <w:rFonts w:ascii="宋体" w:hAnsi="宋体" w:eastAsiaTheme="minorEastAsia"/>
          <w:color w:val="323232"/>
          <w:kern w:val="2"/>
          <w:sz w:val="21"/>
          <w:szCs w:val="21"/>
        </w:rPr>
        <w:t>与两阶段提交相比，TCC位于业务服务层， 没有单独的准备阶段，Try操作可以灵活选择业务资源锁的粒度</w:t>
      </w:r>
      <w:r>
        <w:rPr>
          <w:rFonts w:hint="eastAsia" w:ascii="宋体" w:hAnsi="宋体" w:eastAsiaTheme="minorEastAsia"/>
          <w:color w:val="323232"/>
          <w:kern w:val="2"/>
          <w:sz w:val="21"/>
          <w:szCs w:val="21"/>
        </w:rPr>
        <w:t>。</w:t>
      </w:r>
      <w:r>
        <w:rPr>
          <w:rFonts w:ascii="宋体" w:hAnsi="宋体" w:eastAsiaTheme="minorEastAsia"/>
          <w:color w:val="323232"/>
          <w:kern w:val="2"/>
          <w:sz w:val="21"/>
          <w:szCs w:val="21"/>
        </w:rPr>
        <w:t>TCC是通过最终一致性来解决系统性能问题的这个设计，对我们设计抉择有很大的启发。有些时候系统的技术问题是可以通过业务建模的方式来解决的。</w:t>
      </w:r>
    </w:p>
    <w:p>
      <w:pPr>
        <w:rPr>
          <w:rFonts w:ascii="宋体" w:hAnsi="宋体" w:cs="Times New Roman"/>
          <w:color w:val="323232"/>
          <w:szCs w:val="21"/>
        </w:rPr>
      </w:pPr>
      <w:r>
        <w:rPr>
          <w:rFonts w:hint="eastAsia"/>
          <w:lang w:val="en-US" w:eastAsia="zh-CN"/>
        </w:rPr>
        <w:t>Tcc使用很复杂，需要提供try预留资源逻辑，还需要confirm真正改变数据的逻辑，与cancel取消资源修改的逻辑，相当于每个分布式调用都需要手动实现功能的补偿，代码量较大，但不会锁表，性能消耗主要体现在各个事务的执行，以及状态的同步上时间的消耗。</w:t>
      </w:r>
      <w:bookmarkStart w:id="0" w:name="_GoBack"/>
      <w:bookmarkEnd w:id="0"/>
    </w:p>
    <w:p>
      <w:pPr>
        <w:pStyle w:val="4"/>
        <w:rPr>
          <w:b w:val="0"/>
        </w:rPr>
      </w:pPr>
      <w:r>
        <w:rPr>
          <w:rFonts w:hint="eastAsia"/>
          <w:b w:val="0"/>
        </w:rPr>
        <w:t>2</w:t>
      </w:r>
      <w:r>
        <w:rPr>
          <w:b w:val="0"/>
        </w:rPr>
        <w:t>.2 saga的实现方式</w:t>
      </w:r>
    </w:p>
    <w:p>
      <w:r>
        <w:fldChar w:fldCharType="begin"/>
      </w:r>
      <w:r>
        <w:instrText xml:space="preserve"> HYPERLINK "https://servicecomb.apache.org/assets/images/saga/Saga.019.jpeg#" </w:instrText>
      </w:r>
      <w:r>
        <w:fldChar w:fldCharType="separate"/>
      </w:r>
      <w:r>
        <w:rPr>
          <w:rStyle w:val="13"/>
        </w:rPr>
        <w:drawing>
          <wp:inline distT="0" distB="0" distL="0" distR="0">
            <wp:extent cx="5274310" cy="26346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274310" cy="2634615"/>
                    </a:xfrm>
                    <a:prstGeom prst="rect">
                      <a:avLst/>
                    </a:prstGeom>
                  </pic:spPr>
                </pic:pic>
              </a:graphicData>
            </a:graphic>
          </wp:inline>
        </w:drawing>
      </w:r>
      <w:r>
        <w:rPr>
          <w:rStyle w:val="13"/>
        </w:rPr>
        <w:fldChar w:fldCharType="end"/>
      </w:r>
    </w:p>
    <w:p>
      <w:r>
        <w:fldChar w:fldCharType="begin"/>
      </w:r>
      <w:r>
        <w:instrText xml:space="preserve"> HYPERLINK "https://servicecomb.apache.org/assets/images/saga/Saga.020.jpeg#" </w:instrText>
      </w:r>
      <w:r>
        <w:fldChar w:fldCharType="separate"/>
      </w:r>
      <w:r>
        <w:rPr>
          <w:rStyle w:val="13"/>
        </w:rPr>
        <w:drawing>
          <wp:inline distT="0" distB="0" distL="0" distR="0">
            <wp:extent cx="5274310" cy="2964815"/>
            <wp:effectExtent l="0" t="0" r="2540" b="6985"/>
            <wp:docPr id="16" name="图片 16" descr="https://servicecomb.apache.org/assets/images/saga/Saga.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servicecomb.apache.org/assets/images/saga/Saga.019.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964876"/>
                    </a:xfrm>
                    <a:prstGeom prst="rect">
                      <a:avLst/>
                    </a:prstGeom>
                    <a:noFill/>
                    <a:ln>
                      <a:noFill/>
                    </a:ln>
                  </pic:spPr>
                </pic:pic>
              </a:graphicData>
            </a:graphic>
          </wp:inline>
        </w:drawing>
      </w:r>
      <w:r>
        <w:rPr>
          <w:rStyle w:val="13"/>
        </w:rPr>
        <w:fldChar w:fldCharType="end"/>
      </w:r>
    </w:p>
    <w:p>
      <w:r>
        <w:drawing>
          <wp:inline distT="0" distB="0" distL="0" distR="0">
            <wp:extent cx="5274310" cy="2964815"/>
            <wp:effectExtent l="0" t="0" r="2540" b="6985"/>
            <wp:docPr id="18" name="图片 18" descr="https://servicecomb.apache.org/assets/images/saga/Saga.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servicecomb.apache.org/assets/images/saga/Saga.020.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64876"/>
                    </a:xfrm>
                    <a:prstGeom prst="rect">
                      <a:avLst/>
                    </a:prstGeom>
                    <a:noFill/>
                    <a:ln>
                      <a:noFill/>
                    </a:ln>
                  </pic:spPr>
                </pic:pic>
              </a:graphicData>
            </a:graphic>
          </wp:inline>
        </w:drawing>
      </w:r>
    </w:p>
    <w:p/>
    <w:p>
      <w:pPr>
        <w:pStyle w:val="5"/>
        <w:rPr>
          <w:b w:val="0"/>
        </w:rPr>
      </w:pPr>
      <w:r>
        <w:rPr>
          <w:rFonts w:hint="eastAsia"/>
          <w:b w:val="0"/>
        </w:rPr>
        <w:t>2</w:t>
      </w:r>
      <w:r>
        <w:rPr>
          <w:b w:val="0"/>
        </w:rPr>
        <w:t>.1 基于saga的华为ServiceComb</w:t>
      </w:r>
    </w:p>
    <w:p>
      <w:pPr>
        <w:rPr>
          <w:rFonts w:hint="eastAsia"/>
        </w:rPr>
      </w:pPr>
      <w:r>
        <w:t>未解决隔离性问题</w:t>
      </w:r>
    </w:p>
    <w:p>
      <w:pPr>
        <w:rPr>
          <w:rFonts w:hint="eastAsia"/>
        </w:rPr>
      </w:pPr>
      <w:r>
        <w:fldChar w:fldCharType="begin"/>
      </w:r>
      <w:r>
        <w:instrText xml:space="preserve"> HYPERLINK "https://servicecomb.apache.org/cn/docs/distributed-transactions-saga-implementation/" </w:instrText>
      </w:r>
      <w:r>
        <w:fldChar w:fldCharType="separate"/>
      </w:r>
      <w:r>
        <w:rPr>
          <w:rStyle w:val="13"/>
        </w:rPr>
        <w:t>https://servicecomb.apache.org/cn/docs/distributed-transactions-saga-implementation/</w:t>
      </w:r>
      <w:r>
        <w:rPr>
          <w:rStyle w:val="13"/>
        </w:rPr>
        <w:fldChar w:fldCharType="end"/>
      </w:r>
    </w:p>
    <w:p>
      <w:pPr>
        <w:pStyle w:val="5"/>
        <w:rPr>
          <w:b w:val="0"/>
        </w:rPr>
      </w:pPr>
      <w:r>
        <w:rPr>
          <w:rFonts w:hint="eastAsia"/>
          <w:b w:val="0"/>
        </w:rPr>
        <w:t>2</w:t>
      </w:r>
      <w:r>
        <w:rPr>
          <w:b w:val="0"/>
        </w:rPr>
        <w:t>.2 基于saga升级的seata</w:t>
      </w:r>
    </w:p>
    <w:p>
      <w:pPr>
        <w:rPr>
          <w:rFonts w:hint="eastAsia"/>
        </w:rPr>
      </w:pPr>
      <w:r>
        <w:t>解决了隔离性问题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F24"/>
    <w:rsid w:val="00004059"/>
    <w:rsid w:val="000B5790"/>
    <w:rsid w:val="00357F24"/>
    <w:rsid w:val="00381FDB"/>
    <w:rsid w:val="0098696E"/>
    <w:rsid w:val="00C3551E"/>
    <w:rsid w:val="00CA491F"/>
    <w:rsid w:val="00D2275E"/>
    <w:rsid w:val="00DD2B4A"/>
    <w:rsid w:val="00EA178B"/>
    <w:rsid w:val="00EA2C3E"/>
    <w:rsid w:val="00EE268A"/>
    <w:rsid w:val="00F21B75"/>
    <w:rsid w:val="3F771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153"/>
        <w:tab w:val="right" w:pos="8306"/>
      </w:tabs>
      <w:snapToGrid w:val="0"/>
      <w:jc w:val="left"/>
    </w:pPr>
    <w:rPr>
      <w:sz w:val="18"/>
      <w:szCs w:val="18"/>
    </w:rPr>
  </w:style>
  <w:style w:type="paragraph" w:styleId="7">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iPriority w:val="99"/>
    <w:pPr>
      <w:spacing w:before="100" w:beforeAutospacing="1" w:after="100" w:afterAutospacing="1"/>
      <w:jc w:val="left"/>
    </w:pPr>
    <w:rPr>
      <w:rFonts w:ascii="Calibri" w:hAnsi="Calibri" w:eastAsia="宋体" w:cs="Times New Roman"/>
      <w:kern w:val="0"/>
      <w:sz w:val="24"/>
      <w:szCs w:val="24"/>
    </w:rPr>
  </w:style>
  <w:style w:type="character" w:styleId="11">
    <w:name w:val="Strong"/>
    <w:basedOn w:val="10"/>
    <w:qFormat/>
    <w:uiPriority w:val="22"/>
    <w:rPr>
      <w:b/>
      <w:bCs/>
    </w:rPr>
  </w:style>
  <w:style w:type="character" w:styleId="12">
    <w:name w:val="FollowedHyperlink"/>
    <w:basedOn w:val="10"/>
    <w:semiHidden/>
    <w:unhideWhenUsed/>
    <w:uiPriority w:val="99"/>
    <w:rPr>
      <w:color w:val="954F72" w:themeColor="followedHyperlink"/>
      <w:u w:val="single"/>
      <w14:textFill>
        <w14:solidFill>
          <w14:schemeClr w14:val="folHlink"/>
        </w14:solidFill>
      </w14:textFill>
    </w:rPr>
  </w:style>
  <w:style w:type="character" w:styleId="13">
    <w:name w:val="Hyperlink"/>
    <w:basedOn w:val="10"/>
    <w:unhideWhenUsed/>
    <w:uiPriority w:val="99"/>
    <w:rPr>
      <w:color w:val="0000FF"/>
      <w:u w:val="single"/>
    </w:rPr>
  </w:style>
  <w:style w:type="character" w:customStyle="1" w:styleId="14">
    <w:name w:val="页眉 Char"/>
    <w:basedOn w:val="10"/>
    <w:link w:val="7"/>
    <w:uiPriority w:val="99"/>
    <w:rPr>
      <w:sz w:val="18"/>
      <w:szCs w:val="18"/>
    </w:rPr>
  </w:style>
  <w:style w:type="character" w:customStyle="1" w:styleId="15">
    <w:name w:val="页脚 Char"/>
    <w:basedOn w:val="10"/>
    <w:link w:val="6"/>
    <w:uiPriority w:val="99"/>
    <w:rPr>
      <w:sz w:val="18"/>
      <w:szCs w:val="18"/>
    </w:rPr>
  </w:style>
  <w:style w:type="character" w:customStyle="1" w:styleId="16">
    <w:name w:val="标题 1 Char"/>
    <w:basedOn w:val="10"/>
    <w:link w:val="2"/>
    <w:uiPriority w:val="9"/>
    <w:rPr>
      <w:b/>
      <w:bCs/>
      <w:kern w:val="44"/>
      <w:sz w:val="44"/>
      <w:szCs w:val="44"/>
    </w:rPr>
  </w:style>
  <w:style w:type="character" w:customStyle="1" w:styleId="17">
    <w:name w:val="标题 2 Char"/>
    <w:basedOn w:val="10"/>
    <w:link w:val="3"/>
    <w:uiPriority w:val="9"/>
    <w:rPr>
      <w:rFonts w:asciiTheme="majorHAnsi" w:hAnsiTheme="majorHAnsi" w:eastAsiaTheme="majorEastAsia" w:cstheme="majorBidi"/>
      <w:b/>
      <w:bCs/>
      <w:sz w:val="32"/>
      <w:szCs w:val="32"/>
    </w:rPr>
  </w:style>
  <w:style w:type="character" w:customStyle="1" w:styleId="18">
    <w:name w:val="标题 3 Char"/>
    <w:basedOn w:val="10"/>
    <w:link w:val="4"/>
    <w:uiPriority w:val="9"/>
    <w:rPr>
      <w:b/>
      <w:bCs/>
      <w:sz w:val="32"/>
      <w:szCs w:val="32"/>
    </w:rPr>
  </w:style>
  <w:style w:type="paragraph" w:customStyle="1" w:styleId="19">
    <w:name w:val="page__meta"/>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0">
    <w:name w:val="标题 4 Char"/>
    <w:basedOn w:val="10"/>
    <w:link w:val="5"/>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199</Words>
  <Characters>1139</Characters>
  <Lines>9</Lines>
  <Paragraphs>2</Paragraphs>
  <TotalTime>0</TotalTime>
  <ScaleCrop>false</ScaleCrop>
  <LinksUpToDate>false</LinksUpToDate>
  <CharactersWithSpaces>1336</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2020-05-07T01:49:00Z</dcterms:created>
  <dc:creator>赵文建</dc:creator>
  <cp:lastModifiedBy>sunjinyue</cp:lastModifiedBy>
  <dcterms:modified xsi:type="dcterms:W3CDTF">2021-09-03T03:13:30Z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7AD491F21C464AC9ABEABB17BA9CF66E</vt:lpwstr>
  </property>
</Properties>
</file>