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F931D">
      <w:pPr>
        <w:spacing w:before="160" w:after="480" w:line="240" w:lineRule="auto"/>
        <w:jc w:val="both"/>
        <w:rPr>
          <w:rFonts w:hint="eastAsia"/>
          <w:b/>
          <w:sz w:val="24"/>
        </w:rPr>
      </w:pPr>
    </w:p>
    <w:p w14:paraId="240261F6">
      <w:pPr>
        <w:spacing w:before="160" w:after="480" w:line="240" w:lineRule="auto"/>
        <w:jc w:val="center"/>
        <w:rPr>
          <w:rFonts w:hint="eastAsia" w:ascii="宋体" w:hAnsi="宋体" w:eastAsia="宋体" w:cs="宋体"/>
          <w:b/>
          <w:sz w:val="24"/>
        </w:rPr>
      </w:pPr>
      <w:r>
        <w:rPr>
          <w:rFonts w:hint="eastAsia"/>
          <w:b/>
          <w:sz w:val="24"/>
        </w:rPr>
        <w:drawing>
          <wp:inline distT="0" distB="0" distL="114300" distR="114300">
            <wp:extent cx="4059555" cy="1068070"/>
            <wp:effectExtent l="0" t="0" r="17145" b="17780"/>
            <wp:docPr id="9" name="图片 1" descr="校徽校名标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校徽校名标准"/>
                    <pic:cNvPicPr>
                      <a:picLocks noChangeAspect="1"/>
                    </pic:cNvPicPr>
                  </pic:nvPicPr>
                  <pic:blipFill>
                    <a:blip r:embed="rId12"/>
                    <a:stretch>
                      <a:fillRect/>
                    </a:stretch>
                  </pic:blipFill>
                  <pic:spPr>
                    <a:xfrm>
                      <a:off x="0" y="0"/>
                      <a:ext cx="4059555" cy="1068070"/>
                    </a:xfrm>
                    <a:prstGeom prst="rect">
                      <a:avLst/>
                    </a:prstGeom>
                    <a:noFill/>
                    <a:ln>
                      <a:noFill/>
                    </a:ln>
                  </pic:spPr>
                </pic:pic>
              </a:graphicData>
            </a:graphic>
          </wp:inline>
        </w:drawing>
      </w:r>
    </w:p>
    <w:p w14:paraId="6061341B">
      <w:pPr>
        <w:spacing w:before="160" w:after="480" w:line="240" w:lineRule="auto"/>
        <w:jc w:val="center"/>
        <w:rPr>
          <w:rFonts w:ascii="黑体" w:hAnsi="黑体" w:eastAsia="黑体"/>
          <w:sz w:val="90"/>
        </w:rPr>
      </w:pPr>
      <w:r>
        <w:rPr>
          <w:rFonts w:ascii="黑体" w:hAnsi="黑体" w:eastAsia="黑体"/>
          <w:sz w:val="90"/>
        </w:rPr>
        <w:t>本科毕业论文</w:t>
      </w:r>
    </w:p>
    <w:p w14:paraId="550E4328">
      <w:pPr>
        <w:spacing w:before="160" w:after="480" w:line="240" w:lineRule="auto"/>
        <w:jc w:val="center"/>
      </w:pPr>
      <w:r>
        <w:rPr>
          <w:rFonts w:ascii="黑体" w:hAnsi="黑体" w:eastAsia="黑体"/>
          <w:sz w:val="52"/>
        </w:rPr>
        <w:t>GRADUATION THESIS</w:t>
      </w:r>
    </w:p>
    <w:tbl>
      <w:tblPr>
        <w:tblStyle w:val="36"/>
        <w:tblW w:w="8700" w:type="dxa"/>
        <w:jc w:val="center"/>
        <w:tblLayout w:type="fixed"/>
        <w:tblCellMar>
          <w:top w:w="0" w:type="dxa"/>
          <w:left w:w="108" w:type="dxa"/>
          <w:bottom w:w="0" w:type="dxa"/>
          <w:right w:w="108" w:type="dxa"/>
        </w:tblCellMar>
      </w:tblPr>
      <w:tblGrid>
        <w:gridCol w:w="1900"/>
        <w:gridCol w:w="6800"/>
      </w:tblGrid>
      <w:tr w14:paraId="068F2F5E">
        <w:tblPrEx>
          <w:tblCellMar>
            <w:top w:w="0" w:type="dxa"/>
            <w:left w:w="108" w:type="dxa"/>
            <w:bottom w:w="0" w:type="dxa"/>
            <w:right w:w="108" w:type="dxa"/>
          </w:tblCellMar>
        </w:tblPrEx>
        <w:trPr>
          <w:trHeight w:val="482" w:hRule="atLeast"/>
          <w:jc w:val="center"/>
        </w:trPr>
        <w:tc>
          <w:tcPr>
            <w:tcW w:w="1900" w:type="dxa"/>
            <w:tcBorders>
              <w:top w:val="nil"/>
              <w:left w:val="nil"/>
              <w:bottom w:val="nil"/>
              <w:right w:val="nil"/>
            </w:tcBorders>
            <w:tcMar>
              <w:top w:w="0" w:type="dxa"/>
              <w:left w:w="0" w:type="dxa"/>
              <w:bottom w:w="0" w:type="dxa"/>
              <w:right w:w="0" w:type="dxa"/>
            </w:tcMar>
            <w:vAlign w:val="center"/>
          </w:tcPr>
          <w:p w14:paraId="1F3342A1">
            <w:pPr>
              <w:spacing w:after="0" w:line="240" w:lineRule="auto"/>
              <w:jc w:val="right"/>
            </w:pPr>
            <w:r>
              <w:rPr>
                <w:rFonts w:ascii="黑体" w:hAnsi="黑体" w:eastAsia="黑体"/>
                <w:sz w:val="36"/>
              </w:rPr>
              <w:t>题    目：</w:t>
            </w:r>
          </w:p>
        </w:tc>
        <w:tc>
          <w:tcPr>
            <w:tcW w:w="6800" w:type="dxa"/>
            <w:tcBorders>
              <w:top w:val="nil"/>
              <w:left w:val="nil"/>
              <w:bottom w:val="single" w:color="000000" w:sz="8" w:space="0"/>
              <w:right w:val="nil"/>
            </w:tcBorders>
            <w:tcMar>
              <w:top w:w="0" w:type="dxa"/>
              <w:left w:w="0" w:type="dxa"/>
              <w:bottom w:w="0" w:type="dxa"/>
              <w:right w:w="0" w:type="dxa"/>
            </w:tcMar>
            <w:vAlign w:val="center"/>
          </w:tcPr>
          <w:p w14:paraId="0C8FDFF3">
            <w:pPr>
              <w:spacing w:after="0" w:line="240" w:lineRule="auto"/>
              <w:jc w:val="center"/>
              <w:rPr>
                <w:lang w:eastAsia="zh-CN"/>
              </w:rPr>
            </w:pPr>
            <w:r>
              <w:rPr>
                <w:rFonts w:ascii="楷体_GB2312" w:hAnsi="楷体_GB2312" w:eastAsia="楷体_GB2312"/>
                <w:sz w:val="36"/>
                <w:lang w:eastAsia="zh-CN"/>
              </w:rPr>
              <w:t>人机料法环视角下高校生物实验室安全管理研究</w:t>
            </w:r>
          </w:p>
        </w:tc>
      </w:tr>
      <w:tr w14:paraId="56C3BEE8">
        <w:tblPrEx>
          <w:tblCellMar>
            <w:top w:w="0" w:type="dxa"/>
            <w:left w:w="108" w:type="dxa"/>
            <w:bottom w:w="0" w:type="dxa"/>
            <w:right w:w="108" w:type="dxa"/>
          </w:tblCellMar>
        </w:tblPrEx>
        <w:trPr>
          <w:trHeight w:val="408" w:hRule="atLeast"/>
          <w:jc w:val="center"/>
        </w:trPr>
        <w:tc>
          <w:tcPr>
            <w:tcW w:w="1900" w:type="dxa"/>
            <w:tcBorders>
              <w:top w:val="nil"/>
              <w:left w:val="nil"/>
              <w:bottom w:val="nil"/>
              <w:right w:val="nil"/>
            </w:tcBorders>
            <w:tcMar>
              <w:top w:w="0" w:type="dxa"/>
              <w:left w:w="0" w:type="dxa"/>
              <w:bottom w:w="0" w:type="dxa"/>
              <w:right w:w="0" w:type="dxa"/>
            </w:tcMar>
            <w:vAlign w:val="center"/>
          </w:tcPr>
          <w:p w14:paraId="3E18E491">
            <w:pPr>
              <w:spacing w:after="0" w:line="240" w:lineRule="auto"/>
              <w:jc w:val="right"/>
            </w:pPr>
            <w:r>
              <w:rPr>
                <w:rFonts w:ascii="黑体" w:hAnsi="黑体" w:eastAsia="黑体"/>
                <w:sz w:val="36"/>
              </w:rPr>
              <w:t>学生姓名：</w:t>
            </w:r>
          </w:p>
        </w:tc>
        <w:tc>
          <w:tcPr>
            <w:tcW w:w="6800" w:type="dxa"/>
            <w:tcBorders>
              <w:top w:val="nil"/>
              <w:left w:val="nil"/>
              <w:bottom w:val="single" w:color="000000" w:sz="8" w:space="0"/>
              <w:right w:val="nil"/>
            </w:tcBorders>
            <w:tcMar>
              <w:top w:w="0" w:type="dxa"/>
              <w:left w:w="0" w:type="dxa"/>
              <w:bottom w:w="0" w:type="dxa"/>
              <w:right w:w="0" w:type="dxa"/>
            </w:tcMar>
            <w:vAlign w:val="center"/>
          </w:tcPr>
          <w:p w14:paraId="5C056A16">
            <w:pPr>
              <w:spacing w:after="0" w:line="240" w:lineRule="auto"/>
              <w:jc w:val="center"/>
            </w:pPr>
            <w:r>
              <w:rPr>
                <w:rFonts w:ascii="楷体_GB2312" w:hAnsi="楷体_GB2312" w:eastAsia="楷体_GB2312"/>
                <w:sz w:val="36"/>
              </w:rPr>
              <w:t>陈沐新</w:t>
            </w:r>
          </w:p>
        </w:tc>
      </w:tr>
      <w:tr w14:paraId="2B7D6937">
        <w:tblPrEx>
          <w:tblCellMar>
            <w:top w:w="0" w:type="dxa"/>
            <w:left w:w="108" w:type="dxa"/>
            <w:bottom w:w="0" w:type="dxa"/>
            <w:right w:w="108" w:type="dxa"/>
          </w:tblCellMar>
        </w:tblPrEx>
        <w:trPr>
          <w:trHeight w:val="408" w:hRule="atLeast"/>
          <w:jc w:val="center"/>
        </w:trPr>
        <w:tc>
          <w:tcPr>
            <w:tcW w:w="1900" w:type="dxa"/>
            <w:tcBorders>
              <w:top w:val="nil"/>
              <w:left w:val="nil"/>
              <w:bottom w:val="nil"/>
              <w:right w:val="nil"/>
            </w:tcBorders>
            <w:tcMar>
              <w:top w:w="0" w:type="dxa"/>
              <w:left w:w="0" w:type="dxa"/>
              <w:bottom w:w="0" w:type="dxa"/>
              <w:right w:w="0" w:type="dxa"/>
            </w:tcMar>
            <w:vAlign w:val="center"/>
          </w:tcPr>
          <w:p w14:paraId="2E7FC038">
            <w:pPr>
              <w:spacing w:after="0" w:line="240" w:lineRule="auto"/>
              <w:jc w:val="right"/>
            </w:pPr>
            <w:r>
              <w:rPr>
                <w:rFonts w:ascii="黑体" w:hAnsi="黑体" w:eastAsia="黑体"/>
                <w:sz w:val="36"/>
              </w:rPr>
              <w:t>指导教师：</w:t>
            </w:r>
          </w:p>
        </w:tc>
        <w:tc>
          <w:tcPr>
            <w:tcW w:w="6800" w:type="dxa"/>
            <w:tcBorders>
              <w:top w:val="nil"/>
              <w:left w:val="nil"/>
              <w:bottom w:val="single" w:color="000000" w:sz="8" w:space="0"/>
              <w:right w:val="nil"/>
            </w:tcBorders>
            <w:tcMar>
              <w:top w:w="0" w:type="dxa"/>
              <w:left w:w="0" w:type="dxa"/>
              <w:bottom w:w="0" w:type="dxa"/>
              <w:right w:w="0" w:type="dxa"/>
            </w:tcMar>
            <w:vAlign w:val="center"/>
          </w:tcPr>
          <w:p w14:paraId="75FDFA6F">
            <w:pPr>
              <w:spacing w:after="0" w:line="240" w:lineRule="auto"/>
              <w:jc w:val="center"/>
            </w:pPr>
            <w:r>
              <w:rPr>
                <w:rFonts w:ascii="楷体_GB2312" w:hAnsi="楷体_GB2312" w:eastAsia="楷体_GB2312"/>
                <w:sz w:val="36"/>
              </w:rPr>
              <w:t>王宏伟</w:t>
            </w:r>
          </w:p>
        </w:tc>
      </w:tr>
      <w:tr w14:paraId="1FEBAB9F">
        <w:tblPrEx>
          <w:tblCellMar>
            <w:top w:w="0" w:type="dxa"/>
            <w:left w:w="108" w:type="dxa"/>
            <w:bottom w:w="0" w:type="dxa"/>
            <w:right w:w="108" w:type="dxa"/>
          </w:tblCellMar>
        </w:tblPrEx>
        <w:trPr>
          <w:trHeight w:val="408" w:hRule="atLeast"/>
          <w:jc w:val="center"/>
        </w:trPr>
        <w:tc>
          <w:tcPr>
            <w:tcW w:w="1900" w:type="dxa"/>
            <w:tcBorders>
              <w:top w:val="nil"/>
              <w:left w:val="nil"/>
              <w:bottom w:val="nil"/>
              <w:right w:val="nil"/>
            </w:tcBorders>
            <w:tcMar>
              <w:top w:w="0" w:type="dxa"/>
              <w:left w:w="0" w:type="dxa"/>
              <w:bottom w:w="0" w:type="dxa"/>
              <w:right w:w="0" w:type="dxa"/>
            </w:tcMar>
            <w:vAlign w:val="center"/>
          </w:tcPr>
          <w:p w14:paraId="053A243F">
            <w:pPr>
              <w:spacing w:after="0" w:line="240" w:lineRule="auto"/>
              <w:jc w:val="right"/>
            </w:pPr>
            <w:r>
              <w:rPr>
                <w:rFonts w:ascii="黑体" w:hAnsi="黑体" w:eastAsia="黑体"/>
                <w:sz w:val="36"/>
              </w:rPr>
              <w:t>学    院：</w:t>
            </w:r>
          </w:p>
        </w:tc>
        <w:tc>
          <w:tcPr>
            <w:tcW w:w="6800" w:type="dxa"/>
            <w:tcBorders>
              <w:top w:val="nil"/>
              <w:left w:val="nil"/>
              <w:bottom w:val="single" w:color="000000" w:sz="8" w:space="0"/>
              <w:right w:val="nil"/>
            </w:tcBorders>
            <w:tcMar>
              <w:top w:w="0" w:type="dxa"/>
              <w:left w:w="0" w:type="dxa"/>
              <w:bottom w:w="0" w:type="dxa"/>
              <w:right w:w="0" w:type="dxa"/>
            </w:tcMar>
            <w:vAlign w:val="center"/>
          </w:tcPr>
          <w:p w14:paraId="228D4062">
            <w:pPr>
              <w:spacing w:after="0" w:line="240" w:lineRule="auto"/>
              <w:jc w:val="center"/>
            </w:pPr>
            <w:r>
              <w:rPr>
                <w:rFonts w:ascii="楷体_GB2312" w:hAnsi="楷体_GB2312" w:eastAsia="楷体_GB2312"/>
                <w:sz w:val="36"/>
              </w:rPr>
              <w:t>资源与安全工程学院</w:t>
            </w:r>
          </w:p>
        </w:tc>
      </w:tr>
      <w:tr w14:paraId="5EA6C21B">
        <w:tblPrEx>
          <w:tblCellMar>
            <w:top w:w="0" w:type="dxa"/>
            <w:left w:w="108" w:type="dxa"/>
            <w:bottom w:w="0" w:type="dxa"/>
            <w:right w:w="108" w:type="dxa"/>
          </w:tblCellMar>
        </w:tblPrEx>
        <w:trPr>
          <w:trHeight w:val="408" w:hRule="atLeast"/>
          <w:jc w:val="center"/>
        </w:trPr>
        <w:tc>
          <w:tcPr>
            <w:tcW w:w="1900" w:type="dxa"/>
            <w:tcBorders>
              <w:top w:val="nil"/>
              <w:left w:val="nil"/>
              <w:bottom w:val="nil"/>
              <w:right w:val="nil"/>
            </w:tcBorders>
            <w:tcMar>
              <w:top w:w="0" w:type="dxa"/>
              <w:left w:w="0" w:type="dxa"/>
              <w:bottom w:w="0" w:type="dxa"/>
              <w:right w:w="0" w:type="dxa"/>
            </w:tcMar>
            <w:vAlign w:val="center"/>
          </w:tcPr>
          <w:p w14:paraId="2F23B932">
            <w:pPr>
              <w:spacing w:after="0" w:line="240" w:lineRule="auto"/>
              <w:jc w:val="right"/>
            </w:pPr>
            <w:r>
              <w:rPr>
                <w:rFonts w:ascii="黑体" w:hAnsi="黑体" w:eastAsia="黑体"/>
                <w:sz w:val="36"/>
              </w:rPr>
              <w:t>专业班级：</w:t>
            </w:r>
          </w:p>
        </w:tc>
        <w:tc>
          <w:tcPr>
            <w:tcW w:w="6800" w:type="dxa"/>
            <w:tcBorders>
              <w:top w:val="nil"/>
              <w:left w:val="nil"/>
              <w:bottom w:val="single" w:color="000000" w:sz="8" w:space="0"/>
              <w:right w:val="nil"/>
            </w:tcBorders>
            <w:tcMar>
              <w:top w:w="0" w:type="dxa"/>
              <w:left w:w="0" w:type="dxa"/>
              <w:bottom w:w="0" w:type="dxa"/>
              <w:right w:w="0" w:type="dxa"/>
            </w:tcMar>
            <w:vAlign w:val="center"/>
          </w:tcPr>
          <w:p w14:paraId="0884831E">
            <w:pPr>
              <w:spacing w:after="0" w:line="240" w:lineRule="auto"/>
              <w:jc w:val="center"/>
              <w:rPr>
                <w:rFonts w:eastAsia="楷体_GB2312"/>
                <w:lang w:eastAsia="zh-CN"/>
              </w:rPr>
            </w:pPr>
            <w:r>
              <w:rPr>
                <w:rFonts w:ascii="楷体_GB2312" w:hAnsi="楷体_GB2312" w:eastAsia="楷体_GB2312"/>
                <w:sz w:val="36"/>
              </w:rPr>
              <w:t>安全工程</w:t>
            </w:r>
            <w:r>
              <w:rPr>
                <w:rFonts w:hint="eastAsia" w:ascii="楷体_GB2312" w:hAnsi="楷体_GB2312" w:eastAsia="楷体_GB2312"/>
                <w:sz w:val="36"/>
                <w:lang w:eastAsia="zh-CN"/>
              </w:rPr>
              <w:t>2203</w:t>
            </w:r>
          </w:p>
        </w:tc>
      </w:tr>
    </w:tbl>
    <w:p w14:paraId="675981BF">
      <w:pPr>
        <w:spacing w:before="280" w:after="0" w:line="240" w:lineRule="auto"/>
        <w:jc w:val="center"/>
        <w:rPr>
          <w:rFonts w:hint="eastAsia" w:ascii="黑体" w:hAnsi="黑体" w:eastAsia="黑体"/>
          <w:sz w:val="36"/>
          <w:lang w:val="en-US" w:eastAsia="zh-CN"/>
        </w:rPr>
      </w:pPr>
    </w:p>
    <w:p w14:paraId="6F35D254">
      <w:pPr>
        <w:spacing w:before="280" w:after="0" w:line="240" w:lineRule="auto"/>
        <w:jc w:val="both"/>
        <w:rPr>
          <w:rFonts w:hint="eastAsia" w:ascii="黑体" w:hAnsi="黑体" w:eastAsia="黑体"/>
          <w:sz w:val="36"/>
          <w:lang w:val="en-US" w:eastAsia="zh-CN"/>
        </w:rPr>
      </w:pPr>
    </w:p>
    <w:p w14:paraId="33A84630">
      <w:pPr>
        <w:spacing w:before="280" w:after="0" w:line="240" w:lineRule="auto"/>
        <w:jc w:val="center"/>
        <w:rPr>
          <w:rFonts w:hint="eastAsia" w:ascii="黑体" w:hAnsi="黑体" w:eastAsia="黑体"/>
          <w:sz w:val="36"/>
          <w:lang w:val="en-US" w:eastAsia="zh-CN"/>
        </w:rPr>
      </w:pPr>
    </w:p>
    <w:p w14:paraId="27D13100">
      <w:pPr>
        <w:spacing w:before="280" w:after="0" w:line="240" w:lineRule="auto"/>
        <w:jc w:val="center"/>
        <w:rPr>
          <w:rFonts w:hint="eastAsia" w:ascii="黑体" w:hAnsi="黑体" w:eastAsia="黑体"/>
          <w:sz w:val="36"/>
          <w:lang w:val="en-US" w:eastAsia="zh-CN"/>
        </w:rPr>
      </w:pPr>
      <w:r>
        <w:rPr>
          <w:rFonts w:hint="eastAsia" w:ascii="黑体" w:hAnsi="黑体" w:eastAsia="黑体"/>
          <w:sz w:val="36"/>
          <w:lang w:val="en-US" w:eastAsia="zh-CN"/>
        </w:rPr>
        <w:t>本科生院制</w:t>
      </w:r>
    </w:p>
    <w:p w14:paraId="36F7C6CF">
      <w:pPr>
        <w:spacing w:before="280" w:after="0" w:line="240" w:lineRule="auto"/>
        <w:jc w:val="center"/>
        <w:sectPr>
          <w:footerReference r:id="rId5" w:type="default"/>
          <w:footerReference r:id="rId6" w:type="even"/>
          <w:pgSz w:w="12240" w:h="15840"/>
          <w:pgMar w:top="1417" w:right="1134" w:bottom="1417" w:left="1701" w:header="850" w:footer="992" w:gutter="0"/>
          <w:pgBorders>
            <w:top w:val="none" w:sz="0" w:space="0"/>
            <w:left w:val="none" w:sz="0" w:space="0"/>
            <w:bottom w:val="none" w:sz="0" w:space="0"/>
            <w:right w:val="none" w:sz="0" w:space="0"/>
          </w:pgBorders>
          <w:pgNumType w:fmt="upperRoman" w:start="1"/>
          <w:cols w:space="720" w:num="1"/>
          <w:titlePg/>
          <w:docGrid w:linePitch="360" w:charSpace="0"/>
        </w:sectPr>
      </w:pPr>
      <w:r>
        <w:rPr>
          <w:rFonts w:ascii="黑体" w:hAnsi="黑体" w:eastAsia="黑体"/>
          <w:sz w:val="36"/>
        </w:rPr>
        <w:t>202</w:t>
      </w:r>
      <w:r>
        <w:rPr>
          <w:rFonts w:hint="eastAsia" w:ascii="黑体" w:hAnsi="黑体" w:eastAsia="黑体"/>
          <w:sz w:val="36"/>
          <w:lang w:val="en-US" w:eastAsia="zh-CN"/>
        </w:rPr>
        <w:t>6</w:t>
      </w:r>
      <w:r>
        <w:rPr>
          <w:rFonts w:ascii="黑体" w:hAnsi="黑体" w:eastAsia="黑体"/>
          <w:sz w:val="36"/>
        </w:rPr>
        <w:t>年</w:t>
      </w:r>
      <w:r>
        <w:rPr>
          <w:rFonts w:hint="eastAsia" w:ascii="黑体" w:hAnsi="黑体" w:eastAsia="黑体"/>
          <w:sz w:val="36"/>
          <w:lang w:val="en-US" w:eastAsia="zh-CN"/>
        </w:rPr>
        <w:t>6</w:t>
      </w:r>
      <w:r>
        <w:rPr>
          <w:rFonts w:ascii="黑体" w:hAnsi="黑体" w:eastAsia="黑体"/>
          <w:sz w:val="36"/>
        </w:rPr>
        <w:t>月</w:t>
      </w:r>
    </w:p>
    <w:p w14:paraId="087112DD">
      <w:pPr>
        <w:spacing w:before="240" w:after="240" w:line="360" w:lineRule="auto"/>
        <w:jc w:val="both"/>
        <w:rPr>
          <w:rFonts w:hint="eastAsia" w:ascii="宋体" w:hAnsi="宋体" w:eastAsia="宋体" w:cs="宋体"/>
          <w:b/>
          <w:bCs/>
          <w:i w:val="0"/>
          <w:iCs w:val="0"/>
          <w:sz w:val="24"/>
          <w:szCs w:val="24"/>
          <w:lang w:eastAsia="zh-CN"/>
        </w:rPr>
      </w:pPr>
    </w:p>
    <w:p w14:paraId="72D67082">
      <w:pPr>
        <w:spacing w:before="240" w:after="240" w:line="360" w:lineRule="auto"/>
        <w:jc w:val="center"/>
        <w:rPr>
          <w:rFonts w:hint="eastAsia" w:ascii="宋体" w:hAnsi="宋体" w:eastAsia="宋体" w:cs="宋体"/>
          <w:sz w:val="24"/>
          <w:szCs w:val="24"/>
          <w:lang w:val="en-US" w:eastAsia="zh-CN"/>
        </w:rPr>
      </w:pPr>
      <w:r>
        <w:rPr>
          <w:rFonts w:hint="eastAsia" w:ascii="黑体" w:hAnsi="黑体" w:eastAsia="黑体" w:cs="黑体"/>
          <w:sz w:val="36"/>
          <w:lang w:eastAsia="zh-CN"/>
        </w:rPr>
        <w:t>人机料法环视角下高校生物实验室安全管理研究</w:t>
      </w:r>
    </w:p>
    <w:p w14:paraId="1B13AA69">
      <w:pPr>
        <w:spacing w:before="240" w:after="240" w:line="360" w:lineRule="auto"/>
        <w:jc w:val="center"/>
        <w:outlineLvl w:val="0"/>
        <w:rPr>
          <w:rFonts w:hint="eastAsia" w:ascii="黑体" w:hAnsi="黑体" w:eastAsia="黑体" w:cs="黑体"/>
          <w:sz w:val="30"/>
          <w:szCs w:val="30"/>
          <w:lang w:val="en-US" w:eastAsia="zh-CN"/>
        </w:rPr>
      </w:pPr>
      <w:bookmarkStart w:id="0" w:name="_Toc29797"/>
      <w:bookmarkStart w:id="1" w:name="_Toc7945"/>
      <w:r>
        <w:rPr>
          <w:rFonts w:hint="eastAsia" w:ascii="黑体" w:hAnsi="黑体" w:eastAsia="黑体" w:cs="黑体"/>
          <w:sz w:val="30"/>
          <w:szCs w:val="30"/>
          <w:lang w:val="en-US" w:eastAsia="zh-CN"/>
        </w:rPr>
        <w:t>摘要</w:t>
      </w:r>
      <w:bookmarkEnd w:id="0"/>
      <w:bookmarkEnd w:id="1"/>
    </w:p>
    <w:p w14:paraId="69BDE3A3">
      <w:pPr>
        <w:spacing w:after="0" w:line="360" w:lineRule="auto"/>
        <w:ind w:firstLine="480"/>
        <w:jc w:val="both"/>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高校生物实验室是高校开展教学实验、科研训练和学科建设的重要平台，其安全管理水平直接关系到实验活动的稳定运行和师生生命健康安全。随着生物技术快速发展和实验活动复杂程度不断提高，高校生物实验室中人员、设备、样本、试剂、废弃物和实验环境之间的风险耦合更加明显，传统依靠单一制度或阶段性检查的管理方式已经难以完全满足安全治理需要。</w:t>
      </w:r>
    </w:p>
    <w:p w14:paraId="34D2CCBE">
      <w:pPr>
        <w:spacing w:after="0" w:line="360" w:lineRule="auto"/>
        <w:ind w:firstLine="480"/>
        <w:jc w:val="both"/>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本文以高校生物实验室安全管理为研究对象，在梳理国内外相关研究的基础上，引入人—机—料—法—环分析框架，并结合人机料法</w:t>
      </w:r>
      <w:r>
        <w:rPr>
          <w:rFonts w:hint="eastAsia" w:ascii="Times New Roman" w:hAnsi="Times New Roman" w:eastAsia="宋体" w:cs="Times New Roman"/>
          <w:sz w:val="24"/>
          <w:szCs w:val="24"/>
          <w:lang w:eastAsia="zh-CN"/>
        </w:rPr>
        <w:t>环</w:t>
      </w:r>
      <w:r>
        <w:rPr>
          <w:rFonts w:ascii="Times New Roman" w:hAnsi="Times New Roman" w:eastAsia="宋体" w:cs="Times New Roman"/>
          <w:sz w:val="24"/>
          <w:szCs w:val="24"/>
          <w:lang w:eastAsia="zh-CN"/>
        </w:rPr>
        <w:t>、鱼骨图、事故树、风险矩阵、PDCA改进方法、作业风险分析等安全工程方法，对高校生物实验室安全管理现状、问题成因和优化策略进行系统分析。研究认为，当前高校生物实验室安全管理主要存在人员培训针对性不足、设备设施维护过程不完整、样本试剂与废弃物全过程管理薄弱、制度流程执行不严、实验环境和安全文化支撑不足以及监测预警能力不强等问题。针对上述问题，本文提出完善责任体系、强化培训考核、加强重点设备分级管理、规范样本试剂与废弃物全过程追溯、细化SOP与检查整改复查、改善现场环境、引入信息化监管和开展长效改进等优化措施。</w:t>
      </w:r>
    </w:p>
    <w:p w14:paraId="1605576A">
      <w:pPr>
        <w:spacing w:after="0" w:line="360" w:lineRule="auto"/>
        <w:ind w:firstLine="480"/>
        <w:jc w:val="both"/>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研究表明，将人机料法环与安全工程分析方法结合，有助于从系统角度识别高校生物实验室安全管理中的关键风险点，并为提高实验室安全管理的科学化、规范化和可操作性提供参考。</w:t>
      </w:r>
    </w:p>
    <w:p w14:paraId="3E9F624A">
      <w:pPr>
        <w:spacing w:after="0" w:line="360" w:lineRule="auto"/>
        <w:ind w:firstLine="0"/>
        <w:rPr>
          <w:rFonts w:ascii="Times New Roman" w:hAnsi="Times New Roman" w:eastAsia="宋体" w:cs="Times New Roman"/>
          <w:b/>
          <w:bCs/>
          <w:sz w:val="24"/>
          <w:szCs w:val="24"/>
          <w:lang w:eastAsia="zh-CN"/>
        </w:rPr>
      </w:pPr>
    </w:p>
    <w:p w14:paraId="140A1ECF">
      <w:pPr>
        <w:spacing w:after="0" w:line="360" w:lineRule="auto"/>
        <w:ind w:firstLine="0"/>
        <w:rPr>
          <w:rFonts w:ascii="Times New Roman" w:hAnsi="Times New Roman" w:eastAsia="宋体" w:cs="Times New Roman"/>
          <w:sz w:val="24"/>
          <w:szCs w:val="24"/>
          <w:lang w:eastAsia="zh-CN"/>
        </w:rPr>
      </w:pPr>
      <w:r>
        <w:rPr>
          <w:rFonts w:ascii="Times New Roman" w:hAnsi="Times New Roman" w:eastAsia="宋体" w:cs="Times New Roman"/>
          <w:b/>
          <w:bCs/>
          <w:sz w:val="24"/>
          <w:szCs w:val="24"/>
          <w:lang w:eastAsia="zh-CN"/>
        </w:rPr>
        <w:t>关键词</w:t>
      </w:r>
      <w:r>
        <w:rPr>
          <w:rFonts w:ascii="Times New Roman" w:hAnsi="Times New Roman" w:eastAsia="宋体" w:cs="Times New Roman"/>
          <w:sz w:val="24"/>
          <w:szCs w:val="24"/>
          <w:lang w:eastAsia="zh-CN"/>
        </w:rPr>
        <w:t>：高校生物实验室　安全管理　人机料法环　风险矩阵　事故树</w:t>
      </w:r>
    </w:p>
    <w:p w14:paraId="244E4B50">
      <w:pPr>
        <w:spacing w:after="0" w:line="360" w:lineRule="auto"/>
        <w:ind w:firstLine="0"/>
        <w:rPr>
          <w:rFonts w:ascii="Times New Roman" w:hAnsi="Times New Roman" w:eastAsia="宋体" w:cs="Times New Roman"/>
          <w:sz w:val="24"/>
          <w:szCs w:val="24"/>
          <w:lang w:eastAsia="zh-CN"/>
        </w:rPr>
      </w:pPr>
    </w:p>
    <w:p w14:paraId="5212E30E">
      <w:pPr>
        <w:spacing w:after="0" w:line="360" w:lineRule="auto"/>
        <w:ind w:firstLine="0"/>
        <w:jc w:val="both"/>
        <w:rPr>
          <w:rFonts w:hint="eastAsia" w:ascii="宋体" w:hAnsi="宋体" w:eastAsia="宋体" w:cs="宋体"/>
          <w:b/>
          <w:bCs/>
          <w:sz w:val="24"/>
          <w:szCs w:val="24"/>
        </w:rPr>
      </w:pPr>
    </w:p>
    <w:p w14:paraId="764DA6A5">
      <w:pPr>
        <w:spacing w:after="0" w:line="360" w:lineRule="auto"/>
        <w:ind w:firstLine="0"/>
        <w:jc w:val="center"/>
        <w:rPr>
          <w:rFonts w:hint="eastAsia" w:ascii="宋体" w:hAnsi="宋体" w:eastAsia="宋体" w:cs="宋体"/>
          <w:b/>
          <w:bCs/>
          <w:sz w:val="24"/>
          <w:szCs w:val="24"/>
        </w:rPr>
      </w:pPr>
    </w:p>
    <w:p w14:paraId="471C96B2">
      <w:pPr>
        <w:spacing w:after="0" w:line="360" w:lineRule="auto"/>
        <w:ind w:firstLine="0"/>
        <w:jc w:val="center"/>
        <w:rPr>
          <w:rFonts w:ascii="Times New Roman" w:hAnsi="Times New Roman" w:eastAsia="Times New Roman" w:cs="Times New Roman"/>
          <w:b/>
          <w:bCs/>
          <w:sz w:val="36"/>
          <w:szCs w:val="36"/>
        </w:rPr>
      </w:pPr>
    </w:p>
    <w:p w14:paraId="7E1290CA">
      <w:pPr>
        <w:spacing w:after="0" w:line="360" w:lineRule="auto"/>
        <w:ind w:firstLine="0"/>
        <w:jc w:val="center"/>
        <w:rPr>
          <w:rFonts w:hint="default" w:eastAsia="宋体"/>
          <w:lang w:val="en-US" w:eastAsia="zh-CN"/>
        </w:rPr>
      </w:pPr>
      <w:r>
        <w:rPr>
          <w:rFonts w:ascii="Times New Roman" w:hAnsi="Times New Roman" w:eastAsia="Times New Roman" w:cs="Times New Roman"/>
          <w:b/>
          <w:bCs/>
          <w:sz w:val="36"/>
          <w:szCs w:val="36"/>
        </w:rPr>
        <w:t>Research on Safety Management of University Biological Laboratories from the Perspective of 5M1E</w:t>
      </w:r>
    </w:p>
    <w:p w14:paraId="31D769A1">
      <w:pPr>
        <w:spacing w:before="240" w:after="240" w:line="360" w:lineRule="auto"/>
        <w:jc w:val="center"/>
        <w:outlineLvl w:val="0"/>
      </w:pPr>
      <w:bookmarkStart w:id="2" w:name="_Toc6439"/>
      <w:bookmarkStart w:id="3" w:name="_Toc30226"/>
      <w:r>
        <w:rPr>
          <w:rFonts w:ascii="Times New Roman" w:hAnsi="Times New Roman" w:eastAsia="Times New Roman" w:cs="Times New Roman"/>
          <w:b/>
          <w:bCs/>
          <w:sz w:val="32"/>
          <w:szCs w:val="32"/>
        </w:rPr>
        <w:t>ABSTRACT</w:t>
      </w:r>
      <w:bookmarkEnd w:id="2"/>
      <w:bookmarkEnd w:id="3"/>
    </w:p>
    <w:p w14:paraId="2FFC15E3">
      <w:pPr>
        <w:spacing w:after="0" w:line="360" w:lineRule="auto"/>
        <w:ind w:firstLine="480"/>
        <w:jc w:val="both"/>
      </w:pPr>
      <w:r>
        <w:rPr>
          <w:rFonts w:ascii="Times New Roman" w:hAnsi="Times New Roman" w:eastAsia="Times New Roman" w:cs="Times New Roman"/>
          <w:sz w:val="24"/>
          <w:szCs w:val="24"/>
        </w:rPr>
        <w:t>University biological laboratories are important platforms for experimental teaching and scientific research. Their safety management is directly related to the stable operation of teaching activities and the health of teachers and students. With the rapid development of biotechnology, risks related to personnel, equipment, biological samples, reagents, wastes and laboratory environment have become increasingly connected. Traditional management based only on general rules or periodic inspections can hardly meet the practical needs of laboratory safety governance.</w:t>
      </w:r>
    </w:p>
    <w:p w14:paraId="74E07B7B">
      <w:pPr>
        <w:spacing w:after="0" w:line="360" w:lineRule="auto"/>
        <w:ind w:firstLine="480"/>
        <w:jc w:val="both"/>
      </w:pPr>
      <w:r>
        <w:rPr>
          <w:rFonts w:ascii="Times New Roman" w:hAnsi="Times New Roman" w:eastAsia="Times New Roman" w:cs="Times New Roman"/>
          <w:sz w:val="24"/>
          <w:szCs w:val="24"/>
        </w:rPr>
        <w:t>Taking university biological laboratories as the research object, this thesis introduces the Man-Machine-Material-Method-Environment framework and combines safety engineering methods such as 5M1E, fishbone diagram, fault tree analysis, risk matrix, PDCA improvement method and job safety analysis. The study finds that current problems mainly include insufficient targeted training, incomplete equipment maintenance, weak management of samples, reagents and wastes, inadequate implementation of rules and procedures, insufficient support from laboratory environment and safety culture, and limited monitoring and early-warning capability.</w:t>
      </w:r>
    </w:p>
    <w:p w14:paraId="62EE0B9A">
      <w:pPr>
        <w:spacing w:after="0" w:line="360" w:lineRule="auto"/>
        <w:ind w:firstLine="480"/>
        <w:jc w:val="both"/>
        <w:rPr>
          <w:rFonts w:eastAsia="Times New Roman" w:cs="Times New Roman"/>
          <w:szCs w:val="24"/>
        </w:rPr>
      </w:pPr>
      <w:r>
        <w:rPr>
          <w:rFonts w:ascii="Times New Roman" w:hAnsi="Times New Roman" w:eastAsia="Times New Roman" w:cs="Times New Roman"/>
          <w:sz w:val="24"/>
          <w:szCs w:val="24"/>
        </w:rPr>
        <w:t>Accordingly, this thesis proposes measures such as improving the responsibility system, strengthening training and access assessment, implementing classified management of key equipment, standardizing whole-process traceability of samples, reagents and wastes, refining SOPs and rectification review, improving the laboratory environment, and introducing information-based supervision. The research provides reference for improving the scientific, standardized and practical level of university biological laboratory safety management.</w:t>
      </w:r>
    </w:p>
    <w:p w14:paraId="613FFEC4">
      <w:pPr>
        <w:spacing w:after="0" w:line="360" w:lineRule="auto"/>
        <w:ind w:firstLine="480"/>
        <w:jc w:val="both"/>
        <w:rPr>
          <w:rFonts w:eastAsia="Times New Roman" w:cs="Times New Roman"/>
          <w:szCs w:val="24"/>
        </w:rPr>
      </w:pPr>
    </w:p>
    <w:p w14:paraId="71502DD1">
      <w:pPr>
        <w:spacing w:after="0" w:line="360" w:lineRule="auto"/>
        <w:ind w:firstLine="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Key words: </w:t>
      </w:r>
      <w:r>
        <w:rPr>
          <w:rFonts w:ascii="Times New Roman" w:hAnsi="Times New Roman" w:eastAsia="Times New Roman" w:cs="Times New Roman"/>
          <w:sz w:val="24"/>
          <w:szCs w:val="24"/>
        </w:rPr>
        <w:t>University biological laboratory  Safety management  5M1E  Risk matrix  Fault tree analysis</w:t>
      </w:r>
    </w:p>
    <w:p w14:paraId="3E028D5B">
      <w:pPr>
        <w:spacing w:after="0" w:line="360" w:lineRule="auto"/>
        <w:ind w:firstLine="0"/>
        <w:rPr>
          <w:rFonts w:ascii="Times New Roman" w:hAnsi="Times New Roman" w:eastAsia="Times New Roman" w:cs="Times New Roman"/>
          <w:sz w:val="24"/>
          <w:szCs w:val="24"/>
        </w:rPr>
      </w:pPr>
    </w:p>
    <w:p w14:paraId="6EEB2BED">
      <w:pPr>
        <w:spacing w:after="0" w:line="360" w:lineRule="auto"/>
        <w:ind w:firstLine="0"/>
        <w:rPr>
          <w:rFonts w:ascii="Times New Roman" w:hAnsi="Times New Roman" w:eastAsia="Times New Roman" w:cs="Times New Roman"/>
          <w:sz w:val="24"/>
          <w:szCs w:val="24"/>
        </w:rPr>
      </w:pPr>
    </w:p>
    <w:p w14:paraId="1CA8CCA2">
      <w:pPr>
        <w:spacing w:before="0" w:beforeLines="0" w:after="0" w:afterLines="0" w:line="240" w:lineRule="auto"/>
        <w:ind w:left="0" w:leftChars="0" w:right="0" w:rightChars="0" w:firstLine="0" w:firstLineChars="0"/>
        <w:jc w:val="center"/>
        <w:rPr>
          <w:rFonts w:hint="eastAsia" w:ascii="黑体" w:eastAsia="黑体"/>
          <w:sz w:val="32"/>
          <w:szCs w:val="32"/>
        </w:rPr>
      </w:pPr>
      <w:r>
        <w:rPr>
          <w:rFonts w:hint="eastAsia" w:ascii="黑体" w:eastAsia="黑体"/>
          <w:sz w:val="32"/>
          <w:szCs w:val="32"/>
        </w:rPr>
        <w:t>目录</w:t>
      </w:r>
    </w:p>
    <w:sdt>
      <w:sdtPr>
        <w:rPr>
          <w:rFonts w:hint="eastAsia" w:ascii="黑体" w:hAnsi="黑体" w:eastAsia="黑体" w:cs="黑体"/>
          <w:sz w:val="32"/>
          <w:szCs w:val="32"/>
          <w:lang w:val="en-US" w:eastAsia="en-US" w:bidi="ar-SA"/>
        </w:rPr>
        <w:id w:val="147457696"/>
        <w15:color w:val="DBDBDB"/>
        <w:docPartObj>
          <w:docPartGallery w:val="Table of Contents"/>
          <w:docPartUnique/>
        </w:docPartObj>
      </w:sdtPr>
      <w:sdtEndPr>
        <w:rPr>
          <w:rFonts w:hint="eastAsia" w:ascii="黑体" w:hAnsi="黑体" w:eastAsia="宋体" w:cs="黑体"/>
          <w:sz w:val="24"/>
          <w:szCs w:val="32"/>
          <w:lang w:val="en-US" w:eastAsia="en-US" w:bidi="ar-SA"/>
        </w:rPr>
      </w:sdtEndPr>
      <w:sdtContent>
        <w:p w14:paraId="39C1B1A9">
          <w:pPr>
            <w:spacing w:before="0" w:beforeLines="0" w:after="0" w:afterLines="0" w:line="240" w:lineRule="auto"/>
            <w:ind w:left="0" w:leftChars="0" w:right="0" w:rightChars="0" w:firstLine="0" w:firstLineChars="0"/>
            <w:jc w:val="center"/>
          </w:pPr>
        </w:p>
        <w:p w14:paraId="105D4857">
          <w:pPr>
            <w:pStyle w:val="27"/>
            <w:tabs>
              <w:tab w:val="right" w:leader="dot" w:pos="9405"/>
              <w:tab w:val="clear" w:pos="9071"/>
            </w:tabs>
            <w:rPr>
              <w:rFonts w:eastAsia="宋体"/>
              <w:sz w:val="24"/>
            </w:rPr>
          </w:pPr>
          <w:r>
            <w:rPr>
              <w:rFonts w:eastAsia="宋体"/>
              <w:sz w:val="24"/>
            </w:rPr>
            <w:fldChar w:fldCharType="begin"/>
          </w:r>
          <w:r>
            <w:rPr>
              <w:rFonts w:eastAsia="宋体"/>
              <w:sz w:val="24"/>
            </w:rPr>
            <w:instrText xml:space="preserve">TOC \o "1-3" \h \u </w:instrText>
          </w:r>
          <w:r>
            <w:rPr>
              <w:rFonts w:eastAsia="宋体"/>
              <w:sz w:val="24"/>
            </w:rPr>
            <w:fldChar w:fldCharType="separate"/>
          </w:r>
          <w:r>
            <w:rPr>
              <w:rFonts w:eastAsia="宋体"/>
              <w:sz w:val="24"/>
            </w:rPr>
            <w:fldChar w:fldCharType="begin"/>
          </w:r>
          <w:r>
            <w:rPr>
              <w:rFonts w:eastAsia="宋体"/>
              <w:sz w:val="24"/>
            </w:rPr>
            <w:instrText xml:space="preserve"> HYPERLINK \l _Toc2076 </w:instrText>
          </w:r>
          <w:r>
            <w:rPr>
              <w:rFonts w:eastAsia="宋体"/>
              <w:sz w:val="24"/>
            </w:rPr>
            <w:fldChar w:fldCharType="separate"/>
          </w:r>
          <w:r>
            <w:rPr>
              <w:rFonts w:ascii="Times New Roman" w:hAnsi="Times New Roman" w:eastAsia="宋体" w:cs="黑体"/>
              <w:sz w:val="24"/>
              <w:lang w:eastAsia="zh-CN"/>
            </w:rPr>
            <w:t>第1章　绪论</w:t>
          </w:r>
          <w:r>
            <w:rPr>
              <w:rFonts w:eastAsia="宋体"/>
              <w:sz w:val="24"/>
            </w:rPr>
            <w:tab/>
          </w:r>
          <w:r>
            <w:rPr>
              <w:rFonts w:eastAsia="宋体"/>
              <w:sz w:val="24"/>
            </w:rPr>
            <w:fldChar w:fldCharType="begin"/>
          </w:r>
          <w:r>
            <w:rPr>
              <w:rFonts w:eastAsia="宋体"/>
              <w:sz w:val="24"/>
            </w:rPr>
            <w:instrText xml:space="preserve"> PAGEREF _Toc2076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73067A9E">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_Toc28736 </w:instrText>
          </w:r>
          <w:r>
            <w:rPr>
              <w:rFonts w:eastAsia="宋体"/>
              <w:sz w:val="24"/>
            </w:rPr>
            <w:fldChar w:fldCharType="separate"/>
          </w:r>
          <w:r>
            <w:rPr>
              <w:rFonts w:ascii="Times New Roman" w:hAnsi="Times New Roman" w:eastAsia="宋体" w:cs="黑体"/>
              <w:sz w:val="24"/>
              <w:lang w:eastAsia="zh-CN"/>
            </w:rPr>
            <w:t>1.1　研究背景</w:t>
          </w:r>
          <w:r>
            <w:rPr>
              <w:rFonts w:eastAsia="宋体"/>
              <w:sz w:val="24"/>
            </w:rPr>
            <w:tab/>
          </w:r>
          <w:r>
            <w:rPr>
              <w:rFonts w:eastAsia="宋体"/>
              <w:sz w:val="24"/>
            </w:rPr>
            <w:fldChar w:fldCharType="begin"/>
          </w:r>
          <w:r>
            <w:rPr>
              <w:rFonts w:eastAsia="宋体"/>
              <w:sz w:val="24"/>
            </w:rPr>
            <w:instrText xml:space="preserve"> PAGEREF _Toc28736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3A02B1CE">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_Toc29175 </w:instrText>
          </w:r>
          <w:r>
            <w:rPr>
              <w:rFonts w:eastAsia="宋体"/>
              <w:sz w:val="24"/>
            </w:rPr>
            <w:fldChar w:fldCharType="separate"/>
          </w:r>
          <w:r>
            <w:rPr>
              <w:rFonts w:ascii="Times New Roman" w:hAnsi="Times New Roman" w:eastAsia="宋体" w:cs="黑体"/>
              <w:sz w:val="24"/>
              <w:lang w:eastAsia="zh-CN"/>
            </w:rPr>
            <w:t>1.2　研究意义</w:t>
          </w:r>
          <w:r>
            <w:rPr>
              <w:rFonts w:eastAsia="宋体"/>
              <w:sz w:val="24"/>
            </w:rPr>
            <w:tab/>
          </w:r>
          <w:r>
            <w:rPr>
              <w:rFonts w:eastAsia="宋体"/>
              <w:sz w:val="24"/>
            </w:rPr>
            <w:fldChar w:fldCharType="begin"/>
          </w:r>
          <w:r>
            <w:rPr>
              <w:rFonts w:eastAsia="宋体"/>
              <w:sz w:val="24"/>
            </w:rPr>
            <w:instrText xml:space="preserve"> PAGEREF _Toc29175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5F8BF20B">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_Toc29405 </w:instrText>
          </w:r>
          <w:r>
            <w:rPr>
              <w:rFonts w:eastAsia="宋体"/>
              <w:sz w:val="24"/>
            </w:rPr>
            <w:fldChar w:fldCharType="separate"/>
          </w:r>
          <w:r>
            <w:rPr>
              <w:rFonts w:ascii="Times New Roman" w:hAnsi="Times New Roman" w:eastAsia="宋体" w:cs="黑体"/>
              <w:sz w:val="24"/>
              <w:lang w:eastAsia="zh-CN"/>
            </w:rPr>
            <w:t>1.3　国内外研究现状</w:t>
          </w:r>
          <w:r>
            <w:rPr>
              <w:rFonts w:eastAsia="宋体"/>
              <w:sz w:val="24"/>
            </w:rPr>
            <w:tab/>
          </w:r>
          <w:r>
            <w:rPr>
              <w:rFonts w:eastAsia="宋体"/>
              <w:sz w:val="24"/>
            </w:rPr>
            <w:fldChar w:fldCharType="begin"/>
          </w:r>
          <w:r>
            <w:rPr>
              <w:rFonts w:eastAsia="宋体"/>
              <w:sz w:val="24"/>
            </w:rPr>
            <w:instrText xml:space="preserve"> PAGEREF _Toc29405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404AF386">
          <w:pPr>
            <w:pStyle w:val="24"/>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_Toc191 </w:instrText>
          </w:r>
          <w:r>
            <w:rPr>
              <w:rFonts w:eastAsia="宋体"/>
              <w:sz w:val="24"/>
            </w:rPr>
            <w:fldChar w:fldCharType="separate"/>
          </w:r>
          <w:r>
            <w:rPr>
              <w:rFonts w:ascii="Times New Roman" w:hAnsi="Times New Roman" w:eastAsia="宋体"/>
              <w:sz w:val="24"/>
              <w:lang w:eastAsia="zh-CN"/>
            </w:rPr>
            <w:t>1.3.1　国外实验室生物安全管理研究现状</w:t>
          </w:r>
          <w:r>
            <w:rPr>
              <w:rFonts w:eastAsia="宋体"/>
              <w:sz w:val="24"/>
            </w:rPr>
            <w:tab/>
          </w:r>
          <w:r>
            <w:rPr>
              <w:rFonts w:eastAsia="宋体"/>
              <w:sz w:val="24"/>
            </w:rPr>
            <w:fldChar w:fldCharType="begin"/>
          </w:r>
          <w:r>
            <w:rPr>
              <w:rFonts w:eastAsia="宋体"/>
              <w:sz w:val="24"/>
            </w:rPr>
            <w:instrText xml:space="preserve"> PAGEREF _Toc191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0085C3D5">
          <w:pPr>
            <w:pStyle w:val="24"/>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_Toc32072 </w:instrText>
          </w:r>
          <w:r>
            <w:rPr>
              <w:rFonts w:eastAsia="宋体"/>
              <w:sz w:val="24"/>
            </w:rPr>
            <w:fldChar w:fldCharType="separate"/>
          </w:r>
          <w:r>
            <w:rPr>
              <w:rFonts w:ascii="Times New Roman" w:hAnsi="Times New Roman" w:eastAsia="宋体"/>
              <w:sz w:val="24"/>
              <w:lang w:eastAsia="zh-CN"/>
            </w:rPr>
            <w:t>1.3.2　国内高校实验室安全管理研究现状</w:t>
          </w:r>
          <w:r>
            <w:rPr>
              <w:rFonts w:eastAsia="宋体"/>
              <w:sz w:val="24"/>
            </w:rPr>
            <w:tab/>
          </w:r>
          <w:r>
            <w:rPr>
              <w:rFonts w:eastAsia="宋体"/>
              <w:sz w:val="24"/>
            </w:rPr>
            <w:fldChar w:fldCharType="begin"/>
          </w:r>
          <w:r>
            <w:rPr>
              <w:rFonts w:eastAsia="宋体"/>
              <w:sz w:val="24"/>
            </w:rPr>
            <w:instrText xml:space="preserve"> PAGEREF _Toc32072 \h </w:instrText>
          </w:r>
          <w:r>
            <w:rPr>
              <w:rFonts w:eastAsia="宋体"/>
              <w:sz w:val="24"/>
            </w:rPr>
            <w:fldChar w:fldCharType="separate"/>
          </w:r>
          <w:r>
            <w:rPr>
              <w:rFonts w:eastAsia="宋体"/>
              <w:sz w:val="24"/>
            </w:rPr>
            <w:t>5</w:t>
          </w:r>
          <w:r>
            <w:rPr>
              <w:rFonts w:eastAsia="宋体"/>
              <w:sz w:val="24"/>
            </w:rPr>
            <w:fldChar w:fldCharType="end"/>
          </w:r>
          <w:r>
            <w:rPr>
              <w:rFonts w:eastAsia="宋体"/>
              <w:sz w:val="24"/>
            </w:rPr>
            <w:fldChar w:fldCharType="end"/>
          </w:r>
        </w:p>
        <w:p w14:paraId="5FB9A4E1">
          <w:pPr>
            <w:pStyle w:val="24"/>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_Toc19788 </w:instrText>
          </w:r>
          <w:r>
            <w:rPr>
              <w:rFonts w:eastAsia="宋体"/>
              <w:sz w:val="24"/>
            </w:rPr>
            <w:fldChar w:fldCharType="separate"/>
          </w:r>
          <w:r>
            <w:rPr>
              <w:rFonts w:ascii="Times New Roman" w:hAnsi="Times New Roman" w:eastAsia="宋体"/>
              <w:sz w:val="24"/>
              <w:lang w:eastAsia="zh-CN"/>
            </w:rPr>
            <w:t>1.3.3　人机料法环及相关方法研究现状</w:t>
          </w:r>
          <w:r>
            <w:rPr>
              <w:rFonts w:eastAsia="宋体"/>
              <w:sz w:val="24"/>
            </w:rPr>
            <w:tab/>
          </w:r>
          <w:r>
            <w:rPr>
              <w:rFonts w:eastAsia="宋体"/>
              <w:sz w:val="24"/>
            </w:rPr>
            <w:fldChar w:fldCharType="begin"/>
          </w:r>
          <w:r>
            <w:rPr>
              <w:rFonts w:eastAsia="宋体"/>
              <w:sz w:val="24"/>
            </w:rPr>
            <w:instrText xml:space="preserve"> PAGEREF _Toc19788 \h </w:instrText>
          </w:r>
          <w:r>
            <w:rPr>
              <w:rFonts w:eastAsia="宋体"/>
              <w:sz w:val="24"/>
            </w:rPr>
            <w:fldChar w:fldCharType="separate"/>
          </w:r>
          <w:r>
            <w:rPr>
              <w:rFonts w:eastAsia="宋体"/>
              <w:sz w:val="24"/>
            </w:rPr>
            <w:t>6</w:t>
          </w:r>
          <w:r>
            <w:rPr>
              <w:rFonts w:eastAsia="宋体"/>
              <w:sz w:val="24"/>
            </w:rPr>
            <w:fldChar w:fldCharType="end"/>
          </w:r>
          <w:r>
            <w:rPr>
              <w:rFonts w:eastAsia="宋体"/>
              <w:sz w:val="24"/>
            </w:rPr>
            <w:fldChar w:fldCharType="end"/>
          </w:r>
        </w:p>
        <w:p w14:paraId="58AE2E09">
          <w:pPr>
            <w:pStyle w:val="24"/>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_Toc9173 </w:instrText>
          </w:r>
          <w:r>
            <w:rPr>
              <w:rFonts w:eastAsia="宋体"/>
              <w:sz w:val="24"/>
            </w:rPr>
            <w:fldChar w:fldCharType="separate"/>
          </w:r>
          <w:r>
            <w:rPr>
              <w:rFonts w:ascii="Times New Roman" w:hAnsi="Times New Roman" w:eastAsia="宋体"/>
              <w:sz w:val="24"/>
              <w:lang w:eastAsia="zh-CN"/>
            </w:rPr>
            <w:t>1.3.4　现有研究评述</w:t>
          </w:r>
          <w:r>
            <w:rPr>
              <w:rFonts w:eastAsia="宋体"/>
              <w:sz w:val="24"/>
            </w:rPr>
            <w:tab/>
          </w:r>
          <w:r>
            <w:rPr>
              <w:rFonts w:eastAsia="宋体"/>
              <w:sz w:val="24"/>
            </w:rPr>
            <w:fldChar w:fldCharType="begin"/>
          </w:r>
          <w:r>
            <w:rPr>
              <w:rFonts w:eastAsia="宋体"/>
              <w:sz w:val="24"/>
            </w:rPr>
            <w:instrText xml:space="preserve"> PAGEREF _Toc9173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0BD30263">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_Toc17970 </w:instrText>
          </w:r>
          <w:r>
            <w:rPr>
              <w:rFonts w:eastAsia="宋体"/>
              <w:sz w:val="24"/>
            </w:rPr>
            <w:fldChar w:fldCharType="separate"/>
          </w:r>
          <w:r>
            <w:rPr>
              <w:rFonts w:ascii="Times New Roman" w:hAnsi="Times New Roman" w:eastAsia="宋体" w:cs="黑体"/>
              <w:sz w:val="24"/>
              <w:lang w:eastAsia="zh-CN"/>
            </w:rPr>
            <w:t>1.4　研究思路与方法</w:t>
          </w:r>
          <w:r>
            <w:rPr>
              <w:rFonts w:eastAsia="宋体"/>
              <w:sz w:val="24"/>
            </w:rPr>
            <w:tab/>
          </w:r>
          <w:r>
            <w:rPr>
              <w:rFonts w:eastAsia="宋体"/>
              <w:sz w:val="24"/>
            </w:rPr>
            <w:fldChar w:fldCharType="begin"/>
          </w:r>
          <w:r>
            <w:rPr>
              <w:rFonts w:eastAsia="宋体"/>
              <w:sz w:val="24"/>
            </w:rPr>
            <w:instrText xml:space="preserve"> PAGEREF _Toc17970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159CCD62">
          <w:pPr>
            <w:pStyle w:val="27"/>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_Toc16417 </w:instrText>
          </w:r>
          <w:r>
            <w:rPr>
              <w:rFonts w:eastAsia="宋体"/>
              <w:sz w:val="24"/>
            </w:rPr>
            <w:fldChar w:fldCharType="separate"/>
          </w:r>
          <w:r>
            <w:rPr>
              <w:rFonts w:ascii="Times New Roman" w:hAnsi="Times New Roman" w:eastAsia="宋体" w:cs="黑体"/>
              <w:sz w:val="24"/>
              <w:lang w:eastAsia="zh-CN"/>
            </w:rPr>
            <w:t>第2章  高校生物实验室安全管理现状</w:t>
          </w:r>
          <w:r>
            <w:rPr>
              <w:rFonts w:eastAsia="宋体"/>
              <w:sz w:val="24"/>
            </w:rPr>
            <w:tab/>
          </w:r>
          <w:r>
            <w:rPr>
              <w:rFonts w:eastAsia="宋体"/>
              <w:sz w:val="24"/>
            </w:rPr>
            <w:fldChar w:fldCharType="begin"/>
          </w:r>
          <w:r>
            <w:rPr>
              <w:rFonts w:eastAsia="宋体"/>
              <w:sz w:val="24"/>
            </w:rPr>
            <w:instrText xml:space="preserve"> PAGEREF _Toc16417 \h </w:instrText>
          </w:r>
          <w:r>
            <w:rPr>
              <w:rFonts w:eastAsia="宋体"/>
              <w:sz w:val="24"/>
            </w:rPr>
            <w:fldChar w:fldCharType="separate"/>
          </w:r>
          <w:r>
            <w:rPr>
              <w:rFonts w:eastAsia="宋体"/>
              <w:sz w:val="24"/>
            </w:rPr>
            <w:t>9</w:t>
          </w:r>
          <w:r>
            <w:rPr>
              <w:rFonts w:eastAsia="宋体"/>
              <w:sz w:val="24"/>
            </w:rPr>
            <w:fldChar w:fldCharType="end"/>
          </w:r>
          <w:r>
            <w:rPr>
              <w:rFonts w:eastAsia="宋体"/>
              <w:sz w:val="24"/>
            </w:rPr>
            <w:fldChar w:fldCharType="end"/>
          </w:r>
        </w:p>
        <w:p w14:paraId="44941642">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_Toc30316 </w:instrText>
          </w:r>
          <w:r>
            <w:rPr>
              <w:rFonts w:eastAsia="宋体"/>
              <w:sz w:val="24"/>
            </w:rPr>
            <w:fldChar w:fldCharType="separate"/>
          </w:r>
          <w:r>
            <w:rPr>
              <w:rFonts w:ascii="Times New Roman" w:hAnsi="Times New Roman" w:eastAsia="宋体" w:cs="黑体"/>
              <w:sz w:val="24"/>
              <w:lang w:eastAsia="zh-CN"/>
            </w:rPr>
            <w:t>2.1  高校生物实验室安全管理的基本情况</w:t>
          </w:r>
          <w:r>
            <w:rPr>
              <w:rFonts w:eastAsia="宋体"/>
              <w:sz w:val="24"/>
            </w:rPr>
            <w:tab/>
          </w:r>
          <w:r>
            <w:rPr>
              <w:rFonts w:eastAsia="宋体"/>
              <w:sz w:val="24"/>
            </w:rPr>
            <w:fldChar w:fldCharType="begin"/>
          </w:r>
          <w:r>
            <w:rPr>
              <w:rFonts w:eastAsia="宋体"/>
              <w:sz w:val="24"/>
            </w:rPr>
            <w:instrText xml:space="preserve"> PAGEREF _Toc30316 \h </w:instrText>
          </w:r>
          <w:r>
            <w:rPr>
              <w:rFonts w:eastAsia="宋体"/>
              <w:sz w:val="24"/>
            </w:rPr>
            <w:fldChar w:fldCharType="separate"/>
          </w:r>
          <w:r>
            <w:rPr>
              <w:rFonts w:eastAsia="宋体"/>
              <w:sz w:val="24"/>
            </w:rPr>
            <w:t>9</w:t>
          </w:r>
          <w:r>
            <w:rPr>
              <w:rFonts w:eastAsia="宋体"/>
              <w:sz w:val="24"/>
            </w:rPr>
            <w:fldChar w:fldCharType="end"/>
          </w:r>
          <w:r>
            <w:rPr>
              <w:rFonts w:eastAsia="宋体"/>
              <w:sz w:val="24"/>
            </w:rPr>
            <w:fldChar w:fldCharType="end"/>
          </w:r>
        </w:p>
        <w:p w14:paraId="2329CB2F">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_Toc20916 </w:instrText>
          </w:r>
          <w:r>
            <w:rPr>
              <w:rFonts w:eastAsia="宋体"/>
              <w:sz w:val="24"/>
            </w:rPr>
            <w:fldChar w:fldCharType="separate"/>
          </w:r>
          <w:r>
            <w:rPr>
              <w:rFonts w:ascii="Times New Roman" w:hAnsi="Times New Roman" w:eastAsia="宋体" w:cs="黑体"/>
              <w:sz w:val="24"/>
              <w:lang w:eastAsia="zh-CN"/>
            </w:rPr>
            <w:t>2.2  当前安全管理中存在的主要问题</w:t>
          </w:r>
          <w:r>
            <w:rPr>
              <w:rFonts w:eastAsia="宋体"/>
              <w:sz w:val="24"/>
            </w:rPr>
            <w:tab/>
          </w:r>
          <w:r>
            <w:rPr>
              <w:rFonts w:eastAsia="宋体"/>
              <w:sz w:val="24"/>
            </w:rPr>
            <w:fldChar w:fldCharType="begin"/>
          </w:r>
          <w:r>
            <w:rPr>
              <w:rFonts w:eastAsia="宋体"/>
              <w:sz w:val="24"/>
            </w:rPr>
            <w:instrText xml:space="preserve"> PAGEREF _Toc20916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535C2CB6">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_Toc17938 </w:instrText>
          </w:r>
          <w:r>
            <w:rPr>
              <w:rFonts w:eastAsia="宋体"/>
              <w:sz w:val="24"/>
            </w:rPr>
            <w:fldChar w:fldCharType="separate"/>
          </w:r>
          <w:r>
            <w:rPr>
              <w:rFonts w:ascii="Times New Roman" w:hAnsi="Times New Roman" w:eastAsia="宋体" w:cs="黑体"/>
              <w:sz w:val="24"/>
              <w:lang w:eastAsia="zh-CN"/>
            </w:rPr>
            <w:t>2.3  人机料法环在本文中的应用</w:t>
          </w:r>
          <w:r>
            <w:rPr>
              <w:rFonts w:eastAsia="宋体"/>
              <w:sz w:val="24"/>
            </w:rPr>
            <w:tab/>
          </w:r>
          <w:r>
            <w:rPr>
              <w:rFonts w:eastAsia="宋体"/>
              <w:sz w:val="24"/>
            </w:rPr>
            <w:fldChar w:fldCharType="begin"/>
          </w:r>
          <w:r>
            <w:rPr>
              <w:rFonts w:eastAsia="宋体"/>
              <w:sz w:val="24"/>
            </w:rPr>
            <w:instrText xml:space="preserve"> PAGEREF _Toc17938 \h </w:instrText>
          </w:r>
          <w:r>
            <w:rPr>
              <w:rFonts w:eastAsia="宋体"/>
              <w:sz w:val="24"/>
            </w:rPr>
            <w:fldChar w:fldCharType="separate"/>
          </w:r>
          <w:r>
            <w:rPr>
              <w:rFonts w:eastAsia="宋体"/>
              <w:sz w:val="24"/>
            </w:rPr>
            <w:t>13</w:t>
          </w:r>
          <w:r>
            <w:rPr>
              <w:rFonts w:eastAsia="宋体"/>
              <w:sz w:val="24"/>
            </w:rPr>
            <w:fldChar w:fldCharType="end"/>
          </w:r>
          <w:r>
            <w:rPr>
              <w:rFonts w:eastAsia="宋体"/>
              <w:sz w:val="24"/>
            </w:rPr>
            <w:fldChar w:fldCharType="end"/>
          </w:r>
        </w:p>
        <w:p w14:paraId="784F8D14">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_Toc5188 </w:instrText>
          </w:r>
          <w:r>
            <w:rPr>
              <w:rFonts w:eastAsia="宋体"/>
              <w:sz w:val="24"/>
            </w:rPr>
            <w:fldChar w:fldCharType="separate"/>
          </w:r>
          <w:r>
            <w:rPr>
              <w:rFonts w:ascii="Times New Roman" w:hAnsi="Times New Roman" w:eastAsia="宋体" w:cs="黑体"/>
              <w:sz w:val="24"/>
              <w:lang w:eastAsia="zh-CN"/>
            </w:rPr>
            <w:t>2.4  本章小结</w:t>
          </w:r>
          <w:r>
            <w:rPr>
              <w:rFonts w:eastAsia="宋体"/>
              <w:sz w:val="24"/>
            </w:rPr>
            <w:tab/>
          </w:r>
          <w:r>
            <w:rPr>
              <w:rFonts w:eastAsia="宋体"/>
              <w:sz w:val="24"/>
            </w:rPr>
            <w:fldChar w:fldCharType="begin"/>
          </w:r>
          <w:r>
            <w:rPr>
              <w:rFonts w:eastAsia="宋体"/>
              <w:sz w:val="24"/>
            </w:rPr>
            <w:instrText xml:space="preserve"> PAGEREF _Toc5188 \h </w:instrText>
          </w:r>
          <w:r>
            <w:rPr>
              <w:rFonts w:eastAsia="宋体"/>
              <w:sz w:val="24"/>
            </w:rPr>
            <w:fldChar w:fldCharType="separate"/>
          </w:r>
          <w:r>
            <w:rPr>
              <w:rFonts w:eastAsia="宋体"/>
              <w:sz w:val="24"/>
            </w:rPr>
            <w:t>15</w:t>
          </w:r>
          <w:r>
            <w:rPr>
              <w:rFonts w:eastAsia="宋体"/>
              <w:sz w:val="24"/>
            </w:rPr>
            <w:fldChar w:fldCharType="end"/>
          </w:r>
          <w:r>
            <w:rPr>
              <w:rFonts w:eastAsia="宋体"/>
              <w:sz w:val="24"/>
            </w:rPr>
            <w:fldChar w:fldCharType="end"/>
          </w:r>
        </w:p>
        <w:p w14:paraId="452DB478">
          <w:pPr>
            <w:pStyle w:val="27"/>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_Toc11771 </w:instrText>
          </w:r>
          <w:r>
            <w:rPr>
              <w:rFonts w:eastAsia="宋体"/>
              <w:sz w:val="24"/>
            </w:rPr>
            <w:fldChar w:fldCharType="separate"/>
          </w:r>
          <w:r>
            <w:rPr>
              <w:rFonts w:ascii="Times New Roman" w:hAnsi="Times New Roman" w:eastAsia="宋体" w:cs="黑体"/>
              <w:sz w:val="24"/>
              <w:lang w:eastAsia="zh-CN"/>
            </w:rPr>
            <w:t>第3章　高校生物实验室安全管理问题成因分析</w:t>
          </w:r>
          <w:r>
            <w:rPr>
              <w:rFonts w:eastAsia="宋体"/>
              <w:sz w:val="24"/>
            </w:rPr>
            <w:tab/>
          </w:r>
          <w:r>
            <w:rPr>
              <w:rFonts w:eastAsia="宋体"/>
              <w:sz w:val="24"/>
            </w:rPr>
            <w:fldChar w:fldCharType="begin"/>
          </w:r>
          <w:r>
            <w:rPr>
              <w:rFonts w:eastAsia="宋体"/>
              <w:sz w:val="24"/>
            </w:rPr>
            <w:instrText xml:space="preserve"> PAGEREF _Toc11771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5F2F1824">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_Toc354 </w:instrText>
          </w:r>
          <w:r>
            <w:rPr>
              <w:rFonts w:eastAsia="宋体"/>
              <w:sz w:val="24"/>
            </w:rPr>
            <w:fldChar w:fldCharType="separate"/>
          </w:r>
          <w:r>
            <w:rPr>
              <w:rFonts w:ascii="Times New Roman" w:hAnsi="Times New Roman" w:eastAsia="宋体" w:cs="黑体"/>
              <w:sz w:val="24"/>
              <w:lang w:eastAsia="zh-CN"/>
            </w:rPr>
            <w:t>3.1　成因分析的基本思路</w:t>
          </w:r>
          <w:r>
            <w:rPr>
              <w:rFonts w:eastAsia="宋体"/>
              <w:sz w:val="24"/>
            </w:rPr>
            <w:tab/>
          </w:r>
          <w:r>
            <w:rPr>
              <w:rFonts w:eastAsia="宋体"/>
              <w:sz w:val="24"/>
            </w:rPr>
            <w:fldChar w:fldCharType="begin"/>
          </w:r>
          <w:r>
            <w:rPr>
              <w:rFonts w:eastAsia="宋体"/>
              <w:sz w:val="24"/>
            </w:rPr>
            <w:instrText xml:space="preserve"> PAGEREF _Toc354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5D15FF35">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_Toc23870 </w:instrText>
          </w:r>
          <w:r>
            <w:rPr>
              <w:rFonts w:eastAsia="宋体"/>
              <w:sz w:val="24"/>
            </w:rPr>
            <w:fldChar w:fldCharType="separate"/>
          </w:r>
          <w:r>
            <w:rPr>
              <w:rFonts w:ascii="Times New Roman" w:hAnsi="Times New Roman" w:eastAsia="宋体" w:cs="黑体"/>
              <w:sz w:val="24"/>
              <w:lang w:eastAsia="zh-CN"/>
            </w:rPr>
            <w:t>3.2　人员因素：安全意识与能力培养不足</w:t>
          </w:r>
          <w:r>
            <w:rPr>
              <w:rFonts w:eastAsia="宋体"/>
              <w:sz w:val="24"/>
            </w:rPr>
            <w:tab/>
          </w:r>
          <w:r>
            <w:rPr>
              <w:rFonts w:eastAsia="宋体"/>
              <w:sz w:val="24"/>
            </w:rPr>
            <w:fldChar w:fldCharType="begin"/>
          </w:r>
          <w:r>
            <w:rPr>
              <w:rFonts w:eastAsia="宋体"/>
              <w:sz w:val="24"/>
            </w:rPr>
            <w:instrText xml:space="preserve"> PAGEREF _Toc23870 \h </w:instrText>
          </w:r>
          <w:r>
            <w:rPr>
              <w:rFonts w:eastAsia="宋体"/>
              <w:sz w:val="24"/>
            </w:rPr>
            <w:fldChar w:fldCharType="separate"/>
          </w:r>
          <w:r>
            <w:rPr>
              <w:rFonts w:eastAsia="宋体"/>
              <w:sz w:val="24"/>
            </w:rPr>
            <w:t>20</w:t>
          </w:r>
          <w:r>
            <w:rPr>
              <w:rFonts w:eastAsia="宋体"/>
              <w:sz w:val="24"/>
            </w:rPr>
            <w:fldChar w:fldCharType="end"/>
          </w:r>
          <w:r>
            <w:rPr>
              <w:rFonts w:eastAsia="宋体"/>
              <w:sz w:val="24"/>
            </w:rPr>
            <w:fldChar w:fldCharType="end"/>
          </w:r>
        </w:p>
        <w:p w14:paraId="7C58860D">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_Toc24676 </w:instrText>
          </w:r>
          <w:r>
            <w:rPr>
              <w:rFonts w:eastAsia="宋体"/>
              <w:sz w:val="24"/>
            </w:rPr>
            <w:fldChar w:fldCharType="separate"/>
          </w:r>
          <w:r>
            <w:rPr>
              <w:rFonts w:ascii="Times New Roman" w:hAnsi="Times New Roman" w:eastAsia="宋体" w:cs="黑体"/>
              <w:sz w:val="24"/>
              <w:lang w:eastAsia="zh-CN"/>
            </w:rPr>
            <w:t>3.3　设备因素：安全设施运行维护过程不完整</w:t>
          </w:r>
          <w:r>
            <w:rPr>
              <w:rFonts w:eastAsia="宋体"/>
              <w:sz w:val="24"/>
            </w:rPr>
            <w:tab/>
          </w:r>
          <w:r>
            <w:rPr>
              <w:rFonts w:eastAsia="宋体"/>
              <w:sz w:val="24"/>
            </w:rPr>
            <w:fldChar w:fldCharType="begin"/>
          </w:r>
          <w:r>
            <w:rPr>
              <w:rFonts w:eastAsia="宋体"/>
              <w:sz w:val="24"/>
            </w:rPr>
            <w:instrText xml:space="preserve"> PAGEREF _Toc24676 \h </w:instrText>
          </w:r>
          <w:r>
            <w:rPr>
              <w:rFonts w:eastAsia="宋体"/>
              <w:sz w:val="24"/>
            </w:rPr>
            <w:fldChar w:fldCharType="separate"/>
          </w:r>
          <w:r>
            <w:rPr>
              <w:rFonts w:eastAsia="宋体"/>
              <w:sz w:val="24"/>
            </w:rPr>
            <w:t>21</w:t>
          </w:r>
          <w:r>
            <w:rPr>
              <w:rFonts w:eastAsia="宋体"/>
              <w:sz w:val="24"/>
            </w:rPr>
            <w:fldChar w:fldCharType="end"/>
          </w:r>
          <w:r>
            <w:rPr>
              <w:rFonts w:eastAsia="宋体"/>
              <w:sz w:val="24"/>
            </w:rPr>
            <w:fldChar w:fldCharType="end"/>
          </w:r>
        </w:p>
        <w:p w14:paraId="2F6E0ACC">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_Toc2031 </w:instrText>
          </w:r>
          <w:r>
            <w:rPr>
              <w:rFonts w:eastAsia="宋体"/>
              <w:sz w:val="24"/>
            </w:rPr>
            <w:fldChar w:fldCharType="separate"/>
          </w:r>
          <w:r>
            <w:rPr>
              <w:rFonts w:ascii="Times New Roman" w:hAnsi="Times New Roman" w:eastAsia="宋体" w:cs="黑体"/>
              <w:sz w:val="24"/>
              <w:lang w:eastAsia="zh-CN"/>
            </w:rPr>
            <w:t>3.4　材料因素：样本、试剂和废弃物全过程管理不足</w:t>
          </w:r>
          <w:r>
            <w:rPr>
              <w:rFonts w:eastAsia="宋体"/>
              <w:sz w:val="24"/>
            </w:rPr>
            <w:tab/>
          </w:r>
          <w:r>
            <w:rPr>
              <w:rFonts w:eastAsia="宋体"/>
              <w:sz w:val="24"/>
            </w:rPr>
            <w:fldChar w:fldCharType="begin"/>
          </w:r>
          <w:r>
            <w:rPr>
              <w:rFonts w:eastAsia="宋体"/>
              <w:sz w:val="24"/>
            </w:rPr>
            <w:instrText xml:space="preserve"> PAGEREF _Toc2031 \h </w:instrText>
          </w:r>
          <w:r>
            <w:rPr>
              <w:rFonts w:eastAsia="宋体"/>
              <w:sz w:val="24"/>
            </w:rPr>
            <w:fldChar w:fldCharType="separate"/>
          </w:r>
          <w:r>
            <w:rPr>
              <w:rFonts w:eastAsia="宋体"/>
              <w:sz w:val="24"/>
            </w:rPr>
            <w:t>22</w:t>
          </w:r>
          <w:r>
            <w:rPr>
              <w:rFonts w:eastAsia="宋体"/>
              <w:sz w:val="24"/>
            </w:rPr>
            <w:fldChar w:fldCharType="end"/>
          </w:r>
          <w:r>
            <w:rPr>
              <w:rFonts w:eastAsia="宋体"/>
              <w:sz w:val="24"/>
            </w:rPr>
            <w:fldChar w:fldCharType="end"/>
          </w:r>
        </w:p>
        <w:p w14:paraId="59C27E85">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_Toc24262 </w:instrText>
          </w:r>
          <w:r>
            <w:rPr>
              <w:rFonts w:eastAsia="宋体"/>
              <w:sz w:val="24"/>
            </w:rPr>
            <w:fldChar w:fldCharType="separate"/>
          </w:r>
          <w:r>
            <w:rPr>
              <w:rFonts w:ascii="Times New Roman" w:hAnsi="Times New Roman" w:eastAsia="宋体" w:cs="黑体"/>
              <w:sz w:val="24"/>
              <w:lang w:eastAsia="zh-CN"/>
            </w:rPr>
            <w:t>3.5　方法因素：制度、流程与应急机制执行不严</w:t>
          </w:r>
          <w:r>
            <w:rPr>
              <w:rFonts w:eastAsia="宋体"/>
              <w:sz w:val="24"/>
            </w:rPr>
            <w:tab/>
          </w:r>
          <w:r>
            <w:rPr>
              <w:rFonts w:eastAsia="宋体"/>
              <w:sz w:val="24"/>
            </w:rPr>
            <w:fldChar w:fldCharType="begin"/>
          </w:r>
          <w:r>
            <w:rPr>
              <w:rFonts w:eastAsia="宋体"/>
              <w:sz w:val="24"/>
            </w:rPr>
            <w:instrText xml:space="preserve"> PAGEREF _Toc24262 \h </w:instrText>
          </w:r>
          <w:r>
            <w:rPr>
              <w:rFonts w:eastAsia="宋体"/>
              <w:sz w:val="24"/>
            </w:rPr>
            <w:fldChar w:fldCharType="separate"/>
          </w:r>
          <w:r>
            <w:rPr>
              <w:rFonts w:eastAsia="宋体"/>
              <w:sz w:val="24"/>
            </w:rPr>
            <w:t>22</w:t>
          </w:r>
          <w:r>
            <w:rPr>
              <w:rFonts w:eastAsia="宋体"/>
              <w:sz w:val="24"/>
            </w:rPr>
            <w:fldChar w:fldCharType="end"/>
          </w:r>
          <w:r>
            <w:rPr>
              <w:rFonts w:eastAsia="宋体"/>
              <w:sz w:val="24"/>
            </w:rPr>
            <w:fldChar w:fldCharType="end"/>
          </w:r>
        </w:p>
        <w:p w14:paraId="3C4DA363">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_Toc4235 </w:instrText>
          </w:r>
          <w:r>
            <w:rPr>
              <w:rFonts w:eastAsia="宋体"/>
              <w:sz w:val="24"/>
            </w:rPr>
            <w:fldChar w:fldCharType="separate"/>
          </w:r>
          <w:r>
            <w:rPr>
              <w:rFonts w:ascii="Times New Roman" w:hAnsi="Times New Roman" w:eastAsia="宋体" w:cs="黑体"/>
              <w:sz w:val="24"/>
              <w:lang w:eastAsia="zh-CN"/>
            </w:rPr>
            <w:t>3.6　环境因素：现场条件与安全文化支撑不足</w:t>
          </w:r>
          <w:r>
            <w:rPr>
              <w:rFonts w:eastAsia="宋体"/>
              <w:sz w:val="24"/>
            </w:rPr>
            <w:tab/>
          </w:r>
          <w:r>
            <w:rPr>
              <w:rFonts w:eastAsia="宋体"/>
              <w:sz w:val="24"/>
            </w:rPr>
            <w:fldChar w:fldCharType="begin"/>
          </w:r>
          <w:r>
            <w:rPr>
              <w:rFonts w:eastAsia="宋体"/>
              <w:sz w:val="24"/>
            </w:rPr>
            <w:instrText xml:space="preserve"> PAGEREF _Toc4235 \h </w:instrText>
          </w:r>
          <w:r>
            <w:rPr>
              <w:rFonts w:eastAsia="宋体"/>
              <w:sz w:val="24"/>
            </w:rPr>
            <w:fldChar w:fldCharType="separate"/>
          </w:r>
          <w:r>
            <w:rPr>
              <w:rFonts w:eastAsia="宋体"/>
              <w:sz w:val="24"/>
            </w:rPr>
            <w:t>23</w:t>
          </w:r>
          <w:r>
            <w:rPr>
              <w:rFonts w:eastAsia="宋体"/>
              <w:sz w:val="24"/>
            </w:rPr>
            <w:fldChar w:fldCharType="end"/>
          </w:r>
          <w:r>
            <w:rPr>
              <w:rFonts w:eastAsia="宋体"/>
              <w:sz w:val="24"/>
            </w:rPr>
            <w:fldChar w:fldCharType="end"/>
          </w:r>
        </w:p>
        <w:p w14:paraId="7F9795A5">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_Toc15441 </w:instrText>
          </w:r>
          <w:r>
            <w:rPr>
              <w:rFonts w:eastAsia="宋体"/>
              <w:sz w:val="24"/>
            </w:rPr>
            <w:fldChar w:fldCharType="separate"/>
          </w:r>
          <w:r>
            <w:rPr>
              <w:rFonts w:ascii="Times New Roman" w:hAnsi="Times New Roman" w:eastAsia="宋体" w:cs="黑体"/>
              <w:sz w:val="24"/>
              <w:lang w:eastAsia="zh-CN"/>
            </w:rPr>
            <w:t>3.7　监测因素：检查评价与预警能力不足</w:t>
          </w:r>
          <w:r>
            <w:rPr>
              <w:rFonts w:eastAsia="宋体"/>
              <w:sz w:val="24"/>
            </w:rPr>
            <w:tab/>
          </w:r>
          <w:r>
            <w:rPr>
              <w:rFonts w:eastAsia="宋体"/>
              <w:sz w:val="24"/>
            </w:rPr>
            <w:fldChar w:fldCharType="begin"/>
          </w:r>
          <w:r>
            <w:rPr>
              <w:rFonts w:eastAsia="宋体"/>
              <w:sz w:val="24"/>
            </w:rPr>
            <w:instrText xml:space="preserve"> PAGEREF _Toc15441 \h </w:instrText>
          </w:r>
          <w:r>
            <w:rPr>
              <w:rFonts w:eastAsia="宋体"/>
              <w:sz w:val="24"/>
            </w:rPr>
            <w:fldChar w:fldCharType="separate"/>
          </w:r>
          <w:r>
            <w:rPr>
              <w:rFonts w:eastAsia="宋体"/>
              <w:sz w:val="24"/>
            </w:rPr>
            <w:t>24</w:t>
          </w:r>
          <w:r>
            <w:rPr>
              <w:rFonts w:eastAsia="宋体"/>
              <w:sz w:val="24"/>
            </w:rPr>
            <w:fldChar w:fldCharType="end"/>
          </w:r>
          <w:r>
            <w:rPr>
              <w:rFonts w:eastAsia="宋体"/>
              <w:sz w:val="24"/>
            </w:rPr>
            <w:fldChar w:fldCharType="end"/>
          </w:r>
        </w:p>
        <w:p w14:paraId="57D2A302">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_Toc2538 </w:instrText>
          </w:r>
          <w:r>
            <w:rPr>
              <w:rFonts w:eastAsia="宋体"/>
              <w:sz w:val="24"/>
            </w:rPr>
            <w:fldChar w:fldCharType="separate"/>
          </w:r>
          <w:r>
            <w:rPr>
              <w:rFonts w:ascii="Times New Roman" w:hAnsi="Times New Roman" w:eastAsia="宋体" w:cs="黑体"/>
              <w:sz w:val="24"/>
              <w:lang w:eastAsia="zh-CN"/>
            </w:rPr>
            <w:t>3.8　基于事故树的综合分析</w:t>
          </w:r>
          <w:r>
            <w:rPr>
              <w:rFonts w:eastAsia="宋体"/>
              <w:sz w:val="24"/>
            </w:rPr>
            <w:tab/>
          </w:r>
          <w:r>
            <w:rPr>
              <w:rFonts w:eastAsia="宋体"/>
              <w:sz w:val="24"/>
            </w:rPr>
            <w:fldChar w:fldCharType="begin"/>
          </w:r>
          <w:r>
            <w:rPr>
              <w:rFonts w:eastAsia="宋体"/>
              <w:sz w:val="24"/>
            </w:rPr>
            <w:instrText xml:space="preserve"> PAGEREF _Toc2538 \h </w:instrText>
          </w:r>
          <w:r>
            <w:rPr>
              <w:rFonts w:eastAsia="宋体"/>
              <w:sz w:val="24"/>
            </w:rPr>
            <w:fldChar w:fldCharType="separate"/>
          </w:r>
          <w:r>
            <w:rPr>
              <w:rFonts w:eastAsia="宋体"/>
              <w:sz w:val="24"/>
            </w:rPr>
            <w:t>24</w:t>
          </w:r>
          <w:r>
            <w:rPr>
              <w:rFonts w:eastAsia="宋体"/>
              <w:sz w:val="24"/>
            </w:rPr>
            <w:fldChar w:fldCharType="end"/>
          </w:r>
          <w:r>
            <w:rPr>
              <w:rFonts w:eastAsia="宋体"/>
              <w:sz w:val="24"/>
            </w:rPr>
            <w:fldChar w:fldCharType="end"/>
          </w:r>
        </w:p>
        <w:p w14:paraId="2ECA857D">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_Toc12752 </w:instrText>
          </w:r>
          <w:r>
            <w:rPr>
              <w:rFonts w:eastAsia="宋体"/>
              <w:sz w:val="24"/>
            </w:rPr>
            <w:fldChar w:fldCharType="separate"/>
          </w:r>
          <w:r>
            <w:rPr>
              <w:rFonts w:ascii="Times New Roman" w:hAnsi="Times New Roman" w:eastAsia="宋体"/>
              <w:sz w:val="24"/>
            </w:rPr>
            <w:t>3.9　生物实验室安全事故案例分析</w:t>
          </w:r>
          <w:r>
            <w:rPr>
              <w:rFonts w:eastAsia="宋体"/>
              <w:sz w:val="24"/>
            </w:rPr>
            <w:tab/>
          </w:r>
          <w:r>
            <w:rPr>
              <w:rFonts w:eastAsia="宋体"/>
              <w:sz w:val="24"/>
            </w:rPr>
            <w:fldChar w:fldCharType="begin"/>
          </w:r>
          <w:r>
            <w:rPr>
              <w:rFonts w:eastAsia="宋体"/>
              <w:sz w:val="24"/>
            </w:rPr>
            <w:instrText xml:space="preserve"> PAGEREF _Toc12752 \h </w:instrText>
          </w:r>
          <w:r>
            <w:rPr>
              <w:rFonts w:eastAsia="宋体"/>
              <w:sz w:val="24"/>
            </w:rPr>
            <w:fldChar w:fldCharType="separate"/>
          </w:r>
          <w:r>
            <w:rPr>
              <w:rFonts w:eastAsia="宋体"/>
              <w:sz w:val="24"/>
            </w:rPr>
            <w:t>26</w:t>
          </w:r>
          <w:r>
            <w:rPr>
              <w:rFonts w:eastAsia="宋体"/>
              <w:sz w:val="24"/>
            </w:rPr>
            <w:fldChar w:fldCharType="end"/>
          </w:r>
          <w:r>
            <w:rPr>
              <w:rFonts w:eastAsia="宋体"/>
              <w:sz w:val="24"/>
            </w:rPr>
            <w:fldChar w:fldCharType="end"/>
          </w:r>
        </w:p>
        <w:p w14:paraId="3AA57F75">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_Toc15802 </w:instrText>
          </w:r>
          <w:r>
            <w:rPr>
              <w:rFonts w:eastAsia="宋体"/>
              <w:sz w:val="24"/>
            </w:rPr>
            <w:fldChar w:fldCharType="separate"/>
          </w:r>
          <w:r>
            <w:rPr>
              <w:rFonts w:ascii="Times New Roman" w:hAnsi="Times New Roman" w:eastAsia="宋体" w:cs="黑体"/>
              <w:sz w:val="24"/>
              <w:lang w:eastAsia="zh-CN"/>
            </w:rPr>
            <w:t>3.10　本章小结</w:t>
          </w:r>
          <w:r>
            <w:rPr>
              <w:rFonts w:eastAsia="宋体"/>
              <w:sz w:val="24"/>
            </w:rPr>
            <w:tab/>
          </w:r>
          <w:r>
            <w:rPr>
              <w:rFonts w:eastAsia="宋体"/>
              <w:sz w:val="24"/>
            </w:rPr>
            <w:fldChar w:fldCharType="begin"/>
          </w:r>
          <w:r>
            <w:rPr>
              <w:rFonts w:eastAsia="宋体"/>
              <w:sz w:val="24"/>
            </w:rPr>
            <w:instrText xml:space="preserve"> PAGEREF _Toc15802 \h </w:instrText>
          </w:r>
          <w:r>
            <w:rPr>
              <w:rFonts w:eastAsia="宋体"/>
              <w:sz w:val="24"/>
            </w:rPr>
            <w:fldChar w:fldCharType="separate"/>
          </w:r>
          <w:r>
            <w:rPr>
              <w:rFonts w:eastAsia="宋体"/>
              <w:sz w:val="24"/>
            </w:rPr>
            <w:t>28</w:t>
          </w:r>
          <w:r>
            <w:rPr>
              <w:rFonts w:eastAsia="宋体"/>
              <w:sz w:val="24"/>
            </w:rPr>
            <w:fldChar w:fldCharType="end"/>
          </w:r>
          <w:r>
            <w:rPr>
              <w:rFonts w:eastAsia="宋体"/>
              <w:sz w:val="24"/>
            </w:rPr>
            <w:fldChar w:fldCharType="end"/>
          </w:r>
        </w:p>
        <w:p w14:paraId="7D0D755C">
          <w:pPr>
            <w:pStyle w:val="27"/>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_Toc11804 </w:instrText>
          </w:r>
          <w:r>
            <w:rPr>
              <w:rFonts w:eastAsia="宋体"/>
              <w:sz w:val="24"/>
            </w:rPr>
            <w:fldChar w:fldCharType="separate"/>
          </w:r>
          <w:r>
            <w:rPr>
              <w:rFonts w:ascii="Times New Roman" w:hAnsi="Times New Roman" w:eastAsia="宋体" w:cs="黑体"/>
              <w:sz w:val="24"/>
              <w:lang w:eastAsia="zh-CN"/>
            </w:rPr>
            <w:t>第4章　高校生物实验室安全管理优化策略</w:t>
          </w:r>
          <w:r>
            <w:rPr>
              <w:rFonts w:eastAsia="宋体"/>
              <w:sz w:val="24"/>
            </w:rPr>
            <w:tab/>
          </w:r>
          <w:r>
            <w:rPr>
              <w:rFonts w:eastAsia="宋体"/>
              <w:sz w:val="24"/>
            </w:rPr>
            <w:fldChar w:fldCharType="begin"/>
          </w:r>
          <w:r>
            <w:rPr>
              <w:rFonts w:eastAsia="宋体"/>
              <w:sz w:val="24"/>
            </w:rPr>
            <w:instrText xml:space="preserve"> PAGEREF _Toc11804 \h </w:instrText>
          </w:r>
          <w:r>
            <w:rPr>
              <w:rFonts w:eastAsia="宋体"/>
              <w:sz w:val="24"/>
            </w:rPr>
            <w:fldChar w:fldCharType="separate"/>
          </w:r>
          <w:r>
            <w:rPr>
              <w:rFonts w:eastAsia="宋体"/>
              <w:sz w:val="24"/>
            </w:rPr>
            <w:t>30</w:t>
          </w:r>
          <w:r>
            <w:rPr>
              <w:rFonts w:eastAsia="宋体"/>
              <w:sz w:val="24"/>
            </w:rPr>
            <w:fldChar w:fldCharType="end"/>
          </w:r>
          <w:r>
            <w:rPr>
              <w:rFonts w:eastAsia="宋体"/>
              <w:sz w:val="24"/>
            </w:rPr>
            <w:fldChar w:fldCharType="end"/>
          </w:r>
        </w:p>
        <w:p w14:paraId="211DECAA">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_Toc968 </w:instrText>
          </w:r>
          <w:r>
            <w:rPr>
              <w:rFonts w:eastAsia="宋体"/>
              <w:sz w:val="24"/>
            </w:rPr>
            <w:fldChar w:fldCharType="separate"/>
          </w:r>
          <w:r>
            <w:rPr>
              <w:rFonts w:ascii="Times New Roman" w:hAnsi="Times New Roman" w:eastAsia="宋体"/>
              <w:sz w:val="24"/>
              <w:lang w:eastAsia="zh-CN"/>
            </w:rPr>
            <w:t>4.1　管理责任与人员能力建设</w:t>
          </w:r>
          <w:r>
            <w:rPr>
              <w:rFonts w:eastAsia="宋体"/>
              <w:sz w:val="24"/>
            </w:rPr>
            <w:tab/>
          </w:r>
          <w:r>
            <w:rPr>
              <w:rFonts w:eastAsia="宋体"/>
              <w:sz w:val="24"/>
            </w:rPr>
            <w:fldChar w:fldCharType="begin"/>
          </w:r>
          <w:r>
            <w:rPr>
              <w:rFonts w:eastAsia="宋体"/>
              <w:sz w:val="24"/>
            </w:rPr>
            <w:instrText xml:space="preserve"> PAGEREF _Toc968 \h </w:instrText>
          </w:r>
          <w:r>
            <w:rPr>
              <w:rFonts w:eastAsia="宋体"/>
              <w:sz w:val="24"/>
            </w:rPr>
            <w:fldChar w:fldCharType="separate"/>
          </w:r>
          <w:r>
            <w:rPr>
              <w:rFonts w:eastAsia="宋体"/>
              <w:sz w:val="24"/>
            </w:rPr>
            <w:t>30</w:t>
          </w:r>
          <w:r>
            <w:rPr>
              <w:rFonts w:eastAsia="宋体"/>
              <w:sz w:val="24"/>
            </w:rPr>
            <w:fldChar w:fldCharType="end"/>
          </w:r>
          <w:r>
            <w:rPr>
              <w:rFonts w:eastAsia="宋体"/>
              <w:sz w:val="24"/>
            </w:rPr>
            <w:fldChar w:fldCharType="end"/>
          </w:r>
        </w:p>
        <w:p w14:paraId="58250ADD">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_Toc9405 </w:instrText>
          </w:r>
          <w:r>
            <w:rPr>
              <w:rFonts w:eastAsia="宋体"/>
              <w:sz w:val="24"/>
            </w:rPr>
            <w:fldChar w:fldCharType="separate"/>
          </w:r>
          <w:r>
            <w:rPr>
              <w:rFonts w:ascii="Times New Roman" w:hAnsi="Times New Roman" w:eastAsia="宋体"/>
              <w:sz w:val="24"/>
              <w:lang w:eastAsia="zh-CN"/>
            </w:rPr>
            <w:t>4.2　实验运行关键要素管理</w:t>
          </w:r>
          <w:r>
            <w:rPr>
              <w:rFonts w:eastAsia="宋体"/>
              <w:sz w:val="24"/>
            </w:rPr>
            <w:tab/>
          </w:r>
          <w:r>
            <w:rPr>
              <w:rFonts w:eastAsia="宋体"/>
              <w:sz w:val="24"/>
            </w:rPr>
            <w:fldChar w:fldCharType="begin"/>
          </w:r>
          <w:r>
            <w:rPr>
              <w:rFonts w:eastAsia="宋体"/>
              <w:sz w:val="24"/>
            </w:rPr>
            <w:instrText xml:space="preserve"> PAGEREF _Toc9405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17A9F10C">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_Toc22695 </w:instrText>
          </w:r>
          <w:r>
            <w:rPr>
              <w:rFonts w:eastAsia="宋体"/>
              <w:sz w:val="24"/>
            </w:rPr>
            <w:fldChar w:fldCharType="separate"/>
          </w:r>
          <w:r>
            <w:rPr>
              <w:rFonts w:ascii="Times New Roman" w:hAnsi="Times New Roman" w:eastAsia="宋体"/>
              <w:sz w:val="24"/>
              <w:lang w:eastAsia="zh-CN"/>
            </w:rPr>
            <w:t>4.3　制度流程与现场环境改进</w:t>
          </w:r>
          <w:r>
            <w:rPr>
              <w:rFonts w:eastAsia="宋体"/>
              <w:sz w:val="24"/>
            </w:rPr>
            <w:tab/>
          </w:r>
          <w:r>
            <w:rPr>
              <w:rFonts w:eastAsia="宋体"/>
              <w:sz w:val="24"/>
            </w:rPr>
            <w:fldChar w:fldCharType="begin"/>
          </w:r>
          <w:r>
            <w:rPr>
              <w:rFonts w:eastAsia="宋体"/>
              <w:sz w:val="24"/>
            </w:rPr>
            <w:instrText xml:space="preserve"> PAGEREF _Toc22695 \h </w:instrText>
          </w:r>
          <w:r>
            <w:rPr>
              <w:rFonts w:eastAsia="宋体"/>
              <w:sz w:val="24"/>
            </w:rPr>
            <w:fldChar w:fldCharType="separate"/>
          </w:r>
          <w:r>
            <w:rPr>
              <w:rFonts w:eastAsia="宋体"/>
              <w:sz w:val="24"/>
            </w:rPr>
            <w:t>35</w:t>
          </w:r>
          <w:r>
            <w:rPr>
              <w:rFonts w:eastAsia="宋体"/>
              <w:sz w:val="24"/>
            </w:rPr>
            <w:fldChar w:fldCharType="end"/>
          </w:r>
          <w:r>
            <w:rPr>
              <w:rFonts w:eastAsia="宋体"/>
              <w:sz w:val="24"/>
            </w:rPr>
            <w:fldChar w:fldCharType="end"/>
          </w:r>
        </w:p>
        <w:p w14:paraId="5F8F52C7">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_Toc17020 </w:instrText>
          </w:r>
          <w:r>
            <w:rPr>
              <w:rFonts w:eastAsia="宋体"/>
              <w:sz w:val="24"/>
            </w:rPr>
            <w:fldChar w:fldCharType="separate"/>
          </w:r>
          <w:r>
            <w:rPr>
              <w:rFonts w:ascii="Times New Roman" w:hAnsi="Times New Roman" w:eastAsia="宋体"/>
              <w:sz w:val="24"/>
              <w:lang w:eastAsia="zh-CN"/>
            </w:rPr>
            <w:t>4.4　风险预防与信息化支撑</w:t>
          </w:r>
          <w:r>
            <w:rPr>
              <w:rFonts w:eastAsia="宋体"/>
              <w:sz w:val="24"/>
            </w:rPr>
            <w:tab/>
          </w:r>
          <w:r>
            <w:rPr>
              <w:rFonts w:eastAsia="宋体"/>
              <w:sz w:val="24"/>
            </w:rPr>
            <w:fldChar w:fldCharType="begin"/>
          </w:r>
          <w:r>
            <w:rPr>
              <w:rFonts w:eastAsia="宋体"/>
              <w:sz w:val="24"/>
            </w:rPr>
            <w:instrText xml:space="preserve"> PAGEREF _Toc17020 \h </w:instrText>
          </w:r>
          <w:r>
            <w:rPr>
              <w:rFonts w:eastAsia="宋体"/>
              <w:sz w:val="24"/>
            </w:rPr>
            <w:fldChar w:fldCharType="separate"/>
          </w:r>
          <w:r>
            <w:rPr>
              <w:rFonts w:eastAsia="宋体"/>
              <w:sz w:val="24"/>
            </w:rPr>
            <w:t>36</w:t>
          </w:r>
          <w:r>
            <w:rPr>
              <w:rFonts w:eastAsia="宋体"/>
              <w:sz w:val="24"/>
            </w:rPr>
            <w:fldChar w:fldCharType="end"/>
          </w:r>
          <w:r>
            <w:rPr>
              <w:rFonts w:eastAsia="宋体"/>
              <w:sz w:val="24"/>
            </w:rPr>
            <w:fldChar w:fldCharType="end"/>
          </w:r>
        </w:p>
        <w:p w14:paraId="67DF976C">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_Toc22131 </w:instrText>
          </w:r>
          <w:r>
            <w:rPr>
              <w:rFonts w:eastAsia="宋体"/>
              <w:sz w:val="24"/>
            </w:rPr>
            <w:fldChar w:fldCharType="separate"/>
          </w:r>
          <w:r>
            <w:rPr>
              <w:rFonts w:ascii="Times New Roman" w:hAnsi="Times New Roman" w:eastAsia="宋体"/>
              <w:sz w:val="24"/>
              <w:lang w:eastAsia="zh-CN"/>
            </w:rPr>
            <w:t>4.5　评价实施与保障机制</w:t>
          </w:r>
          <w:r>
            <w:rPr>
              <w:rFonts w:eastAsia="宋体"/>
              <w:sz w:val="24"/>
            </w:rPr>
            <w:tab/>
          </w:r>
          <w:r>
            <w:rPr>
              <w:rFonts w:eastAsia="宋体"/>
              <w:sz w:val="24"/>
            </w:rPr>
            <w:fldChar w:fldCharType="begin"/>
          </w:r>
          <w:r>
            <w:rPr>
              <w:rFonts w:eastAsia="宋体"/>
              <w:sz w:val="24"/>
            </w:rPr>
            <w:instrText xml:space="preserve"> PAGEREF _Toc22131 \h </w:instrText>
          </w:r>
          <w:r>
            <w:rPr>
              <w:rFonts w:eastAsia="宋体"/>
              <w:sz w:val="24"/>
            </w:rPr>
            <w:fldChar w:fldCharType="separate"/>
          </w:r>
          <w:r>
            <w:rPr>
              <w:rFonts w:eastAsia="宋体"/>
              <w:sz w:val="24"/>
            </w:rPr>
            <w:t>40</w:t>
          </w:r>
          <w:r>
            <w:rPr>
              <w:rFonts w:eastAsia="宋体"/>
              <w:sz w:val="24"/>
            </w:rPr>
            <w:fldChar w:fldCharType="end"/>
          </w:r>
          <w:r>
            <w:rPr>
              <w:rFonts w:eastAsia="宋体"/>
              <w:sz w:val="24"/>
            </w:rPr>
            <w:fldChar w:fldCharType="end"/>
          </w:r>
        </w:p>
        <w:p w14:paraId="6262ABC0">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_Toc16278 </w:instrText>
          </w:r>
          <w:r>
            <w:rPr>
              <w:rFonts w:eastAsia="宋体"/>
              <w:sz w:val="24"/>
            </w:rPr>
            <w:fldChar w:fldCharType="separate"/>
          </w:r>
          <w:r>
            <w:rPr>
              <w:rFonts w:ascii="Times New Roman" w:hAnsi="Times New Roman" w:eastAsia="宋体"/>
              <w:sz w:val="24"/>
            </w:rPr>
            <w:t>4.6　本章小结</w:t>
          </w:r>
          <w:r>
            <w:rPr>
              <w:rFonts w:eastAsia="宋体"/>
              <w:sz w:val="24"/>
            </w:rPr>
            <w:tab/>
          </w:r>
          <w:r>
            <w:rPr>
              <w:rFonts w:eastAsia="宋体"/>
              <w:sz w:val="24"/>
            </w:rPr>
            <w:fldChar w:fldCharType="begin"/>
          </w:r>
          <w:r>
            <w:rPr>
              <w:rFonts w:eastAsia="宋体"/>
              <w:sz w:val="24"/>
            </w:rPr>
            <w:instrText xml:space="preserve"> PAGEREF _Toc16278 \h </w:instrText>
          </w:r>
          <w:r>
            <w:rPr>
              <w:rFonts w:eastAsia="宋体"/>
              <w:sz w:val="24"/>
            </w:rPr>
            <w:fldChar w:fldCharType="separate"/>
          </w:r>
          <w:r>
            <w:rPr>
              <w:rFonts w:eastAsia="宋体"/>
              <w:sz w:val="24"/>
            </w:rPr>
            <w:t>51</w:t>
          </w:r>
          <w:r>
            <w:rPr>
              <w:rFonts w:eastAsia="宋体"/>
              <w:sz w:val="24"/>
            </w:rPr>
            <w:fldChar w:fldCharType="end"/>
          </w:r>
          <w:r>
            <w:rPr>
              <w:rFonts w:eastAsia="宋体"/>
              <w:sz w:val="24"/>
            </w:rPr>
            <w:fldChar w:fldCharType="end"/>
          </w:r>
        </w:p>
        <w:p w14:paraId="6F3B998D">
          <w:pPr>
            <w:pStyle w:val="27"/>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_Toc2242 </w:instrText>
          </w:r>
          <w:r>
            <w:rPr>
              <w:rFonts w:eastAsia="宋体"/>
              <w:sz w:val="24"/>
            </w:rPr>
            <w:fldChar w:fldCharType="separate"/>
          </w:r>
          <w:r>
            <w:rPr>
              <w:rFonts w:ascii="Times New Roman" w:hAnsi="Times New Roman" w:eastAsia="宋体" w:cs="黑体"/>
              <w:sz w:val="24"/>
            </w:rPr>
            <w:t>第5章　结论与展望</w:t>
          </w:r>
          <w:r>
            <w:rPr>
              <w:rFonts w:eastAsia="宋体"/>
              <w:sz w:val="24"/>
            </w:rPr>
            <w:tab/>
          </w:r>
          <w:r>
            <w:rPr>
              <w:rFonts w:eastAsia="宋体"/>
              <w:sz w:val="24"/>
            </w:rPr>
            <w:fldChar w:fldCharType="begin"/>
          </w:r>
          <w:r>
            <w:rPr>
              <w:rFonts w:eastAsia="宋体"/>
              <w:sz w:val="24"/>
            </w:rPr>
            <w:instrText xml:space="preserve"> PAGEREF _Toc2242 \h </w:instrText>
          </w:r>
          <w:r>
            <w:rPr>
              <w:rFonts w:eastAsia="宋体"/>
              <w:sz w:val="24"/>
            </w:rPr>
            <w:fldChar w:fldCharType="separate"/>
          </w:r>
          <w:r>
            <w:rPr>
              <w:rFonts w:eastAsia="宋体"/>
              <w:sz w:val="24"/>
            </w:rPr>
            <w:t>52</w:t>
          </w:r>
          <w:r>
            <w:rPr>
              <w:rFonts w:eastAsia="宋体"/>
              <w:sz w:val="24"/>
            </w:rPr>
            <w:fldChar w:fldCharType="end"/>
          </w:r>
          <w:r>
            <w:rPr>
              <w:rFonts w:eastAsia="宋体"/>
              <w:sz w:val="24"/>
            </w:rPr>
            <w:fldChar w:fldCharType="end"/>
          </w:r>
        </w:p>
        <w:p w14:paraId="677740EF">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_Toc1136 </w:instrText>
          </w:r>
          <w:r>
            <w:rPr>
              <w:rFonts w:eastAsia="宋体"/>
              <w:sz w:val="24"/>
            </w:rPr>
            <w:fldChar w:fldCharType="separate"/>
          </w:r>
          <w:r>
            <w:rPr>
              <w:rFonts w:ascii="Times New Roman" w:hAnsi="Times New Roman" w:eastAsia="宋体" w:cs="黑体"/>
              <w:sz w:val="24"/>
            </w:rPr>
            <w:t>5.1　研究结论</w:t>
          </w:r>
          <w:r>
            <w:rPr>
              <w:rFonts w:eastAsia="宋体"/>
              <w:sz w:val="24"/>
            </w:rPr>
            <w:tab/>
          </w:r>
          <w:r>
            <w:rPr>
              <w:rFonts w:eastAsia="宋体"/>
              <w:sz w:val="24"/>
            </w:rPr>
            <w:fldChar w:fldCharType="begin"/>
          </w:r>
          <w:r>
            <w:rPr>
              <w:rFonts w:eastAsia="宋体"/>
              <w:sz w:val="24"/>
            </w:rPr>
            <w:instrText xml:space="preserve"> PAGEREF _Toc1136 \h </w:instrText>
          </w:r>
          <w:r>
            <w:rPr>
              <w:rFonts w:eastAsia="宋体"/>
              <w:sz w:val="24"/>
            </w:rPr>
            <w:fldChar w:fldCharType="separate"/>
          </w:r>
          <w:r>
            <w:rPr>
              <w:rFonts w:eastAsia="宋体"/>
              <w:sz w:val="24"/>
            </w:rPr>
            <w:t>52</w:t>
          </w:r>
          <w:r>
            <w:rPr>
              <w:rFonts w:eastAsia="宋体"/>
              <w:sz w:val="24"/>
            </w:rPr>
            <w:fldChar w:fldCharType="end"/>
          </w:r>
          <w:r>
            <w:rPr>
              <w:rFonts w:eastAsia="宋体"/>
              <w:sz w:val="24"/>
            </w:rPr>
            <w:fldChar w:fldCharType="end"/>
          </w:r>
        </w:p>
        <w:p w14:paraId="22B23142">
          <w:pPr>
            <w:pStyle w:val="30"/>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_Toc7423 </w:instrText>
          </w:r>
          <w:r>
            <w:rPr>
              <w:rFonts w:eastAsia="宋体"/>
              <w:sz w:val="24"/>
            </w:rPr>
            <w:fldChar w:fldCharType="separate"/>
          </w:r>
          <w:r>
            <w:rPr>
              <w:rFonts w:ascii="Times New Roman" w:hAnsi="Times New Roman" w:eastAsia="宋体" w:cs="黑体"/>
              <w:sz w:val="24"/>
            </w:rPr>
            <w:t>5.2　不足与展望</w:t>
          </w:r>
          <w:r>
            <w:rPr>
              <w:rFonts w:eastAsia="宋体"/>
              <w:sz w:val="24"/>
            </w:rPr>
            <w:tab/>
          </w:r>
          <w:r>
            <w:rPr>
              <w:rFonts w:eastAsia="宋体"/>
              <w:sz w:val="24"/>
            </w:rPr>
            <w:fldChar w:fldCharType="begin"/>
          </w:r>
          <w:r>
            <w:rPr>
              <w:rFonts w:eastAsia="宋体"/>
              <w:sz w:val="24"/>
            </w:rPr>
            <w:instrText xml:space="preserve"> PAGEREF _Toc7423 \h </w:instrText>
          </w:r>
          <w:r>
            <w:rPr>
              <w:rFonts w:eastAsia="宋体"/>
              <w:sz w:val="24"/>
            </w:rPr>
            <w:fldChar w:fldCharType="separate"/>
          </w:r>
          <w:r>
            <w:rPr>
              <w:rFonts w:eastAsia="宋体"/>
              <w:sz w:val="24"/>
            </w:rPr>
            <w:t>53</w:t>
          </w:r>
          <w:r>
            <w:rPr>
              <w:rFonts w:eastAsia="宋体"/>
              <w:sz w:val="24"/>
            </w:rPr>
            <w:fldChar w:fldCharType="end"/>
          </w:r>
          <w:r>
            <w:rPr>
              <w:rFonts w:eastAsia="宋体"/>
              <w:sz w:val="24"/>
            </w:rPr>
            <w:fldChar w:fldCharType="end"/>
          </w:r>
        </w:p>
        <w:p w14:paraId="66BFCA69">
          <w:pPr>
            <w:pStyle w:val="27"/>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_Toc15610 </w:instrText>
          </w:r>
          <w:r>
            <w:rPr>
              <w:rFonts w:eastAsia="宋体"/>
              <w:sz w:val="24"/>
            </w:rPr>
            <w:fldChar w:fldCharType="separate"/>
          </w:r>
          <w:r>
            <w:rPr>
              <w:rFonts w:ascii="Times New Roman" w:hAnsi="Times New Roman" w:eastAsia="宋体" w:cs="黑体"/>
              <w:sz w:val="24"/>
            </w:rPr>
            <w:t>致谢</w:t>
          </w:r>
          <w:r>
            <w:rPr>
              <w:rFonts w:eastAsia="宋体"/>
              <w:sz w:val="24"/>
            </w:rPr>
            <w:tab/>
          </w:r>
          <w:r>
            <w:rPr>
              <w:rFonts w:eastAsia="宋体"/>
              <w:sz w:val="24"/>
            </w:rPr>
            <w:fldChar w:fldCharType="begin"/>
          </w:r>
          <w:r>
            <w:rPr>
              <w:rFonts w:eastAsia="宋体"/>
              <w:sz w:val="24"/>
            </w:rPr>
            <w:instrText xml:space="preserve"> PAGEREF _Toc15610 \h </w:instrText>
          </w:r>
          <w:r>
            <w:rPr>
              <w:rFonts w:eastAsia="宋体"/>
              <w:sz w:val="24"/>
            </w:rPr>
            <w:fldChar w:fldCharType="separate"/>
          </w:r>
          <w:r>
            <w:rPr>
              <w:rFonts w:eastAsia="宋体"/>
              <w:sz w:val="24"/>
            </w:rPr>
            <w:t>54</w:t>
          </w:r>
          <w:r>
            <w:rPr>
              <w:rFonts w:eastAsia="宋体"/>
              <w:sz w:val="24"/>
            </w:rPr>
            <w:fldChar w:fldCharType="end"/>
          </w:r>
          <w:r>
            <w:rPr>
              <w:rFonts w:eastAsia="宋体"/>
              <w:sz w:val="24"/>
            </w:rPr>
            <w:fldChar w:fldCharType="end"/>
          </w:r>
        </w:p>
        <w:p w14:paraId="66CC4F5B">
          <w:pPr>
            <w:pStyle w:val="27"/>
            <w:tabs>
              <w:tab w:val="right" w:leader="dot" w:pos="9405"/>
              <w:tab w:val="clear" w:pos="9071"/>
            </w:tabs>
            <w:rPr>
              <w:rFonts w:eastAsia="宋体"/>
              <w:sz w:val="24"/>
            </w:rPr>
          </w:pPr>
          <w:r>
            <w:rPr>
              <w:rFonts w:eastAsia="宋体"/>
              <w:sz w:val="24"/>
            </w:rPr>
            <w:fldChar w:fldCharType="begin"/>
          </w:r>
          <w:r>
            <w:rPr>
              <w:rFonts w:eastAsia="宋体"/>
              <w:sz w:val="24"/>
            </w:rPr>
            <w:instrText xml:space="preserve"> HYPERLINK \l _Toc15043 </w:instrText>
          </w:r>
          <w:r>
            <w:rPr>
              <w:rFonts w:eastAsia="宋体"/>
              <w:sz w:val="24"/>
            </w:rPr>
            <w:fldChar w:fldCharType="separate"/>
          </w:r>
          <w:r>
            <w:rPr>
              <w:rFonts w:ascii="黑体" w:hAnsi="黑体" w:eastAsia="宋体" w:cs="黑体"/>
              <w:sz w:val="24"/>
            </w:rPr>
            <w:t>参考文献</w:t>
          </w:r>
          <w:r>
            <w:rPr>
              <w:rFonts w:eastAsia="宋体"/>
              <w:sz w:val="24"/>
            </w:rPr>
            <w:tab/>
          </w:r>
          <w:r>
            <w:rPr>
              <w:rFonts w:eastAsia="宋体"/>
              <w:sz w:val="24"/>
            </w:rPr>
            <w:fldChar w:fldCharType="begin"/>
          </w:r>
          <w:r>
            <w:rPr>
              <w:rFonts w:eastAsia="宋体"/>
              <w:sz w:val="24"/>
            </w:rPr>
            <w:instrText xml:space="preserve"> PAGEREF _Toc15043 \h </w:instrText>
          </w:r>
          <w:r>
            <w:rPr>
              <w:rFonts w:eastAsia="宋体"/>
              <w:sz w:val="24"/>
            </w:rPr>
            <w:fldChar w:fldCharType="separate"/>
          </w:r>
          <w:r>
            <w:rPr>
              <w:rFonts w:eastAsia="宋体"/>
              <w:sz w:val="24"/>
            </w:rPr>
            <w:t>56</w:t>
          </w:r>
          <w:r>
            <w:rPr>
              <w:rFonts w:eastAsia="宋体"/>
              <w:sz w:val="24"/>
            </w:rPr>
            <w:fldChar w:fldCharType="end"/>
          </w:r>
          <w:r>
            <w:rPr>
              <w:rFonts w:eastAsia="宋体"/>
              <w:sz w:val="24"/>
            </w:rPr>
            <w:fldChar w:fldCharType="end"/>
          </w:r>
        </w:p>
        <w:p w14:paraId="12EE26C7">
          <w:pPr>
            <w:rPr>
              <w:rFonts w:eastAsia="宋体"/>
              <w:sz w:val="24"/>
            </w:rPr>
          </w:pPr>
          <w:r>
            <w:rPr>
              <w:rFonts w:eastAsia="宋体"/>
              <w:sz w:val="24"/>
            </w:rPr>
            <w:fldChar w:fldCharType="end"/>
          </w:r>
        </w:p>
      </w:sdtContent>
    </w:sdt>
    <w:p w14:paraId="3B9831D6"/>
    <w:p w14:paraId="37E36C3A">
      <w:pPr>
        <w:keepNext w:val="0"/>
        <w:keepLines w:val="0"/>
        <w:pageBreakBefore w:val="0"/>
        <w:widowControl w:val="0"/>
        <w:tabs>
          <w:tab w:val="right" w:leader="dot" w:pos="9071"/>
        </w:tabs>
        <w:kinsoku/>
        <w:wordWrap/>
        <w:overflowPunct/>
        <w:topLinePunct w:val="0"/>
        <w:autoSpaceDE/>
        <w:autoSpaceDN/>
        <w:bidi w:val="0"/>
        <w:adjustRightInd/>
        <w:snapToGrid/>
        <w:spacing w:after="0" w:line="360" w:lineRule="auto"/>
        <w:textAlignment w:val="auto"/>
        <w:rPr>
          <w:lang w:eastAsia="zh-CN"/>
        </w:rPr>
        <w:sectPr>
          <w:headerReference r:id="rId7" w:type="default"/>
          <w:footerReference r:id="rId8" w:type="default"/>
          <w:pgSz w:w="12240" w:h="15840"/>
          <w:pgMar w:top="1417" w:right="1134" w:bottom="1417" w:left="1701" w:header="850" w:footer="992" w:gutter="0"/>
          <w:pgBorders>
            <w:top w:val="none" w:sz="0" w:space="0"/>
            <w:left w:val="none" w:sz="0" w:space="0"/>
            <w:bottom w:val="none" w:sz="0" w:space="0"/>
            <w:right w:val="none" w:sz="0" w:space="0"/>
          </w:pgBorders>
          <w:pgNumType w:fmt="upperRoman" w:start="1"/>
          <w:cols w:space="720" w:num="1"/>
          <w:docGrid w:linePitch="360" w:charSpace="0"/>
        </w:sectPr>
      </w:pPr>
    </w:p>
    <w:p w14:paraId="2ABBCD5B">
      <w:pPr>
        <w:pageBreakBefore/>
        <w:spacing w:after="0" w:line="360" w:lineRule="auto"/>
        <w:rPr>
          <w:lang w:eastAsia="zh-CN"/>
        </w:rPr>
      </w:pPr>
      <w:r>
        <w:rPr>
          <w:szCs w:val="24"/>
          <w:lang w:eastAsia="zh-CN"/>
        </w:rPr>
        <w:t xml:space="preserve"> </w:t>
      </w:r>
    </w:p>
    <w:p w14:paraId="01C1DF33">
      <w:pPr>
        <w:keepNext/>
        <w:spacing w:after="360" w:line="360" w:lineRule="auto"/>
        <w:jc w:val="center"/>
        <w:outlineLvl w:val="0"/>
        <w:rPr>
          <w:lang w:eastAsia="zh-CN"/>
        </w:rPr>
      </w:pPr>
      <w:bookmarkStart w:id="4" w:name="_Toc4113"/>
      <w:bookmarkStart w:id="5" w:name="_Toc2076"/>
      <w:r>
        <w:rPr>
          <w:rFonts w:ascii="Times New Roman" w:hAnsi="Times New Roman" w:eastAsia="黑体" w:cs="黑体"/>
          <w:sz w:val="32"/>
          <w:lang w:eastAsia="zh-CN"/>
        </w:rPr>
        <w:t>第1章　绪论</w:t>
      </w:r>
      <w:bookmarkEnd w:id="4"/>
      <w:bookmarkEnd w:id="5"/>
    </w:p>
    <w:p w14:paraId="059C516B">
      <w:pPr>
        <w:keepNext/>
        <w:spacing w:after="0" w:line="360" w:lineRule="auto"/>
        <w:ind w:firstLine="480" w:firstLineChars="200"/>
        <w:outlineLvl w:val="1"/>
        <w:rPr>
          <w:lang w:eastAsia="zh-CN"/>
        </w:rPr>
      </w:pPr>
      <w:bookmarkStart w:id="6" w:name="_Toc28736"/>
      <w:bookmarkStart w:id="7" w:name="_Toc29882"/>
      <w:r>
        <w:rPr>
          <w:rFonts w:ascii="Times New Roman" w:hAnsi="Times New Roman" w:eastAsia="黑体" w:cs="黑体"/>
          <w:sz w:val="24"/>
          <w:lang w:eastAsia="zh-CN"/>
        </w:rPr>
        <w:t>1.1　研究背景</w:t>
      </w:r>
      <w:bookmarkEnd w:id="6"/>
      <w:bookmarkEnd w:id="7"/>
    </w:p>
    <w:p w14:paraId="58EC1797">
      <w:pPr>
        <w:spacing w:after="0" w:line="360" w:lineRule="auto"/>
        <w:ind w:firstLine="480"/>
        <w:jc w:val="both"/>
        <w:rPr>
          <w:lang w:eastAsia="zh-CN"/>
        </w:rPr>
      </w:pPr>
      <w:r>
        <w:t>高校生物实验室承担着实验教学、科研训练和创新实践等多重任务，是生命科学、医学、农学及相关交叉学科人才培养的重要场所。近年来，随着高校科研投入增加和实验课程体系扩展，生物实验室在仪器配置、试剂种类、样本来源和实验活动频次等方面均呈现出新的变化，安全管理压力随之上升。梁慧刚等</w:t>
      </w:r>
      <w:r>
        <w:rPr>
          <w:vertAlign w:val="superscript"/>
        </w:rPr>
        <w:t>[1]</w:t>
      </w:r>
      <w:r>
        <w:t>梳理了高等级生物安全实验室的发展和生物安全作用，说明生物安全实验室建设与管理具有较强的系统性。生物实验室与普通教学空间不同，涉及微生物、细胞、动物组织、化学试剂以及实验废弃物等多类风险因素，一旦管理不到位，可能影响师生健康、教学科研秩序和校园公共安全。</w:t>
      </w:r>
    </w:p>
    <w:p w14:paraId="5624E84A">
      <w:pPr>
        <w:spacing w:after="0" w:line="360" w:lineRule="auto"/>
        <w:ind w:firstLine="480"/>
        <w:jc w:val="both"/>
      </w:pPr>
      <w:r>
        <w:t>同时，从案例统计角度看，实验室安全事故并非孤立偶发事件，而具有一定的类型分布和管理规律。郭战胜等</w:t>
      </w:r>
      <w:r>
        <w:rPr>
          <w:vertAlign w:val="superscript"/>
        </w:rPr>
        <w:t>[30]</w:t>
      </w:r>
      <w:r>
        <w:t>对2004—2024年高校与科研院所实验室安全事故进行统计，结果显示共发生137起实验室安全事故，造成177人受伤和19人死亡；其中火灾和爆炸事故较为突出，人为操作不当或违规操作是最常见的事故原因。虽然该统计对象覆盖高校与科研院所多类实验室，并不局限于生物实验室，但其反映出的人员违规、设备状态、材料管理、制度执行和现场环境等问题，与高校生物实验室安全管理具有较强关联。结合生物实验室运行特点，本文将相关事故风险类型归纳为表1-1所示，以便在研究背景部分突出人机料法环分析的现实依据。</w:t>
      </w:r>
    </w:p>
    <w:p w14:paraId="0B81A508">
      <w:pPr>
        <w:keepNext/>
        <w:jc w:val="center"/>
        <w:rPr>
          <w:rFonts w:hint="eastAsia" w:ascii="黑体" w:hAnsi="Times" w:eastAsia="黑体" w:cs="Times New Roman"/>
          <w:kern w:val="0"/>
          <w:sz w:val="21"/>
          <w:szCs w:val="21"/>
          <w:lang w:val="en-US" w:eastAsia="zh-CN" w:bidi="ar-SA"/>
        </w:rPr>
      </w:pPr>
      <w:r>
        <w:rPr>
          <w:rFonts w:hint="eastAsia" w:ascii="黑体" w:hAnsi="Times" w:eastAsia="黑体" w:cs="Times New Roman"/>
          <w:kern w:val="0"/>
          <w:sz w:val="21"/>
          <w:szCs w:val="21"/>
          <w:lang w:val="en-US" w:eastAsia="zh-CN" w:bidi="ar-SA"/>
        </w:rPr>
        <w:t>表1-1 高校生物实验室相关事故风险类型归纳</w:t>
      </w:r>
    </w:p>
    <w:tbl>
      <w:tblPr>
        <w:tblStyle w:val="36"/>
        <w:tblW w:w="9405" w:type="dxa"/>
        <w:jc w:val="center"/>
        <w:tblLayout w:type="autofit"/>
        <w:tblCellMar>
          <w:top w:w="0" w:type="dxa"/>
          <w:left w:w="108" w:type="dxa"/>
          <w:bottom w:w="0" w:type="dxa"/>
          <w:right w:w="108" w:type="dxa"/>
        </w:tblCellMar>
      </w:tblPr>
      <w:tblGrid>
        <w:gridCol w:w="1671"/>
        <w:gridCol w:w="3776"/>
        <w:gridCol w:w="1294"/>
        <w:gridCol w:w="2664"/>
      </w:tblGrid>
      <w:tr w14:paraId="23E1A278">
        <w:tblPrEx>
          <w:tblCellMar>
            <w:top w:w="0" w:type="dxa"/>
            <w:left w:w="108" w:type="dxa"/>
            <w:bottom w:w="0" w:type="dxa"/>
            <w:right w:w="108" w:type="dxa"/>
          </w:tblCellMar>
        </w:tblPrEx>
        <w:trPr>
          <w:trHeight w:val="0" w:hRule="atLeast"/>
          <w:tblHeader/>
          <w:jc w:val="center"/>
        </w:trPr>
        <w:tc>
          <w:tcPr>
            <w:tcW w:w="1671" w:type="dxa"/>
            <w:tcBorders>
              <w:top w:val="single" w:color="auto" w:sz="12" w:space="0"/>
              <w:left w:val="nil"/>
              <w:bottom w:val="single" w:color="auto" w:sz="4" w:space="0"/>
              <w:right w:val="nil"/>
            </w:tcBorders>
            <w:vAlign w:val="center"/>
          </w:tcPr>
          <w:p w14:paraId="1C8C4E95">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事故风险类型</w:t>
            </w:r>
          </w:p>
        </w:tc>
        <w:tc>
          <w:tcPr>
            <w:tcW w:w="3776" w:type="dxa"/>
            <w:tcBorders>
              <w:top w:val="single" w:color="auto" w:sz="12" w:space="0"/>
              <w:left w:val="nil"/>
              <w:bottom w:val="single" w:color="auto" w:sz="4" w:space="0"/>
              <w:right w:val="nil"/>
            </w:tcBorders>
            <w:vAlign w:val="center"/>
          </w:tcPr>
          <w:p w14:paraId="7197B38A">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典型场景</w:t>
            </w:r>
          </w:p>
        </w:tc>
        <w:tc>
          <w:tcPr>
            <w:tcW w:w="1294" w:type="dxa"/>
            <w:tcBorders>
              <w:top w:val="single" w:color="auto" w:sz="12" w:space="0"/>
              <w:left w:val="nil"/>
              <w:bottom w:val="single" w:color="auto" w:sz="4" w:space="0"/>
              <w:right w:val="nil"/>
            </w:tcBorders>
            <w:vAlign w:val="center"/>
          </w:tcPr>
          <w:p w14:paraId="51549FE6">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涉及要素</w:t>
            </w:r>
          </w:p>
        </w:tc>
        <w:tc>
          <w:tcPr>
            <w:tcW w:w="2664" w:type="dxa"/>
            <w:tcBorders>
              <w:top w:val="single" w:color="auto" w:sz="12" w:space="0"/>
              <w:left w:val="nil"/>
              <w:bottom w:val="single" w:color="auto" w:sz="4" w:space="0"/>
              <w:right w:val="nil"/>
            </w:tcBorders>
            <w:vAlign w:val="center"/>
          </w:tcPr>
          <w:p w14:paraId="5C69BDEB">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管理启示</w:t>
            </w:r>
          </w:p>
        </w:tc>
      </w:tr>
      <w:tr w14:paraId="25863EC2">
        <w:tblPrEx>
          <w:tblCellMar>
            <w:top w:w="0" w:type="dxa"/>
            <w:left w:w="108" w:type="dxa"/>
            <w:bottom w:w="0" w:type="dxa"/>
            <w:right w:w="108" w:type="dxa"/>
          </w:tblCellMar>
        </w:tblPrEx>
        <w:trPr>
          <w:trHeight w:val="0" w:hRule="atLeast"/>
          <w:jc w:val="center"/>
        </w:trPr>
        <w:tc>
          <w:tcPr>
            <w:tcW w:w="1671" w:type="dxa"/>
            <w:tcBorders>
              <w:top w:val="single" w:color="auto" w:sz="4" w:space="0"/>
              <w:left w:val="nil"/>
              <w:bottom w:val="nil"/>
              <w:right w:val="nil"/>
            </w:tcBorders>
            <w:vAlign w:val="center"/>
          </w:tcPr>
          <w:p w14:paraId="14AF3EE0">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操作失误与暴露类</w:t>
            </w:r>
          </w:p>
        </w:tc>
        <w:tc>
          <w:tcPr>
            <w:tcW w:w="3776" w:type="dxa"/>
            <w:tcBorders>
              <w:top w:val="single" w:color="auto" w:sz="4" w:space="0"/>
              <w:left w:val="nil"/>
              <w:bottom w:val="nil"/>
              <w:right w:val="nil"/>
            </w:tcBorders>
            <w:vAlign w:val="center"/>
          </w:tcPr>
          <w:p w14:paraId="1B8122F6">
            <w:pPr>
              <w:snapToGrid w:val="0"/>
              <w:spacing w:before="0" w:after="0" w:line="240" w:lineRule="auto"/>
              <w:ind w:left="0" w:leftChars="0" w:right="0" w:rightChars="0" w:firstLine="0" w:firstLineChars="0"/>
              <w:jc w:val="left"/>
              <w:rPr>
                <w:rFonts w:ascii="Times New Roman" w:eastAsia="宋体"/>
                <w:b w:val="0"/>
                <w:bCs/>
                <w:sz w:val="21"/>
                <w:szCs w:val="21"/>
              </w:rPr>
            </w:pPr>
            <w:r>
              <w:rPr>
                <w:rFonts w:ascii="Times New Roman" w:eastAsia="宋体"/>
                <w:b w:val="0"/>
                <w:bCs/>
                <w:sz w:val="21"/>
                <w:szCs w:val="21"/>
              </w:rPr>
              <w:t>样本转运、培养物处理、锐器伤、气溶胶暴露</w:t>
            </w:r>
          </w:p>
        </w:tc>
        <w:tc>
          <w:tcPr>
            <w:tcW w:w="1294" w:type="dxa"/>
            <w:tcBorders>
              <w:top w:val="single" w:color="auto" w:sz="4" w:space="0"/>
              <w:left w:val="nil"/>
              <w:bottom w:val="nil"/>
              <w:right w:val="nil"/>
            </w:tcBorders>
            <w:vAlign w:val="center"/>
          </w:tcPr>
          <w:p w14:paraId="3E5E1563">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人、料、法</w:t>
            </w:r>
          </w:p>
        </w:tc>
        <w:tc>
          <w:tcPr>
            <w:tcW w:w="2664" w:type="dxa"/>
            <w:tcBorders>
              <w:top w:val="single" w:color="auto" w:sz="4" w:space="0"/>
              <w:left w:val="nil"/>
              <w:bottom w:val="nil"/>
              <w:right w:val="nil"/>
            </w:tcBorders>
            <w:vAlign w:val="center"/>
          </w:tcPr>
          <w:p w14:paraId="69E3F9A4">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强化培训准入、操作复核和暴露报告</w:t>
            </w:r>
          </w:p>
        </w:tc>
      </w:tr>
      <w:tr w14:paraId="11D8F5F1">
        <w:tblPrEx>
          <w:tblCellMar>
            <w:top w:w="0" w:type="dxa"/>
            <w:left w:w="108" w:type="dxa"/>
            <w:bottom w:w="0" w:type="dxa"/>
            <w:right w:w="108" w:type="dxa"/>
          </w:tblCellMar>
        </w:tblPrEx>
        <w:trPr>
          <w:trHeight w:val="0" w:hRule="atLeast"/>
          <w:jc w:val="center"/>
        </w:trPr>
        <w:tc>
          <w:tcPr>
            <w:tcW w:w="1671" w:type="dxa"/>
            <w:tcBorders>
              <w:top w:val="nil"/>
              <w:left w:val="nil"/>
              <w:bottom w:val="nil"/>
              <w:right w:val="nil"/>
            </w:tcBorders>
            <w:vAlign w:val="center"/>
          </w:tcPr>
          <w:p w14:paraId="7B211ED5">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设备异常与防护失效类</w:t>
            </w:r>
          </w:p>
        </w:tc>
        <w:tc>
          <w:tcPr>
            <w:tcW w:w="3776" w:type="dxa"/>
            <w:tcBorders>
              <w:top w:val="nil"/>
              <w:left w:val="nil"/>
              <w:bottom w:val="nil"/>
              <w:right w:val="nil"/>
            </w:tcBorders>
            <w:vAlign w:val="center"/>
          </w:tcPr>
          <w:p w14:paraId="51C4B660">
            <w:pPr>
              <w:snapToGrid w:val="0"/>
              <w:spacing w:before="0" w:after="0" w:line="240" w:lineRule="auto"/>
              <w:ind w:left="0" w:leftChars="0" w:right="0" w:rightChars="0" w:firstLine="0" w:firstLineChars="0"/>
              <w:jc w:val="left"/>
              <w:rPr>
                <w:rFonts w:ascii="Times New Roman" w:eastAsia="宋体"/>
                <w:b w:val="0"/>
                <w:bCs/>
                <w:sz w:val="21"/>
                <w:szCs w:val="21"/>
              </w:rPr>
            </w:pPr>
            <w:r>
              <w:rPr>
                <w:rFonts w:ascii="Times New Roman" w:eastAsia="宋体"/>
                <w:b w:val="0"/>
                <w:bCs/>
                <w:sz w:val="21"/>
                <w:szCs w:val="21"/>
              </w:rPr>
              <w:t>生物安全柜、离心机、高压灭菌锅、通风和低温设备异常</w:t>
            </w:r>
          </w:p>
        </w:tc>
        <w:tc>
          <w:tcPr>
            <w:tcW w:w="1294" w:type="dxa"/>
            <w:tcBorders>
              <w:top w:val="nil"/>
              <w:left w:val="nil"/>
              <w:bottom w:val="nil"/>
              <w:right w:val="nil"/>
            </w:tcBorders>
            <w:vAlign w:val="center"/>
          </w:tcPr>
          <w:p w14:paraId="28A5EE77">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机、人、法</w:t>
            </w:r>
          </w:p>
        </w:tc>
        <w:tc>
          <w:tcPr>
            <w:tcW w:w="2664" w:type="dxa"/>
            <w:tcBorders>
              <w:top w:val="nil"/>
              <w:left w:val="nil"/>
              <w:bottom w:val="nil"/>
              <w:right w:val="nil"/>
            </w:tcBorders>
            <w:vAlign w:val="center"/>
          </w:tcPr>
          <w:p w14:paraId="7077B743">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建立设备点检、维护校准和异常停用机制</w:t>
            </w:r>
          </w:p>
        </w:tc>
      </w:tr>
      <w:tr w14:paraId="0987002B">
        <w:tblPrEx>
          <w:tblCellMar>
            <w:top w:w="0" w:type="dxa"/>
            <w:left w:w="108" w:type="dxa"/>
            <w:bottom w:w="0" w:type="dxa"/>
            <w:right w:w="108" w:type="dxa"/>
          </w:tblCellMar>
        </w:tblPrEx>
        <w:trPr>
          <w:trHeight w:val="0" w:hRule="atLeast"/>
          <w:jc w:val="center"/>
        </w:trPr>
        <w:tc>
          <w:tcPr>
            <w:tcW w:w="1671" w:type="dxa"/>
            <w:tcBorders>
              <w:top w:val="nil"/>
              <w:left w:val="nil"/>
              <w:bottom w:val="nil"/>
              <w:right w:val="nil"/>
            </w:tcBorders>
            <w:vAlign w:val="center"/>
          </w:tcPr>
          <w:p w14:paraId="3ADD9BE5">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材料与废弃物失控类</w:t>
            </w:r>
          </w:p>
        </w:tc>
        <w:tc>
          <w:tcPr>
            <w:tcW w:w="3776" w:type="dxa"/>
            <w:tcBorders>
              <w:top w:val="nil"/>
              <w:left w:val="nil"/>
              <w:bottom w:val="nil"/>
              <w:right w:val="nil"/>
            </w:tcBorders>
            <w:vAlign w:val="center"/>
          </w:tcPr>
          <w:p w14:paraId="42D25AB5">
            <w:pPr>
              <w:snapToGrid w:val="0"/>
              <w:spacing w:before="0" w:after="0" w:line="240" w:lineRule="auto"/>
              <w:ind w:left="0" w:leftChars="0" w:right="0" w:rightChars="0" w:firstLine="0" w:firstLineChars="0"/>
              <w:jc w:val="left"/>
              <w:rPr>
                <w:rFonts w:ascii="Times New Roman" w:eastAsia="宋体"/>
                <w:b w:val="0"/>
                <w:bCs/>
                <w:sz w:val="21"/>
                <w:szCs w:val="21"/>
              </w:rPr>
            </w:pPr>
            <w:r>
              <w:rPr>
                <w:rFonts w:ascii="Times New Roman" w:eastAsia="宋体"/>
                <w:b w:val="0"/>
                <w:bCs/>
                <w:sz w:val="21"/>
                <w:szCs w:val="21"/>
              </w:rPr>
              <w:t>样本标签缺失、试剂混放、感染性废弃物混入普通垃圾</w:t>
            </w:r>
          </w:p>
        </w:tc>
        <w:tc>
          <w:tcPr>
            <w:tcW w:w="1294" w:type="dxa"/>
            <w:tcBorders>
              <w:top w:val="nil"/>
              <w:left w:val="nil"/>
              <w:bottom w:val="nil"/>
              <w:right w:val="nil"/>
            </w:tcBorders>
            <w:vAlign w:val="center"/>
          </w:tcPr>
          <w:p w14:paraId="4D8AF162">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料、法、环</w:t>
            </w:r>
          </w:p>
        </w:tc>
        <w:tc>
          <w:tcPr>
            <w:tcW w:w="2664" w:type="dxa"/>
            <w:tcBorders>
              <w:top w:val="nil"/>
              <w:left w:val="nil"/>
              <w:bottom w:val="nil"/>
              <w:right w:val="nil"/>
            </w:tcBorders>
            <w:vAlign w:val="center"/>
          </w:tcPr>
          <w:p w14:paraId="33680AB6">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统一标签台账，规范分类收集和交接追溯</w:t>
            </w:r>
          </w:p>
        </w:tc>
      </w:tr>
      <w:tr w14:paraId="3B4EAC53">
        <w:tblPrEx>
          <w:tblCellMar>
            <w:top w:w="0" w:type="dxa"/>
            <w:left w:w="108" w:type="dxa"/>
            <w:bottom w:w="0" w:type="dxa"/>
            <w:right w:w="108" w:type="dxa"/>
          </w:tblCellMar>
        </w:tblPrEx>
        <w:trPr>
          <w:trHeight w:val="0" w:hRule="atLeast"/>
          <w:jc w:val="center"/>
        </w:trPr>
        <w:tc>
          <w:tcPr>
            <w:tcW w:w="1671" w:type="dxa"/>
            <w:tcBorders>
              <w:top w:val="nil"/>
              <w:left w:val="nil"/>
              <w:bottom w:val="nil"/>
              <w:right w:val="nil"/>
            </w:tcBorders>
            <w:vAlign w:val="center"/>
          </w:tcPr>
          <w:p w14:paraId="6A51182B">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火灾爆炸与环境风险类</w:t>
            </w:r>
          </w:p>
        </w:tc>
        <w:tc>
          <w:tcPr>
            <w:tcW w:w="3776" w:type="dxa"/>
            <w:tcBorders>
              <w:top w:val="nil"/>
              <w:left w:val="nil"/>
              <w:bottom w:val="nil"/>
              <w:right w:val="nil"/>
            </w:tcBorders>
            <w:vAlign w:val="center"/>
          </w:tcPr>
          <w:p w14:paraId="75EC55B8">
            <w:pPr>
              <w:snapToGrid w:val="0"/>
              <w:spacing w:before="0" w:after="0" w:line="240" w:lineRule="auto"/>
              <w:ind w:left="0" w:leftChars="0" w:right="0" w:rightChars="0" w:firstLine="0" w:firstLineChars="0"/>
              <w:jc w:val="left"/>
              <w:rPr>
                <w:rFonts w:ascii="Times New Roman" w:eastAsia="宋体"/>
                <w:b w:val="0"/>
                <w:bCs/>
                <w:sz w:val="21"/>
                <w:szCs w:val="21"/>
              </w:rPr>
            </w:pPr>
            <w:r>
              <w:rPr>
                <w:rFonts w:ascii="Times New Roman" w:eastAsia="宋体"/>
                <w:b w:val="0"/>
                <w:bCs/>
                <w:sz w:val="21"/>
                <w:szCs w:val="21"/>
              </w:rPr>
              <w:t>用电过载、易燃试剂管理不当、消防通道和分区不清</w:t>
            </w:r>
          </w:p>
        </w:tc>
        <w:tc>
          <w:tcPr>
            <w:tcW w:w="1294" w:type="dxa"/>
            <w:tcBorders>
              <w:top w:val="nil"/>
              <w:left w:val="nil"/>
              <w:bottom w:val="nil"/>
              <w:right w:val="nil"/>
            </w:tcBorders>
            <w:vAlign w:val="center"/>
          </w:tcPr>
          <w:p w14:paraId="07348AAF">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环、机、法、人</w:t>
            </w:r>
          </w:p>
        </w:tc>
        <w:tc>
          <w:tcPr>
            <w:tcW w:w="2664" w:type="dxa"/>
            <w:tcBorders>
              <w:top w:val="nil"/>
              <w:left w:val="nil"/>
              <w:bottom w:val="nil"/>
              <w:right w:val="nil"/>
            </w:tcBorders>
            <w:vAlign w:val="center"/>
          </w:tcPr>
          <w:p w14:paraId="5AE0A513">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完善现场分区、消防检查和风险源隔离</w:t>
            </w:r>
          </w:p>
        </w:tc>
      </w:tr>
      <w:tr w14:paraId="7E441B32">
        <w:tblPrEx>
          <w:tblCellMar>
            <w:top w:w="0" w:type="dxa"/>
            <w:left w:w="108" w:type="dxa"/>
            <w:bottom w:w="0" w:type="dxa"/>
            <w:right w:w="108" w:type="dxa"/>
          </w:tblCellMar>
        </w:tblPrEx>
        <w:trPr>
          <w:trHeight w:val="0" w:hRule="atLeast"/>
          <w:jc w:val="center"/>
        </w:trPr>
        <w:tc>
          <w:tcPr>
            <w:tcW w:w="1671" w:type="dxa"/>
            <w:tcBorders>
              <w:top w:val="nil"/>
              <w:left w:val="nil"/>
              <w:bottom w:val="single" w:color="auto" w:sz="12" w:space="0"/>
              <w:right w:val="nil"/>
            </w:tcBorders>
            <w:vAlign w:val="center"/>
          </w:tcPr>
          <w:p w14:paraId="3EB1CC49">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应急处置迟缓类</w:t>
            </w:r>
          </w:p>
        </w:tc>
        <w:tc>
          <w:tcPr>
            <w:tcW w:w="3776" w:type="dxa"/>
            <w:tcBorders>
              <w:top w:val="nil"/>
              <w:left w:val="nil"/>
              <w:bottom w:val="single" w:color="auto" w:sz="12" w:space="0"/>
              <w:right w:val="nil"/>
            </w:tcBorders>
            <w:vAlign w:val="center"/>
          </w:tcPr>
          <w:p w14:paraId="29757282">
            <w:pPr>
              <w:snapToGrid w:val="0"/>
              <w:spacing w:before="0" w:after="0" w:line="240" w:lineRule="auto"/>
              <w:ind w:left="0" w:leftChars="0" w:right="0" w:rightChars="0" w:firstLine="0" w:firstLineChars="0"/>
              <w:jc w:val="left"/>
              <w:rPr>
                <w:rFonts w:ascii="Times New Roman" w:eastAsia="宋体"/>
                <w:b w:val="0"/>
                <w:bCs/>
                <w:sz w:val="21"/>
                <w:szCs w:val="21"/>
              </w:rPr>
            </w:pPr>
            <w:r>
              <w:rPr>
                <w:rFonts w:ascii="Times New Roman" w:eastAsia="宋体"/>
                <w:b w:val="0"/>
                <w:bCs/>
                <w:sz w:val="21"/>
                <w:szCs w:val="21"/>
              </w:rPr>
              <w:t>泄漏后未封控、未及时上报、应急物资不足</w:t>
            </w:r>
          </w:p>
        </w:tc>
        <w:tc>
          <w:tcPr>
            <w:tcW w:w="1294" w:type="dxa"/>
            <w:tcBorders>
              <w:top w:val="nil"/>
              <w:left w:val="nil"/>
              <w:bottom w:val="single" w:color="auto" w:sz="12" w:space="0"/>
              <w:right w:val="nil"/>
            </w:tcBorders>
            <w:vAlign w:val="center"/>
          </w:tcPr>
          <w:p w14:paraId="42D6AC30">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人、法、环</w:t>
            </w:r>
          </w:p>
        </w:tc>
        <w:tc>
          <w:tcPr>
            <w:tcW w:w="2664" w:type="dxa"/>
            <w:tcBorders>
              <w:top w:val="nil"/>
              <w:left w:val="nil"/>
              <w:bottom w:val="single" w:color="auto" w:sz="12" w:space="0"/>
              <w:right w:val="nil"/>
            </w:tcBorders>
            <w:vAlign w:val="center"/>
          </w:tcPr>
          <w:p w14:paraId="7C95FC3C">
            <w:pPr>
              <w:snapToGrid w:val="0"/>
              <w:spacing w:before="0" w:after="0" w:line="240" w:lineRule="auto"/>
              <w:ind w:left="0" w:leftChars="0" w:right="0" w:rightChars="0" w:firstLine="0" w:firstLineChars="0"/>
              <w:jc w:val="center"/>
              <w:rPr>
                <w:rFonts w:ascii="Times New Roman" w:eastAsia="宋体"/>
                <w:b w:val="0"/>
                <w:bCs/>
                <w:sz w:val="21"/>
                <w:szCs w:val="21"/>
              </w:rPr>
            </w:pPr>
            <w:r>
              <w:rPr>
                <w:rFonts w:ascii="Times New Roman" w:eastAsia="宋体"/>
                <w:b w:val="0"/>
                <w:bCs/>
                <w:sz w:val="21"/>
                <w:szCs w:val="21"/>
              </w:rPr>
              <w:t>建立情景预案、应急演练和物资清单</w:t>
            </w:r>
          </w:p>
        </w:tc>
      </w:tr>
    </w:tbl>
    <w:p w14:paraId="7451E2A5">
      <w:pPr>
        <w:spacing w:after="0" w:line="360" w:lineRule="auto"/>
        <w:ind w:firstLine="480"/>
        <w:jc w:val="both"/>
        <w:rPr>
          <w:lang w:eastAsia="zh-CN"/>
        </w:rPr>
      </w:pPr>
      <w:r>
        <w:rPr>
          <w:rFonts w:ascii="Times New Roman" w:hAnsi="Times New Roman" w:eastAsia="宋体" w:cs="Times New Roman"/>
          <w:sz w:val="24"/>
          <w:lang w:eastAsia="zh-CN"/>
        </w:rPr>
        <w:t>从运行特点看，高校生物实验室具有使用主体多、实验任务变化快、样本和试剂类型复杂等特征。学生群体处于训练阶段，对风险识别、规范操作和应急处置的掌握程度不一；教师和管理人员则需要同时兼顾教学安排、科研进度、设备维护和安全检查。人员行为、仪器状态、试剂管理、操作流程和实验环境之间相互影响，使实验室安全问题往往不是单一因素造成，而是多种因素共同作用的结果。</w:t>
      </w:r>
    </w:p>
    <w:p w14:paraId="0470CCF4">
      <w:pPr>
        <w:spacing w:after="0" w:line="360" w:lineRule="auto"/>
        <w:ind w:firstLine="480"/>
        <w:jc w:val="both"/>
        <w:rPr>
          <w:lang w:eastAsia="zh-CN"/>
        </w:rPr>
      </w:pPr>
      <w:r>
        <w:t>现有研究已经从不同角度讨论了高校实验室安全治理问题。齐龙</w:t>
      </w:r>
      <w:r>
        <w:rPr>
          <w:vertAlign w:val="superscript"/>
        </w:rPr>
        <w:t>[2]</w:t>
      </w:r>
      <w:r>
        <w:t>从高校生物实验室环保与安全管理角度总结了基础设施、规章制度、运行机制和安全教育等内容，唐秋琳等</w:t>
      </w:r>
      <w:r>
        <w:rPr>
          <w:vertAlign w:val="superscript"/>
        </w:rPr>
        <w:t>[3]</w:t>
      </w:r>
      <w:r>
        <w:t>从高校生物医学实验室安全管理与教育角度提出改进思路。这些研究为本文提供了有益基础，但在具体分析生物实验室时，仍有必要结合实验室日常运行过程，对人、机、料、法、环五类要素之间的关系进行更细致梳理。</w:t>
      </w:r>
    </w:p>
    <w:p w14:paraId="76736D9A">
      <w:pPr>
        <w:spacing w:after="0" w:line="360" w:lineRule="auto"/>
        <w:ind w:firstLine="480"/>
        <w:jc w:val="both"/>
        <w:rPr>
          <w:lang w:eastAsia="zh-CN"/>
        </w:rPr>
      </w:pPr>
      <w:r>
        <w:rPr>
          <w:rFonts w:ascii="Times New Roman" w:hAnsi="Times New Roman" w:eastAsia="宋体" w:cs="Times New Roman"/>
          <w:sz w:val="24"/>
          <w:lang w:eastAsia="zh-CN"/>
        </w:rPr>
        <w:t>基于这一背景，本文从人—机—料—法—环视角考察高校生物实验室安全管理，将人员行为、设备设施、样本试剂、制度流程和实验环境纳入同一分析框架。该思路便于把危险源辨识、事故成因分析、风险分级控制和反馈整改等安全工程方法嵌入实验室管理过程，从而提高管理的规范性和可操作性。</w:t>
      </w:r>
    </w:p>
    <w:p w14:paraId="6EA8D539">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为增强研究背景的直观性，本文在理论阐述之外补充典型实验室安全操作与事故风险场景示例。生物安全柜内样本处理能够反映高校生物实验活动对设备防护、规范操作和人员培训的依赖，如图1-1所示；生物材料泄漏处置和实验室火灾损毁场景则说明，一旦人员、设备、材料或环境控制不到位，风险可能由局部隐患转化为实际事故，如图1-2、图1-3所示。上述图示从正常操作、泄漏处置和事故后果三个层面说明了研究高校生物实验室安全管理的现实必要性。</w:t>
      </w:r>
    </w:p>
    <w:p w14:paraId="1EE3558D">
      <w:pPr>
        <w:jc w:val="center"/>
      </w:pPr>
      <w:r>
        <w:drawing>
          <wp:inline distT="0" distB="0" distL="114300" distR="114300">
            <wp:extent cx="3150870" cy="2160270"/>
            <wp:effectExtent l="0" t="0" r="1143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3150870" cy="2160270"/>
                    </a:xfrm>
                    <a:prstGeom prst="rect">
                      <a:avLst/>
                    </a:prstGeom>
                  </pic:spPr>
                </pic:pic>
              </a:graphicData>
            </a:graphic>
          </wp:inline>
        </w:drawing>
      </w:r>
    </w:p>
    <w:p w14:paraId="47BC7D46">
      <w:pPr>
        <w:jc w:val="center"/>
      </w:pPr>
      <w:r>
        <w:rPr>
          <w:rFonts w:hint="eastAsia" w:ascii="黑体" w:hAnsi="Times" w:eastAsia="黑体" w:cs="Times New Roman"/>
          <w:kern w:val="2"/>
          <w:sz w:val="21"/>
          <w:szCs w:val="21"/>
          <w:lang w:eastAsia="zh-CN"/>
        </w:rPr>
        <w:t>图1-1 生物安全柜内样本处理示例（来源：CDC Public Health Image Library）</w:t>
      </w:r>
    </w:p>
    <w:p w14:paraId="0DB83BF6">
      <w:pPr>
        <w:jc w:val="center"/>
      </w:pPr>
      <w:r>
        <w:drawing>
          <wp:inline distT="0" distB="0" distL="114300" distR="114300">
            <wp:extent cx="3239770" cy="2160270"/>
            <wp:effectExtent l="0" t="0" r="1778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3239770" cy="2160270"/>
                    </a:xfrm>
                    <a:prstGeom prst="rect">
                      <a:avLst/>
                    </a:prstGeom>
                  </pic:spPr>
                </pic:pic>
              </a:graphicData>
            </a:graphic>
          </wp:inline>
        </w:drawing>
      </w:r>
    </w:p>
    <w:p w14:paraId="40D7B3E6">
      <w:pPr>
        <w:jc w:val="center"/>
        <w:rPr>
          <w:rFonts w:hint="eastAsia" w:ascii="黑体" w:hAnsi="Times" w:eastAsia="黑体" w:cs="Times New Roman"/>
          <w:kern w:val="2"/>
          <w:sz w:val="21"/>
          <w:szCs w:val="21"/>
          <w:lang w:eastAsia="zh-CN"/>
        </w:rPr>
      </w:pPr>
      <w:r>
        <w:rPr>
          <w:rFonts w:hint="eastAsia" w:ascii="黑体" w:hAnsi="Times" w:eastAsia="黑体" w:cs="Times New Roman"/>
          <w:kern w:val="2"/>
          <w:sz w:val="21"/>
          <w:szCs w:val="21"/>
          <w:lang w:eastAsia="zh-CN"/>
        </w:rPr>
        <w:t>图1-2 生物材料泄漏处置示例（来源：George Washington University Office of Research Safety）</w:t>
      </w:r>
    </w:p>
    <w:p w14:paraId="722D9370">
      <w:pPr>
        <w:jc w:val="center"/>
      </w:pPr>
      <w:r>
        <w:drawing>
          <wp:inline distT="0" distB="0" distL="114300" distR="114300">
            <wp:extent cx="2722880" cy="2160270"/>
            <wp:effectExtent l="0" t="0" r="1270"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tretch>
                      <a:fillRect/>
                    </a:stretch>
                  </pic:blipFill>
                  <pic:spPr>
                    <a:xfrm>
                      <a:off x="0" y="0"/>
                      <a:ext cx="2722880" cy="2160270"/>
                    </a:xfrm>
                    <a:prstGeom prst="rect">
                      <a:avLst/>
                    </a:prstGeom>
                  </pic:spPr>
                </pic:pic>
              </a:graphicData>
            </a:graphic>
          </wp:inline>
        </w:drawing>
      </w:r>
    </w:p>
    <w:p w14:paraId="71D1A5DF">
      <w:pPr>
        <w:jc w:val="center"/>
      </w:pPr>
      <w:r>
        <w:rPr>
          <w:rFonts w:hint="eastAsia" w:ascii="黑体" w:hAnsi="Times" w:eastAsia="黑体" w:cs="Times New Roman"/>
          <w:kern w:val="2"/>
          <w:sz w:val="21"/>
          <w:szCs w:val="21"/>
          <w:lang w:eastAsia="zh-CN"/>
        </w:rPr>
        <w:t>图1-3 实验室火灾损毁现场示例（来源：Wikimedia Commons，Wiki Chemistry，CC BY-SA 4.0）</w:t>
      </w:r>
    </w:p>
    <w:p w14:paraId="4540994B">
      <w:pPr>
        <w:keepNext/>
        <w:spacing w:after="0" w:line="360" w:lineRule="auto"/>
        <w:ind w:firstLine="480" w:firstLineChars="200"/>
        <w:outlineLvl w:val="1"/>
        <w:rPr>
          <w:lang w:eastAsia="zh-CN"/>
        </w:rPr>
      </w:pPr>
      <w:bookmarkStart w:id="8" w:name="_Toc29175"/>
      <w:bookmarkStart w:id="9" w:name="_Toc23872"/>
      <w:r>
        <w:rPr>
          <w:rFonts w:ascii="Times New Roman" w:hAnsi="Times New Roman" w:eastAsia="黑体" w:cs="黑体"/>
          <w:sz w:val="24"/>
          <w:lang w:eastAsia="zh-CN"/>
        </w:rPr>
        <w:t>1.2　研究意义</w:t>
      </w:r>
      <w:bookmarkEnd w:id="8"/>
      <w:bookmarkEnd w:id="9"/>
    </w:p>
    <w:p w14:paraId="5A459EE5">
      <w:pPr>
        <w:spacing w:after="0" w:line="360" w:lineRule="auto"/>
        <w:ind w:firstLine="480"/>
        <w:jc w:val="both"/>
        <w:rPr>
          <w:lang w:eastAsia="zh-CN"/>
        </w:rPr>
      </w:pPr>
      <w:r>
        <w:rPr>
          <w:rFonts w:ascii="Times New Roman" w:hAnsi="Times New Roman" w:eastAsia="宋体" w:cs="Times New Roman"/>
          <w:sz w:val="24"/>
          <w:lang w:eastAsia="zh-CN"/>
        </w:rPr>
        <w:t>在理论层面，本文把人机料法环分析思路引入高校生物实验室安全管理研究，将安全问题拆分为人员、设备、材料、方法和环境五个维度进行讨论。该视角有助于把较为分散的安全现象纳入同一分析框架，避免只从制度条文或个别事故经验</w:t>
      </w:r>
      <w:r>
        <w:rPr>
          <w:rFonts w:hint="eastAsia" w:cs="Times New Roman"/>
          <w:sz w:val="24"/>
          <w:lang w:eastAsia="zh-CN"/>
        </w:rPr>
        <w:t>去解释</w:t>
      </w:r>
      <w:r>
        <w:rPr>
          <w:rFonts w:ascii="Times New Roman" w:hAnsi="Times New Roman" w:eastAsia="宋体" w:cs="Times New Roman"/>
          <w:sz w:val="24"/>
          <w:lang w:eastAsia="zh-CN"/>
        </w:rPr>
        <w:t>问题。通过对各要素及其相互关系的梳理，本文可以进一步说明高校生物实验室风险形成的内在逻辑，为相关研究提供较为清晰的分析路径。</w:t>
      </w:r>
    </w:p>
    <w:p w14:paraId="3BEDB06D">
      <w:pPr>
        <w:spacing w:after="0" w:line="360" w:lineRule="auto"/>
        <w:ind w:firstLine="480"/>
        <w:jc w:val="both"/>
        <w:rPr>
          <w:lang w:eastAsia="zh-CN"/>
        </w:rPr>
      </w:pPr>
      <w:r>
        <w:rPr>
          <w:rFonts w:ascii="Times New Roman" w:hAnsi="Times New Roman" w:eastAsia="宋体" w:cs="Times New Roman"/>
          <w:sz w:val="24"/>
          <w:lang w:eastAsia="zh-CN"/>
        </w:rPr>
        <w:t>实践层面，高校生物实验室安全管理涵盖责任落实、培训考核、设备设施、样本和试剂管理、操作规范以及环境控制等内容，任一环节薄弱都会影响整体效果。本文按人、机、料、法、环展开讨论，旨在梳理现实问题并为后续对策提供依据，使研究更贴近高校实验室运行场景。</w:t>
      </w:r>
    </w:p>
    <w:p w14:paraId="28961B64">
      <w:pPr>
        <w:spacing w:after="0" w:line="360" w:lineRule="auto"/>
        <w:ind w:firstLine="480"/>
        <w:jc w:val="both"/>
        <w:rPr>
          <w:lang w:eastAsia="zh-CN"/>
        </w:rPr>
      </w:pPr>
      <w:r>
        <w:rPr>
          <w:rFonts w:ascii="Times New Roman" w:hAnsi="Times New Roman" w:eastAsia="宋体" w:cs="Times New Roman"/>
          <w:sz w:val="24"/>
          <w:lang w:eastAsia="zh-CN"/>
        </w:rPr>
        <w:t>安全工程视角下，实验室安全管理并非单纯的行政管理问题，而是风险识别、风险评价和风险控制相结合的过程。本文在人机料法环框架基础上结合鱼骨图、事故树、风险矩阵、PDCA改进等方法，使问题分析更清楚、改进措施更具体，也避免论文停留在一般性号召层面。</w:t>
      </w:r>
    </w:p>
    <w:p w14:paraId="21A5A458">
      <w:pPr>
        <w:keepNext/>
        <w:spacing w:after="0" w:line="360" w:lineRule="auto"/>
        <w:ind w:firstLine="480" w:firstLineChars="200"/>
        <w:outlineLvl w:val="1"/>
        <w:rPr>
          <w:lang w:eastAsia="zh-CN"/>
        </w:rPr>
      </w:pPr>
      <w:bookmarkStart w:id="10" w:name="_Toc23966"/>
      <w:bookmarkStart w:id="11" w:name="_Toc29405"/>
      <w:r>
        <w:rPr>
          <w:rFonts w:ascii="Times New Roman" w:hAnsi="Times New Roman" w:eastAsia="黑体" w:cs="黑体"/>
          <w:sz w:val="24"/>
          <w:lang w:eastAsia="zh-CN"/>
        </w:rPr>
        <w:t>1.3　国内外研究现状</w:t>
      </w:r>
      <w:bookmarkEnd w:id="10"/>
      <w:bookmarkEnd w:id="11"/>
    </w:p>
    <w:p w14:paraId="6A9E95B7">
      <w:pPr>
        <w:spacing w:after="0" w:line="360" w:lineRule="auto"/>
        <w:ind w:firstLine="480" w:firstLineChars="200"/>
        <w:outlineLvl w:val="2"/>
        <w:rPr>
          <w:lang w:eastAsia="zh-CN"/>
        </w:rPr>
      </w:pPr>
      <w:bookmarkStart w:id="12" w:name="_Toc30313"/>
      <w:bookmarkStart w:id="13" w:name="_Toc191"/>
      <w:r>
        <w:rPr>
          <w:rFonts w:ascii="Times New Roman" w:hAnsi="Times New Roman" w:eastAsia="楷体_GB2312"/>
          <w:sz w:val="24"/>
          <w:lang w:eastAsia="zh-CN"/>
        </w:rPr>
        <w:t>1.3.1　国外实验室生物安全管理研究现状</w:t>
      </w:r>
      <w:bookmarkEnd w:id="12"/>
      <w:bookmarkEnd w:id="13"/>
    </w:p>
    <w:p w14:paraId="60E26DD6">
      <w:pPr>
        <w:spacing w:after="0" w:line="360" w:lineRule="auto"/>
        <w:ind w:firstLine="480"/>
        <w:jc w:val="both"/>
        <w:rPr>
          <w:lang w:eastAsia="zh-CN"/>
        </w:rPr>
      </w:pPr>
      <w:r>
        <w:t>国外高校和科研机构较早将实验室安全纳入大学治理与科研伦理管理体系。欧美高校通常强调实验室准入、风险评估、分级培训和责任追踪，并通过安全手册、在线课程、现场审核等方式维持实验室运行秩序。世界卫生组织实验室生物安全手册</w:t>
      </w:r>
      <w:r>
        <w:rPr>
          <w:vertAlign w:val="superscript"/>
        </w:rPr>
        <w:t>[17]</w:t>
      </w:r>
      <w:r>
        <w:t>和美国CDC、NIH的相关指南</w:t>
      </w:r>
      <w:r>
        <w:rPr>
          <w:vertAlign w:val="superscript"/>
        </w:rPr>
        <w:t>[18]</w:t>
      </w:r>
      <w:r>
        <w:t>均强调，应依据实验对象、操作过程、人员能力和设施条件确定安全控制措施。</w:t>
      </w:r>
    </w:p>
    <w:p w14:paraId="699C9B35">
      <w:pPr>
        <w:spacing w:after="0" w:line="360" w:lineRule="auto"/>
        <w:ind w:firstLine="480"/>
        <w:jc w:val="both"/>
        <w:rPr>
          <w:lang w:eastAsia="zh-CN"/>
        </w:rPr>
      </w:pPr>
      <w:r>
        <w:t>在生物安全领域，国外研究更注重风险分级和过程控制。不同风险等级的实验活动需要匹配相应的设施条件、个人防护、操作规程和废弃物处理方式。ISO 35001:2019</w:t>
      </w:r>
      <w:r>
        <w:rPr>
          <w:vertAlign w:val="superscript"/>
        </w:rPr>
        <w:t>[15]</w:t>
      </w:r>
      <w:r>
        <w:t>对生物风险管理体系提出了组织责任、风险识别、能力培训和运行控制等要求，ISO 15190:2020</w:t>
      </w:r>
      <w:r>
        <w:rPr>
          <w:vertAlign w:val="superscript"/>
        </w:rPr>
        <w:t>[16]</w:t>
      </w:r>
      <w:r>
        <w:t>也从医学实验室角度强调人员防护、设施条件和持续监督。</w:t>
      </w:r>
    </w:p>
    <w:p w14:paraId="37FB32BF">
      <w:pPr>
        <w:spacing w:after="0" w:line="360" w:lineRule="auto"/>
        <w:ind w:firstLine="480"/>
        <w:jc w:val="both"/>
        <w:rPr>
          <w:lang w:eastAsia="zh-CN"/>
        </w:rPr>
      </w:pPr>
      <w:r>
        <w:t>国外高校还比较重视安全文化建设。相关研究认为，实验室安全不能仅依靠检查和处罚，还需要让研究人员形成主动报告隐患、遵守操作规程和参与改进的习惯。美国国家研究委员会</w:t>
      </w:r>
      <w:r>
        <w:rPr>
          <w:vertAlign w:val="superscript"/>
        </w:rPr>
        <w:t>[20]</w:t>
      </w:r>
      <w:r>
        <w:t>和美国化学会</w:t>
      </w:r>
      <w:r>
        <w:rPr>
          <w:vertAlign w:val="superscript"/>
        </w:rPr>
        <w:t>[21]</w:t>
      </w:r>
      <w:r>
        <w:t>关于高校实验室安全文化的报告，都强调管理层、导师和学生在安全责任传递中的作用。</w:t>
      </w:r>
    </w:p>
    <w:p w14:paraId="3AD691D8">
      <w:pPr>
        <w:spacing w:after="0" w:line="360" w:lineRule="auto"/>
        <w:ind w:firstLine="480"/>
        <w:jc w:val="both"/>
        <w:rPr>
          <w:lang w:eastAsia="zh-CN"/>
        </w:rPr>
      </w:pPr>
      <w:r>
        <w:t>在技术手段方面，国外实验室管理逐步引入信息化平台，对人员培训记录、设备维护、试剂库存、废弃物转运和安全检查结果进行记录。Prudent Practices in the Laboratory</w:t>
      </w:r>
      <w:r>
        <w:rPr>
          <w:vertAlign w:val="superscript"/>
        </w:rPr>
        <w:t>[19]</w:t>
      </w:r>
      <w:r>
        <w:t>和OSHA实验室标准</w:t>
      </w:r>
      <w:r>
        <w:rPr>
          <w:vertAlign w:val="superscript"/>
        </w:rPr>
        <w:t>[22]</w:t>
      </w:r>
      <w:r>
        <w:t>也体现出将危险识别、暴露控制、人员培训和废弃物处置纳入连续管理的思路。</w:t>
      </w:r>
    </w:p>
    <w:p w14:paraId="54A5D7BF">
      <w:pPr>
        <w:spacing w:after="0" w:line="360" w:lineRule="auto"/>
        <w:ind w:firstLine="480"/>
        <w:jc w:val="both"/>
        <w:rPr>
          <w:lang w:eastAsia="zh-CN"/>
        </w:rPr>
      </w:pPr>
      <w:r>
        <w:rPr>
          <w:rFonts w:ascii="Times New Roman" w:hAnsi="Times New Roman" w:eastAsia="宋体"/>
          <w:sz w:val="24"/>
          <w:lang w:eastAsia="zh-CN"/>
        </w:rPr>
        <w:t>总体来看，国外研究和实践在制度体系、培训机制、风险分级和信息记录方面较为成熟，但不同国家和高校的管理方式仍受经费投入、学科结构和法律环境影响。对我国高校而言，国外经验可以提供借鉴，但不能简单照搬，仍需结合国内高校生物实验室的教学科研特点进行调整。</w:t>
      </w:r>
    </w:p>
    <w:p w14:paraId="795290C7">
      <w:pPr>
        <w:spacing w:after="0" w:line="360" w:lineRule="auto"/>
        <w:ind w:firstLine="480"/>
        <w:jc w:val="both"/>
        <w:rPr>
          <w:lang w:eastAsia="zh-CN"/>
        </w:rPr>
      </w:pPr>
      <w:r>
        <w:rPr>
          <w:rFonts w:ascii="Times New Roman" w:hAnsi="Times New Roman" w:eastAsia="宋体"/>
          <w:sz w:val="24"/>
          <w:lang w:eastAsia="zh-CN"/>
        </w:rPr>
        <w:t>因此，国外相关成果对本文的启示主要体现在三个方面：一是重视风险评估在实验室管理中的基础作用；二是将人员能力建设作为长期任务；三是通过标准化流程和信息化记录提高管理连续性。这些内容为后文分析我国高校生物实验室安全管理问题提供了参照。</w:t>
      </w:r>
    </w:p>
    <w:p w14:paraId="6F890CB0">
      <w:pPr>
        <w:spacing w:after="0" w:line="360" w:lineRule="auto"/>
        <w:ind w:firstLine="480" w:firstLineChars="200"/>
        <w:outlineLvl w:val="2"/>
        <w:rPr>
          <w:lang w:eastAsia="zh-CN"/>
        </w:rPr>
      </w:pPr>
      <w:bookmarkStart w:id="14" w:name="_Toc18245"/>
      <w:bookmarkStart w:id="15" w:name="_Toc32072"/>
      <w:r>
        <w:rPr>
          <w:rFonts w:ascii="Times New Roman" w:hAnsi="Times New Roman" w:eastAsia="楷体_GB2312"/>
          <w:sz w:val="24"/>
          <w:lang w:eastAsia="zh-CN"/>
        </w:rPr>
        <w:t>1.3.2　国内高校实验室安全管理研究现状</w:t>
      </w:r>
      <w:bookmarkEnd w:id="14"/>
      <w:bookmarkEnd w:id="15"/>
    </w:p>
    <w:p w14:paraId="77B8B970">
      <w:pPr>
        <w:spacing w:after="0" w:line="360" w:lineRule="auto"/>
        <w:ind w:firstLine="480"/>
        <w:jc w:val="both"/>
        <w:rPr>
          <w:lang w:eastAsia="zh-CN"/>
        </w:rPr>
      </w:pPr>
      <w:r>
        <w:t>国内关于高校实验室安全管理的研究起步虽晚于国外，但近年来成果增长较快。随着高校科研平台数量增加、学科交叉程度提高以及实验室安全事故风险受到关注，实验室安全逐渐从后勤管理议题转变为高校治理和人才培养的重要内容。</w:t>
      </w:r>
      <w:r>
        <w:rPr>
          <w:rFonts w:hint="eastAsia"/>
          <w:lang w:eastAsia="zh-CN"/>
        </w:rPr>
        <w:t>《中华人民共和国生物安全法》</w:t>
      </w:r>
      <w:r>
        <w:t>实施后，病原微生物实验室活动、生物技术研究安全和生物资源管理等内容也受到更多重视</w:t>
      </w:r>
      <w:r>
        <w:rPr>
          <w:vertAlign w:val="superscript"/>
        </w:rPr>
        <w:t>[10]</w:t>
      </w:r>
      <w:r>
        <w:t>。</w:t>
      </w:r>
    </w:p>
    <w:p w14:paraId="04AF077C">
      <w:pPr>
        <w:spacing w:after="0" w:line="360" w:lineRule="auto"/>
        <w:ind w:firstLine="480"/>
        <w:jc w:val="both"/>
        <w:rPr>
          <w:lang w:eastAsia="zh-CN"/>
        </w:rPr>
      </w:pPr>
      <w:r>
        <w:t>在制度建设方面，许多学者认为高校应建立覆盖学校、学院、实验室和个人岗位的责任体系，并明确安全检查、准入培训、危化品管理、废弃物处置和事故报告等要求。</w:t>
      </w:r>
      <w:r>
        <w:rPr>
          <w:rFonts w:hint="eastAsia"/>
          <w:lang w:eastAsia="zh-CN"/>
        </w:rPr>
        <w:t>《病原微生物实验室生物安全管理条例》</w:t>
      </w:r>
      <w:r>
        <w:rPr>
          <w:vertAlign w:val="superscript"/>
        </w:rPr>
        <w:t>[11]</w:t>
      </w:r>
      <w:r>
        <w:t>、实验室生物安全通用要求</w:t>
      </w:r>
      <w:r>
        <w:rPr>
          <w:vertAlign w:val="superscript"/>
        </w:rPr>
        <w:t>[13]</w:t>
      </w:r>
      <w:r>
        <w:t>以及高等学校实验室安全规范</w:t>
      </w:r>
      <w:r>
        <w:rPr>
          <w:vertAlign w:val="superscript"/>
        </w:rPr>
        <w:t>[12]</w:t>
      </w:r>
      <w:r>
        <w:t>，为高校实验室安全管理提供了重要依据。</w:t>
      </w:r>
    </w:p>
    <w:p w14:paraId="49BED505">
      <w:pPr>
        <w:spacing w:after="0" w:line="360" w:lineRule="auto"/>
        <w:ind w:firstLine="480"/>
        <w:jc w:val="both"/>
        <w:rPr>
          <w:lang w:eastAsia="zh-CN"/>
        </w:rPr>
      </w:pPr>
      <w:r>
        <w:t>在人员管理方面，国内研究普遍关注学生安全意识不足、培训形式单一和操作能力差异较大等问题。黄凯</w:t>
      </w:r>
      <w:r>
        <w:rPr>
          <w:vertAlign w:val="superscript"/>
        </w:rPr>
        <w:t>[4]</w:t>
      </w:r>
      <w:r>
        <w:t>、吴林根和王国兴</w:t>
      </w:r>
      <w:r>
        <w:rPr>
          <w:vertAlign w:val="superscript"/>
        </w:rPr>
        <w:t>[5]</w:t>
      </w:r>
      <w:r>
        <w:t>从高校实验室安全管理实践出发，强调安全教育、全过程管理、检查整改和条件保障之间的配合关系。这些研究说明，人员管理不能只依靠一次性培训，还需要与岗位责任和日常检</w:t>
      </w:r>
      <w:bookmarkStart w:id="106" w:name="_GoBack"/>
      <w:r>
        <w:rPr>
          <w:rFonts w:hint="eastAsia"/>
          <w:lang w:eastAsia="zh-CN"/>
        </w:rPr>
        <w:t>查</w:t>
      </w:r>
      <w:bookmarkEnd w:id="106"/>
      <w:r>
        <w:t>结合。</w:t>
      </w:r>
    </w:p>
    <w:p w14:paraId="38FF0AC4">
      <w:pPr>
        <w:spacing w:after="0" w:line="360" w:lineRule="auto"/>
        <w:ind w:firstLine="480"/>
        <w:jc w:val="both"/>
        <w:rPr>
          <w:lang w:eastAsia="zh-CN"/>
        </w:rPr>
      </w:pPr>
      <w:r>
        <w:t>在风险评价和信息化管理方面，已有研究尝试运用层次分析法、模糊综合评价法、风险矩阵等方法识别实验室风险等级，也有高校建设了实验室安全管理平台，用于记录设备、试剂、人员和检查结果。席超等</w:t>
      </w:r>
      <w:r>
        <w:rPr>
          <w:vertAlign w:val="superscript"/>
        </w:rPr>
        <w:t>[6]</w:t>
      </w:r>
      <w:r>
        <w:t>关于高校生物类院系实验室安全管理的研究，也提示应把责任体系、准入教育、场所设施、生物安全和废弃物管理纳入统一框架。</w:t>
      </w:r>
    </w:p>
    <w:p w14:paraId="2B4CD4E6">
      <w:pPr>
        <w:spacing w:after="0" w:line="360" w:lineRule="auto"/>
        <w:ind w:firstLine="480"/>
        <w:jc w:val="both"/>
        <w:rPr>
          <w:lang w:eastAsia="zh-CN"/>
        </w:rPr>
      </w:pPr>
      <w:r>
        <w:t>与此同时，国内研究也开始关注实验室安全教育体系和安全文化建设。魏燕等</w:t>
      </w:r>
      <w:r>
        <w:rPr>
          <w:vertAlign w:val="superscript"/>
        </w:rPr>
        <w:t>[29]</w:t>
      </w:r>
      <w:r>
        <w:t>关于高校实验室安全教育体系的研究表明，安全教育需要覆盖新生入学、实验前准入、专项培训和日常复训等多个阶段。近年来，部分高校还将线上考试、准入系统、隐患上报平台和实验室信息牌结合使用，以提高安全管理的可视化程度和可追溯性。由此看，国内研究已由单一制度建设逐步转向责任、教育、检查、设施、文化和信息化协同推进。</w:t>
      </w:r>
    </w:p>
    <w:p w14:paraId="3D905146">
      <w:pPr>
        <w:spacing w:after="0" w:line="360" w:lineRule="auto"/>
        <w:ind w:firstLine="480"/>
        <w:jc w:val="both"/>
        <w:rPr>
          <w:lang w:eastAsia="zh-CN"/>
        </w:rPr>
      </w:pPr>
      <w:r>
        <w:rPr>
          <w:rFonts w:ascii="Times New Roman" w:hAnsi="Times New Roman" w:eastAsia="宋体"/>
          <w:sz w:val="24"/>
          <w:lang w:eastAsia="zh-CN"/>
        </w:rPr>
        <w:t>总体而言，国内研究已经形成较为丰富的成果，但针对高校生物实验室这一具体对象的综合分析仍显不足。生物实验室既包含一般实验室共有的安全问题，又涉及病原微生物、细胞培养、动物实验和生物废弃物等特殊风险。因此，有必要从人机料法环角度进行综合分析，以提高问题识别的完整性。</w:t>
      </w:r>
    </w:p>
    <w:p w14:paraId="648ABC79">
      <w:pPr>
        <w:spacing w:after="0" w:line="360" w:lineRule="auto"/>
        <w:ind w:firstLine="480" w:firstLineChars="200"/>
        <w:outlineLvl w:val="2"/>
        <w:rPr>
          <w:lang w:eastAsia="zh-CN"/>
        </w:rPr>
      </w:pPr>
      <w:bookmarkStart w:id="16" w:name="_Toc2083"/>
      <w:bookmarkStart w:id="17" w:name="_Toc19788"/>
      <w:r>
        <w:rPr>
          <w:rFonts w:ascii="Times New Roman" w:hAnsi="Times New Roman" w:eastAsia="楷体_GB2312"/>
          <w:sz w:val="24"/>
          <w:lang w:eastAsia="zh-CN"/>
        </w:rPr>
        <w:t>1.3.3　人机料法环及相关方法研究现状</w:t>
      </w:r>
      <w:bookmarkEnd w:id="16"/>
      <w:bookmarkEnd w:id="17"/>
    </w:p>
    <w:p w14:paraId="396D6A30">
      <w:pPr>
        <w:spacing w:after="0" w:line="360" w:lineRule="auto"/>
        <w:ind w:firstLine="480"/>
        <w:jc w:val="both"/>
        <w:rPr>
          <w:lang w:eastAsia="zh-CN"/>
        </w:rPr>
      </w:pPr>
      <w:r>
        <w:t>人机料法环又称5M1E分析思路，常用于质量管理和安全管理领域。该方法将影响系统运行状态的因素归纳为人员、机器设备、材料、方法和环境五个方面，通过逐项分析找出风险来源和管理薄弱环节。聂鹏宇等</w:t>
      </w:r>
      <w:r>
        <w:rPr>
          <w:vertAlign w:val="superscript"/>
        </w:rPr>
        <w:t>[7]</w:t>
      </w:r>
      <w:r>
        <w:t>、解瑞辉等</w:t>
      </w:r>
      <w:r>
        <w:rPr>
          <w:vertAlign w:val="superscript"/>
        </w:rPr>
        <w:t>[8]</w:t>
      </w:r>
      <w:r>
        <w:t>将该思路用于实验室和检验检测管理研究，说明其适合分析人员资质、设备维护、材料控制、操作流程和环境监控等问题。</w:t>
      </w:r>
    </w:p>
    <w:p w14:paraId="358F936C">
      <w:pPr>
        <w:spacing w:after="0" w:line="360" w:lineRule="auto"/>
        <w:ind w:firstLine="480"/>
        <w:jc w:val="both"/>
        <w:rPr>
          <w:lang w:eastAsia="zh-CN"/>
        </w:rPr>
      </w:pPr>
      <w:r>
        <w:t>在应急管理和安全管理领域，人机料法环模型也逐渐向人机料法环测扩展。姚红梅等</w:t>
      </w:r>
      <w:r>
        <w:rPr>
          <w:vertAlign w:val="superscript"/>
        </w:rPr>
        <w:t>[9]</w:t>
      </w:r>
      <w:r>
        <w:t>在医院疫情防控研究中，将人员调配、设备保障、物资储备、流程优化、环境消毒和质量监测结合起来，体现出该模型在复杂场景中的适用性。该研究也提示，测这一维度可以补充传统五要素在动态监测、过程评价和风险预警方面的不足。在高校生物实验室场景下，监测评价维度可与安全检查、隐患统计、设备检测和台账追溯等工作相对应。</w:t>
      </w:r>
    </w:p>
    <w:p w14:paraId="601763DC">
      <w:pPr>
        <w:spacing w:after="0" w:line="360" w:lineRule="auto"/>
        <w:ind w:firstLine="480"/>
        <w:jc w:val="both"/>
        <w:rPr>
          <w:lang w:eastAsia="zh-CN"/>
        </w:rPr>
      </w:pPr>
      <w:r>
        <w:rPr>
          <w:rFonts w:ascii="Times New Roman" w:hAnsi="Times New Roman" w:eastAsia="宋体"/>
          <w:sz w:val="24"/>
          <w:lang w:eastAsia="zh-CN"/>
        </w:rPr>
        <w:t>在高校生物实验室中，人主要指学生、教师、实验技术人员和管理人员；机包括生物安全柜、离心机、高压灭菌锅、超净工作台、冰箱、培养箱等仪器设备；料包括菌株、细胞、动物组织、试剂、耗材和实验废弃物；法包括实验操作规程、准入制度、培训制度、检查制度和应急预案；环则包括实验室空间布局、通风条件、温湿度、标识系统和安全文化氛围。</w:t>
      </w:r>
    </w:p>
    <w:p w14:paraId="7C5ECFA7">
      <w:pPr>
        <w:spacing w:after="0" w:line="360" w:lineRule="auto"/>
        <w:ind w:firstLine="480"/>
        <w:jc w:val="both"/>
        <w:rPr>
          <w:lang w:eastAsia="zh-CN"/>
        </w:rPr>
      </w:pPr>
      <w:r>
        <w:rPr>
          <w:rFonts w:ascii="Times New Roman" w:hAnsi="Times New Roman" w:eastAsia="宋体"/>
          <w:sz w:val="24"/>
          <w:lang w:eastAsia="zh-CN"/>
        </w:rPr>
        <w:t>上述五类因素并不是彼此孤立的。例如，设备维护不到位会增加操作风险，人员培训不足又可能导致设备误用；试剂分类不清会影响废弃物处置，制度执行不严也会削弱环境管理效果。因此，本文采用人机料法环视角，既关注各类要素本身，也关注要素之间的相互作用。</w:t>
      </w:r>
    </w:p>
    <w:p w14:paraId="5C51269D">
      <w:pPr>
        <w:spacing w:after="0" w:line="360" w:lineRule="auto"/>
        <w:ind w:firstLine="480"/>
        <w:jc w:val="both"/>
        <w:rPr>
          <w:lang w:eastAsia="zh-CN"/>
        </w:rPr>
      </w:pPr>
      <w:r>
        <w:t>相关研究显示，人机料法环框架与安全工程方法具有互补关系。Reason</w:t>
      </w:r>
      <w:r>
        <w:rPr>
          <w:vertAlign w:val="superscript"/>
        </w:rPr>
        <w:t>[23][24]</w:t>
      </w:r>
      <w:r>
        <w:t>的组织事故理论、Rasmussen</w:t>
      </w:r>
      <w:r>
        <w:rPr>
          <w:vertAlign w:val="superscript"/>
        </w:rPr>
        <w:t>[25]</w:t>
      </w:r>
      <w:r>
        <w:t>的动态风险管理研究和Hollnagel</w:t>
      </w:r>
      <w:r>
        <w:rPr>
          <w:vertAlign w:val="superscript"/>
        </w:rPr>
        <w:t>[26]</w:t>
      </w:r>
      <w:r>
        <w:t>的安全研究，均提示实验室风险往往来源于组织管理、现场条件和人员行为的共同作用。同时，ISO 31000:2018</w:t>
      </w:r>
      <w:r>
        <w:rPr>
          <w:vertAlign w:val="superscript"/>
        </w:rPr>
        <w:t>[27]</w:t>
      </w:r>
      <w:r>
        <w:t>和IEC 31010:2019</w:t>
      </w:r>
      <w:r>
        <w:rPr>
          <w:vertAlign w:val="superscript"/>
        </w:rPr>
        <w:t>[28]</w:t>
      </w:r>
      <w:r>
        <w:t>为风险识别、分析和评价提供了方法参考。</w:t>
      </w:r>
    </w:p>
    <w:p w14:paraId="30433312">
      <w:pPr>
        <w:spacing w:after="0" w:line="360" w:lineRule="auto"/>
        <w:ind w:firstLine="480" w:firstLineChars="200"/>
        <w:outlineLvl w:val="2"/>
        <w:rPr>
          <w:lang w:eastAsia="zh-CN"/>
        </w:rPr>
      </w:pPr>
      <w:bookmarkStart w:id="18" w:name="_Toc23463"/>
      <w:bookmarkStart w:id="19" w:name="_Toc9173"/>
      <w:r>
        <w:rPr>
          <w:rFonts w:ascii="Times New Roman" w:hAnsi="Times New Roman" w:eastAsia="楷体_GB2312"/>
          <w:sz w:val="24"/>
          <w:lang w:eastAsia="zh-CN"/>
        </w:rPr>
        <w:t>1.3.4　现有研究评述</w:t>
      </w:r>
      <w:bookmarkEnd w:id="18"/>
      <w:bookmarkEnd w:id="19"/>
    </w:p>
    <w:p w14:paraId="1D0B11CF">
      <w:pPr>
        <w:spacing w:after="0" w:line="360" w:lineRule="auto"/>
        <w:ind w:firstLine="480"/>
        <w:jc w:val="both"/>
        <w:rPr>
          <w:lang w:eastAsia="zh-CN"/>
        </w:rPr>
      </w:pPr>
      <w:r>
        <w:rPr>
          <w:rFonts w:ascii="Times New Roman" w:hAnsi="Times New Roman" w:eastAsia="宋体"/>
          <w:sz w:val="24"/>
          <w:lang w:eastAsia="zh-CN"/>
        </w:rPr>
        <w:t>综上所述，已有研究为高校生物实验室安全管理提供了重要基础，但仍存在三个方面需要进一步讨论。第一，部分研究重视制度建设，却对制度在具体实验流程中的执行效果关注不足；第二，针对生物实验室特殊风险的综合分析仍不够充分；第三，对人员、设备、材料、方法和环境之间联动关系的解释仍有拓展空间。</w:t>
      </w:r>
    </w:p>
    <w:p w14:paraId="4CB6E4A0">
      <w:pPr>
        <w:spacing w:after="0" w:line="360" w:lineRule="auto"/>
        <w:ind w:firstLine="480"/>
        <w:jc w:val="both"/>
        <w:rPr>
          <w:lang w:eastAsia="zh-CN"/>
        </w:rPr>
      </w:pPr>
      <w:r>
        <w:rPr>
          <w:rFonts w:ascii="Times New Roman" w:hAnsi="Times New Roman" w:eastAsia="宋体"/>
          <w:sz w:val="24"/>
          <w:lang w:eastAsia="zh-CN"/>
        </w:rPr>
        <w:t>基于此，本文以高校生物实验室为研究对象，在梳理相关文献和管理实践的基础上，运用人机料法环分析框架，对安全管理现状、问题表现、原因和改进路径进行系统讨论。该研究既关注制度和流程，也关注人员行为、设备维护、材料流转和环境条件等日常管理环节。</w:t>
      </w:r>
    </w:p>
    <w:p w14:paraId="1F6DB155">
      <w:pPr>
        <w:spacing w:after="0" w:line="360" w:lineRule="auto"/>
        <w:ind w:firstLine="480"/>
        <w:jc w:val="both"/>
        <w:rPr>
          <w:lang w:eastAsia="zh-CN"/>
        </w:rPr>
      </w:pPr>
      <w:r>
        <w:rPr>
          <w:rFonts w:ascii="Times New Roman" w:hAnsi="Times New Roman" w:eastAsia="宋体"/>
          <w:sz w:val="24"/>
          <w:lang w:eastAsia="zh-CN"/>
        </w:rPr>
        <w:t>本文的研究重点不在于提出抽象化的管理口号，而是结合高校生物实验室运行特点，分析安全风险如何在具体场景中形成，并提出相对可行的管理优化建议。通过这种方式，本文希望为高校改进生物实验室安全管理提供一定参考。</w:t>
      </w:r>
    </w:p>
    <w:p w14:paraId="4E38D03C">
      <w:pPr>
        <w:keepNext/>
        <w:spacing w:after="0" w:line="360" w:lineRule="auto"/>
        <w:ind w:firstLine="480" w:firstLineChars="200"/>
        <w:outlineLvl w:val="1"/>
        <w:rPr>
          <w:lang w:eastAsia="zh-CN"/>
        </w:rPr>
      </w:pPr>
      <w:bookmarkStart w:id="20" w:name="_Toc19830"/>
      <w:bookmarkStart w:id="21" w:name="_Toc17970"/>
      <w:r>
        <w:rPr>
          <w:rFonts w:ascii="Times New Roman" w:hAnsi="Times New Roman" w:eastAsia="黑体" w:cs="黑体"/>
          <w:sz w:val="24"/>
          <w:lang w:eastAsia="zh-CN"/>
        </w:rPr>
        <w:t>1.4　研究思路与方法</w:t>
      </w:r>
      <w:bookmarkEnd w:id="20"/>
      <w:bookmarkEnd w:id="21"/>
    </w:p>
    <w:p w14:paraId="74997D23">
      <w:pPr>
        <w:spacing w:after="0" w:line="360" w:lineRule="auto"/>
        <w:ind w:firstLine="480"/>
        <w:jc w:val="both"/>
        <w:rPr>
          <w:lang w:eastAsia="zh-CN"/>
        </w:rPr>
      </w:pPr>
      <w:r>
        <w:rPr>
          <w:rFonts w:ascii="Times New Roman" w:hAnsi="Times New Roman" w:eastAsia="宋体" w:cs="Times New Roman"/>
          <w:sz w:val="24"/>
          <w:lang w:eastAsia="zh-CN"/>
        </w:rPr>
        <w:t>本文围绕高校生物实验室安全管理问题展开研究。首先，梳理国内外实验室安全管理研究成果和相关理论基础，明确人机料法环分析框架的适用性；其次，结合高校生物实验室运行特点，从人员、设备、材料、方法和环境五个方面分析安全管理现状与问题；再次，进一步探讨问题产生的原因；最后，提出具有针对性的管理优化建议。</w:t>
      </w:r>
    </w:p>
    <w:p w14:paraId="3F62A4C5">
      <w:pPr>
        <w:spacing w:after="0" w:line="360" w:lineRule="auto"/>
        <w:ind w:firstLine="480"/>
        <w:jc w:val="both"/>
        <w:rPr>
          <w:lang w:eastAsia="zh-CN"/>
        </w:rPr>
      </w:pPr>
      <w:r>
        <w:rPr>
          <w:rFonts w:ascii="Times New Roman" w:hAnsi="Times New Roman" w:eastAsia="宋体" w:cs="Times New Roman"/>
          <w:sz w:val="24"/>
          <w:lang w:eastAsia="zh-CN"/>
        </w:rPr>
        <w:t>本文主要采用文献研究法、归纳分析法和案例分析法。文献研究法用于整理高校实验室安全管理、生物安全和风险控制等方面的研究成果；归纳分析法用于概括高校生物实验室安全管理中的共性问题；案例分析法则用于结合典型风险场景说明问题表现和改进方向。</w:t>
      </w:r>
    </w:p>
    <w:p w14:paraId="4657F98D">
      <w:pPr>
        <w:spacing w:after="0" w:line="360" w:lineRule="auto"/>
        <w:ind w:firstLine="480"/>
        <w:jc w:val="both"/>
        <w:rPr>
          <w:lang w:eastAsia="zh-CN"/>
        </w:rPr>
      </w:pPr>
      <w:r>
        <w:rPr>
          <w:rFonts w:ascii="Times New Roman" w:hAnsi="Times New Roman" w:eastAsia="宋体" w:cs="Times New Roman"/>
          <w:sz w:val="24"/>
          <w:lang w:eastAsia="zh-CN"/>
        </w:rPr>
        <w:t>在研究过程中，本文坚持问题导向和系统分析相结合。一方面，从高校生物实验室日常管理中常见的培训、设备、试剂、制度和环境问题入手；另一方面，将这些问题放入人机料法环框架中进行综合分析，以避免只关注局部现象。</w:t>
      </w:r>
    </w:p>
    <w:p w14:paraId="380D63D9">
      <w:pPr>
        <w:spacing w:after="0" w:line="360" w:lineRule="auto"/>
        <w:ind w:firstLine="480"/>
        <w:jc w:val="both"/>
        <w:rPr>
          <w:lang w:eastAsia="zh-CN"/>
        </w:rPr>
      </w:pPr>
      <w:r>
        <w:t>技术路线图主要用于把研究步骤、研究方法和章节之间的逻辑关系以流程化方式呈现，使论文的研究路径更加清晰。本文在梳理研究背景和文献基础的前提下，按照现状分析、问题诊断、成因分析、对策提出和结论总结的顺序展开研究。本文的研究框架如图1-4所示。</w:t>
      </w:r>
    </w:p>
    <w:p w14:paraId="74BC5C90">
      <w:pPr>
        <w:keepNext/>
        <w:keepLines/>
        <w:spacing w:after="0" w:line="360" w:lineRule="auto"/>
        <w:jc w:val="center"/>
      </w:pPr>
      <w:r>
        <w:drawing>
          <wp:inline distT="0" distB="0" distL="114300" distR="114300">
            <wp:extent cx="548640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486400" cy="4114800"/>
                    </a:xfrm>
                    <a:prstGeom prst="rect">
                      <a:avLst/>
                    </a:prstGeom>
                  </pic:spPr>
                </pic:pic>
              </a:graphicData>
            </a:graphic>
          </wp:inline>
        </w:drawing>
      </w:r>
    </w:p>
    <w:p w14:paraId="7937ED41">
      <w:pPr>
        <w:jc w:val="center"/>
        <w:rPr>
          <w:rFonts w:hint="eastAsia" w:ascii="黑体" w:hAnsi="Times" w:eastAsia="黑体" w:cs="Times New Roman"/>
          <w:kern w:val="2"/>
          <w:sz w:val="21"/>
          <w:szCs w:val="21"/>
          <w:lang w:eastAsia="zh-CN"/>
        </w:rPr>
      </w:pPr>
      <w:r>
        <w:rPr>
          <w:rFonts w:hint="eastAsia" w:ascii="黑体" w:hAnsi="Times" w:eastAsia="黑体" w:cs="Times New Roman"/>
          <w:kern w:val="2"/>
          <w:sz w:val="21"/>
          <w:szCs w:val="21"/>
          <w:lang w:eastAsia="zh-CN"/>
        </w:rPr>
        <w:t>图1-4 技术路线图</w:t>
      </w:r>
    </w:p>
    <w:p w14:paraId="7195DB02">
      <w:pPr>
        <w:spacing w:after="0" w:line="360" w:lineRule="auto"/>
        <w:jc w:val="center"/>
        <w:rPr>
          <w:lang w:eastAsia="zh-CN"/>
        </w:rPr>
      </w:pPr>
    </w:p>
    <w:p w14:paraId="1CFFDA6F">
      <w:pPr>
        <w:spacing w:after="0" w:line="360" w:lineRule="auto"/>
        <w:ind w:firstLine="480"/>
        <w:jc w:val="both"/>
        <w:rPr>
          <w:lang w:eastAsia="zh-CN"/>
        </w:rPr>
      </w:pPr>
    </w:p>
    <w:p w14:paraId="1E6B8DCC">
      <w:pPr>
        <w:pageBreakBefore/>
        <w:spacing w:after="0" w:line="360" w:lineRule="auto"/>
        <w:rPr>
          <w:lang w:eastAsia="zh-CN"/>
        </w:rPr>
      </w:pPr>
      <w:r>
        <w:rPr>
          <w:szCs w:val="24"/>
          <w:lang w:eastAsia="zh-CN"/>
        </w:rPr>
        <w:t xml:space="preserve"> </w:t>
      </w:r>
    </w:p>
    <w:p w14:paraId="13BD2053">
      <w:pPr>
        <w:keepNext/>
        <w:spacing w:after="360" w:line="360" w:lineRule="auto"/>
        <w:jc w:val="center"/>
        <w:outlineLvl w:val="0"/>
      </w:pPr>
      <w:bookmarkStart w:id="22" w:name="_Toc16417"/>
      <w:r>
        <w:rPr>
          <w:rFonts w:ascii="Times New Roman" w:hAnsi="Times New Roman" w:eastAsia="黑体" w:cs="黑体"/>
          <w:sz w:val="32"/>
          <w:lang w:eastAsia="zh-CN"/>
        </w:rPr>
        <w:t>第2章  高校生物实验室安全管理现状</w:t>
      </w:r>
      <w:bookmarkEnd w:id="22"/>
    </w:p>
    <w:p w14:paraId="1C5D56B9">
      <w:pPr>
        <w:keepNext/>
        <w:spacing w:after="0" w:line="360" w:lineRule="auto"/>
        <w:ind w:firstLine="480" w:firstLineChars="200"/>
        <w:outlineLvl w:val="1"/>
      </w:pPr>
      <w:bookmarkStart w:id="23" w:name="_Toc30316"/>
      <w:r>
        <w:rPr>
          <w:rFonts w:ascii="Times New Roman" w:hAnsi="Times New Roman" w:eastAsia="黑体" w:cs="黑体"/>
          <w:sz w:val="24"/>
          <w:lang w:eastAsia="zh-CN"/>
        </w:rPr>
        <w:t>2.1  高校生物实验室安全管理的基本情况</w:t>
      </w:r>
      <w:bookmarkEnd w:id="23"/>
    </w:p>
    <w:p w14:paraId="69D4BB20">
      <w:pPr>
        <w:spacing w:before="0" w:after="0" w:line="360" w:lineRule="auto"/>
        <w:ind w:firstLine="480"/>
        <w:jc w:val="both"/>
      </w:pPr>
      <w:r>
        <w:rPr>
          <w:rFonts w:ascii="Times New Roman" w:hAnsi="Times New Roman" w:eastAsia="宋体"/>
          <w:b w:val="0"/>
          <w:sz w:val="24"/>
        </w:rPr>
        <w:t>高校生物实验室是高校开展生命科学实验教学、科研训练和创新实践的重要空间，其安全管理对象不仅包括一般实验室中的用电、消防、设备和化学试剂，还包括微生物、细胞、动物组织、培养基、感染性废弃物等具有生物风险属性的对象。与普通教学实验室相比，生物实验室的风险更具有隐蔽性、过程性和扩散性，很多隐患在发生初期并不容易被直接感知，但一旦人员防护、样本管理、设备运行或废弃物处置出现缺口，就可能影响实验室内部环境、实验结果可靠性以及师生身体健康。因此，高校生物实验室安全管理不能只理解为实验前的安全提醒，而应当贯穿人员进入、实验准备、实验操作、样本保存、废弃物处置和异常情况复盘等全过程。</w:t>
      </w:r>
    </w:p>
    <w:p w14:paraId="06F80B94">
      <w:pPr>
        <w:spacing w:before="0" w:after="0" w:line="360" w:lineRule="auto"/>
        <w:ind w:firstLine="480"/>
        <w:jc w:val="both"/>
      </w:pPr>
      <w:r>
        <w:rPr>
          <w:rFonts w:ascii="Times New Roman" w:hAnsi="Times New Roman" w:eastAsia="宋体"/>
          <w:b w:val="0"/>
          <w:sz w:val="24"/>
        </w:rPr>
        <w:t>从管理主体看，高校生物实验室通常形成学校、学院、实验室和个人岗位四个层级的责任结构。学校层面主要负责制定实验室安全管理制度、组织安全检查、推动信息化平台建设和开展校级培训；学院层面承担专业化管理职责，需要结合学科特点细化安全要求；实验室层面直接面对设备使用、样本试剂管理、人员准入和现场秩序维护；个人岗位层面则具体落实操作规范、记录填写、隐患报告和应急处置要求。已有研究指出，高校实验室安全管理需要把责任体系、制度建设、教育培训和条件保障结合起来，不能将安全责任停留在笼统表述上</w:t>
      </w:r>
      <w:r>
        <w:rPr>
          <w:rFonts w:ascii="Times New Roman" w:hAnsi="Times New Roman" w:eastAsia="宋体"/>
          <w:b w:val="0"/>
          <w:sz w:val="24"/>
          <w:vertAlign w:val="superscript"/>
        </w:rPr>
        <w:t>[3][4][5]</w:t>
      </w:r>
      <w:r>
        <w:rPr>
          <w:rFonts w:ascii="Times New Roman" w:hAnsi="Times New Roman" w:eastAsia="宋体"/>
          <w:b w:val="0"/>
          <w:sz w:val="24"/>
        </w:rPr>
        <w:t>。</w:t>
      </w:r>
    </w:p>
    <w:p w14:paraId="59C3EF4F">
      <w:pPr>
        <w:spacing w:before="0" w:after="0" w:line="360" w:lineRule="auto"/>
        <w:ind w:firstLine="480"/>
        <w:jc w:val="both"/>
      </w:pPr>
      <w:r>
        <w:rPr>
          <w:rFonts w:ascii="Times New Roman" w:hAnsi="Times New Roman" w:eastAsia="宋体"/>
          <w:b w:val="0"/>
          <w:sz w:val="24"/>
        </w:rPr>
        <w:t>从管理内容看，高校生物实验室的安全工作大体包括人员培训与准入、危险源识别与风险评估、重点设备设施管理、试剂样本与耗材管理、生物废弃物分类处置、实验场所环境维护、应急预案与演练、日常检查与隐患整改等环节。上述环节相互关联，例如人员培训会影响设备使用和废弃物分类效果，样本台账是否完整会影响事故追溯，现场环境是否清晰会影响应急处置速度。因此，生物实验室管理具有明显的系统性，单独强化某一项制度，难以完全解决实验室运行中的复合风险。</w:t>
      </w:r>
    </w:p>
    <w:p w14:paraId="0900753C">
      <w:pPr>
        <w:spacing w:before="0" w:after="0" w:line="360" w:lineRule="auto"/>
        <w:ind w:firstLine="480"/>
        <w:jc w:val="both"/>
      </w:pPr>
      <w:r>
        <w:rPr>
          <w:rFonts w:ascii="Times New Roman" w:hAnsi="Times New Roman" w:eastAsia="宋体"/>
          <w:b w:val="0"/>
          <w:sz w:val="24"/>
        </w:rPr>
        <w:t>在教学实验室中，安全管理往往与课程安排、学生批量进入和实验指导密切相关。本科教学实验具有参与人数多、实验时间集中、操作熟练程度差异大的特点。学生在短时间内接触移液、离心、培养、染色、消毒和废弃物分类等步骤，如果教师或实验技术人员没有在实验前进行充分说明，或者现场指导力量不足，就容易出现操作顺序混乱、防护用品使用不规范、实验后清理不到位等问题。教学实验的风险一般不一定来自高等级病原体，而更多来自基础操作不熟练、现场秩序管理难度大和学生风险意识不足。</w:t>
      </w:r>
    </w:p>
    <w:p w14:paraId="6E0B87B6">
      <w:pPr>
        <w:spacing w:before="0" w:after="0" w:line="360" w:lineRule="auto"/>
        <w:ind w:firstLine="480"/>
        <w:jc w:val="both"/>
      </w:pPr>
      <w:r>
        <w:rPr>
          <w:rFonts w:ascii="Times New Roman" w:hAnsi="Times New Roman" w:eastAsia="宋体"/>
          <w:b w:val="0"/>
          <w:sz w:val="24"/>
        </w:rPr>
        <w:t>在科研实验室中，安全管理则更受课题方向、实验周期和人员流动影响。研究生和科研人员长期使用实验室，实验内容可能涉及细胞培养、分子生物学操作、动物样本处理、低温保存和感染性废弃物处置等内容，实验周期较长、样本类型较多、记录链条也更复杂。若课题组内部管理不细，可能出现试剂长期存放、样本标签不规范、低温冰箱清理不及时、设备共享记录不完整等问题。科研实验室还常常面临新成员入组、毕业离组、项目交接等情况，如果交接制度不完善，材料和设备管理风险会进一步增加。</w:t>
      </w:r>
    </w:p>
    <w:p w14:paraId="3919BD33">
      <w:pPr>
        <w:spacing w:before="0" w:after="0" w:line="360" w:lineRule="auto"/>
        <w:ind w:firstLine="480"/>
        <w:jc w:val="both"/>
      </w:pPr>
      <w:r>
        <w:rPr>
          <w:rFonts w:ascii="Times New Roman" w:hAnsi="Times New Roman" w:eastAsia="宋体"/>
          <w:b w:val="0"/>
          <w:sz w:val="24"/>
        </w:rPr>
        <w:t>从制度基础看，多数高校已经建立了实验室安全责任制度、准入培训制度、检查整改制度和危险废弃物处置制度，并通过线上考试、巡查通报、隐患整改台账等方式推动落实。高等学校实验室安全规范和实验室生物安全相关标准也为高校实验室安全管理提供了依据</w:t>
      </w:r>
      <w:r>
        <w:rPr>
          <w:rFonts w:ascii="Times New Roman" w:hAnsi="Times New Roman" w:eastAsia="宋体"/>
          <w:b w:val="0"/>
          <w:sz w:val="24"/>
          <w:vertAlign w:val="superscript"/>
        </w:rPr>
        <w:t>[12][13]</w:t>
      </w:r>
      <w:r>
        <w:rPr>
          <w:rFonts w:ascii="Times New Roman" w:hAnsi="Times New Roman" w:eastAsia="宋体"/>
          <w:b w:val="0"/>
          <w:sz w:val="24"/>
        </w:rPr>
        <w:t>。但在实际运行中，不同学院、不同课题组、不同实验室之间的执行精细化程度仍然存在差异。有的实验室能够做到台账清楚、责任明确、检查连续；也有一些实验室存在制度文本较完整但现场落实不足的问题。</w:t>
      </w:r>
    </w:p>
    <w:p w14:paraId="6768D7EC">
      <w:pPr>
        <w:spacing w:before="0" w:after="0" w:line="360" w:lineRule="auto"/>
        <w:ind w:firstLine="480"/>
        <w:jc w:val="both"/>
      </w:pPr>
      <w:r>
        <w:rPr>
          <w:rFonts w:ascii="Times New Roman" w:hAnsi="Times New Roman" w:eastAsia="宋体"/>
          <w:b w:val="0"/>
          <w:sz w:val="24"/>
        </w:rPr>
        <w:t>总体来看，高校生物实验室安全管理已经从过去较为粗放的经验管理，逐步转向制度化、规范化和信息化管理。但由于生物实验活动本身具有人员多样、材料复杂、设备专业、废弃物特殊和风险后果不易即时显现等特点，现阶段管理仍需要进一步加强全过程控制和多要素协同。为便于后文分析，表2-1从人、机、料、法、环五个维度归纳了高校生物实验室安全管理的主要内容。</w:t>
      </w:r>
    </w:p>
    <w:p w14:paraId="03114C5B">
      <w:r>
        <w:rPr>
          <w:rFonts w:ascii="Times New Roman" w:hAnsi="Times New Roman" w:eastAsia="宋体"/>
          <w:b w:val="0"/>
          <w:sz w:val="24"/>
        </w:rPr>
        <w:br w:type="page"/>
      </w:r>
    </w:p>
    <w:p w14:paraId="537840D8">
      <w:pPr>
        <w:spacing w:line="360" w:lineRule="auto"/>
        <w:ind w:firstLine="0"/>
        <w:jc w:val="center"/>
        <w:rPr>
          <w:b w:val="0"/>
          <w:bCs/>
        </w:rPr>
      </w:pPr>
      <w:r>
        <w:rPr>
          <w:rFonts w:ascii="Times New Roman" w:hAnsi="Times New Roman" w:eastAsia="黑体"/>
          <w:b w:val="0"/>
          <w:bCs/>
          <w:sz w:val="21"/>
        </w:rPr>
        <w:t>表2-1  高校生物实验室安全管理主要内容</w:t>
      </w:r>
    </w:p>
    <w:tbl>
      <w:tblPr>
        <w:tblStyle w:val="36"/>
        <w:tblW w:w="94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2"/>
        <w:gridCol w:w="3694"/>
        <w:gridCol w:w="2813"/>
        <w:gridCol w:w="2065"/>
      </w:tblGrid>
      <w:tr w14:paraId="49882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32" w:type="dxa"/>
            <w:tcBorders>
              <w:top w:val="single" w:color="000000" w:sz="12" w:space="0"/>
              <w:bottom w:val="single" w:color="000000" w:sz="8" w:space="0"/>
            </w:tcBorders>
            <w:shd w:val="clear" w:color="auto" w:fill="FFFFFF" w:themeFill="background1"/>
            <w:vAlign w:val="center"/>
          </w:tcPr>
          <w:p w14:paraId="6F16D4AA">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维度</w:t>
            </w:r>
          </w:p>
        </w:tc>
        <w:tc>
          <w:tcPr>
            <w:tcW w:w="3694" w:type="dxa"/>
            <w:tcBorders>
              <w:top w:val="single" w:color="000000" w:sz="12" w:space="0"/>
              <w:bottom w:val="single" w:color="000000" w:sz="8" w:space="0"/>
            </w:tcBorders>
            <w:shd w:val="clear" w:color="auto" w:fill="FFFFFF" w:themeFill="background1"/>
            <w:vAlign w:val="center"/>
          </w:tcPr>
          <w:p w14:paraId="0E4375E2">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主要管理内容</w:t>
            </w:r>
          </w:p>
        </w:tc>
        <w:tc>
          <w:tcPr>
            <w:tcW w:w="2813" w:type="dxa"/>
            <w:tcBorders>
              <w:top w:val="single" w:color="000000" w:sz="12" w:space="0"/>
              <w:bottom w:val="single" w:color="000000" w:sz="8" w:space="0"/>
            </w:tcBorders>
            <w:shd w:val="clear" w:color="auto" w:fill="FFFFFF" w:themeFill="background1"/>
            <w:vAlign w:val="center"/>
          </w:tcPr>
          <w:p w14:paraId="64753B11">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典型风险点</w:t>
            </w:r>
          </w:p>
        </w:tc>
        <w:tc>
          <w:tcPr>
            <w:tcW w:w="2065" w:type="dxa"/>
            <w:tcBorders>
              <w:top w:val="single" w:color="000000" w:sz="12" w:space="0"/>
              <w:bottom w:val="single" w:color="000000" w:sz="8" w:space="0"/>
            </w:tcBorders>
            <w:shd w:val="clear" w:color="auto" w:fill="FFFFFF" w:themeFill="background1"/>
            <w:vAlign w:val="center"/>
          </w:tcPr>
          <w:p w14:paraId="0FA52D2A">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管理目标</w:t>
            </w:r>
          </w:p>
        </w:tc>
      </w:tr>
      <w:tr w14:paraId="73389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2" w:type="dxa"/>
            <w:vAlign w:val="center"/>
          </w:tcPr>
          <w:p w14:paraId="677E85EB">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人员</w:t>
            </w:r>
          </w:p>
        </w:tc>
        <w:tc>
          <w:tcPr>
            <w:tcW w:w="3694" w:type="dxa"/>
            <w:vAlign w:val="center"/>
          </w:tcPr>
          <w:p w14:paraId="7FF910F0">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安全教育、实验室准入、岗位责任、行为规范、应急培训</w:t>
            </w:r>
          </w:p>
        </w:tc>
        <w:tc>
          <w:tcPr>
            <w:tcW w:w="2813" w:type="dxa"/>
            <w:vAlign w:val="center"/>
          </w:tcPr>
          <w:p w14:paraId="68DE191F">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违规操作、责任不清、报告迟缓、防护不到位</w:t>
            </w:r>
          </w:p>
        </w:tc>
        <w:tc>
          <w:tcPr>
            <w:tcW w:w="2065" w:type="dxa"/>
            <w:vAlign w:val="center"/>
          </w:tcPr>
          <w:p w14:paraId="3BC9C771">
            <w:pPr>
              <w:snapToGrid w:val="0"/>
              <w:spacing w:line="240" w:lineRule="auto"/>
              <w:ind w:left="0" w:leftChars="0" w:right="0" w:rightChars="0" w:firstLine="0" w:firstLineChars="0"/>
              <w:jc w:val="left"/>
              <w:rPr>
                <w:rFonts w:hint="eastAsia" w:ascii="宋体" w:hAnsi="宋体" w:eastAsia="宋体" w:cs="宋体"/>
                <w:b w:val="0"/>
                <w:bCs/>
                <w:sz w:val="21"/>
              </w:rPr>
            </w:pPr>
            <w:r>
              <w:rPr>
                <w:rFonts w:hint="eastAsia" w:ascii="宋体" w:hAnsi="宋体" w:eastAsia="宋体" w:cs="宋体"/>
                <w:b w:val="0"/>
                <w:bCs/>
                <w:sz w:val="21"/>
              </w:rPr>
              <w:t>提高风险识别和规范操作能力</w:t>
            </w:r>
          </w:p>
        </w:tc>
      </w:tr>
      <w:tr w14:paraId="125BE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2" w:type="dxa"/>
            <w:vAlign w:val="center"/>
          </w:tcPr>
          <w:p w14:paraId="608D8D7F">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设备</w:t>
            </w:r>
          </w:p>
        </w:tc>
        <w:tc>
          <w:tcPr>
            <w:tcW w:w="3694" w:type="dxa"/>
            <w:vAlign w:val="center"/>
          </w:tcPr>
          <w:p w14:paraId="15611411">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生物安全柜、离心机、高压灭菌锅、低温冰箱、通风设施等设备管理</w:t>
            </w:r>
          </w:p>
        </w:tc>
        <w:tc>
          <w:tcPr>
            <w:tcW w:w="2813" w:type="dxa"/>
            <w:vAlign w:val="center"/>
          </w:tcPr>
          <w:p w14:paraId="4B384BBB">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设备故障、维护滞后、共享记录缺失、防护失效</w:t>
            </w:r>
          </w:p>
        </w:tc>
        <w:tc>
          <w:tcPr>
            <w:tcW w:w="2065" w:type="dxa"/>
            <w:vAlign w:val="center"/>
          </w:tcPr>
          <w:p w14:paraId="3F99BB69">
            <w:pPr>
              <w:snapToGrid w:val="0"/>
              <w:spacing w:line="240" w:lineRule="auto"/>
              <w:ind w:left="0" w:leftChars="0" w:right="0" w:rightChars="0" w:firstLine="0" w:firstLineChars="0"/>
              <w:jc w:val="left"/>
              <w:rPr>
                <w:rFonts w:hint="eastAsia" w:ascii="宋体" w:hAnsi="宋体" w:eastAsia="宋体" w:cs="宋体"/>
                <w:b w:val="0"/>
                <w:bCs/>
                <w:sz w:val="21"/>
              </w:rPr>
            </w:pPr>
            <w:r>
              <w:rPr>
                <w:rFonts w:hint="eastAsia" w:ascii="宋体" w:hAnsi="宋体" w:eastAsia="宋体" w:cs="宋体"/>
                <w:b w:val="0"/>
                <w:bCs/>
                <w:sz w:val="21"/>
              </w:rPr>
              <w:t>保持设备可靠运行状态</w:t>
            </w:r>
          </w:p>
        </w:tc>
      </w:tr>
      <w:tr w14:paraId="19FF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2" w:type="dxa"/>
            <w:vAlign w:val="center"/>
          </w:tcPr>
          <w:p w14:paraId="12EE31F2">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材料</w:t>
            </w:r>
          </w:p>
        </w:tc>
        <w:tc>
          <w:tcPr>
            <w:tcW w:w="3694" w:type="dxa"/>
            <w:vAlign w:val="center"/>
          </w:tcPr>
          <w:p w14:paraId="1C8662D5">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样本、试剂、耗材、培养物、感染性废弃物和锐器废弃物管理</w:t>
            </w:r>
          </w:p>
        </w:tc>
        <w:tc>
          <w:tcPr>
            <w:tcW w:w="2813" w:type="dxa"/>
            <w:vAlign w:val="center"/>
          </w:tcPr>
          <w:p w14:paraId="64B694C8">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标签不清、台账缺失、混放混存、交接失控</w:t>
            </w:r>
          </w:p>
        </w:tc>
        <w:tc>
          <w:tcPr>
            <w:tcW w:w="2065" w:type="dxa"/>
            <w:vAlign w:val="center"/>
          </w:tcPr>
          <w:p w14:paraId="49D57DB1">
            <w:pPr>
              <w:snapToGrid w:val="0"/>
              <w:spacing w:line="240" w:lineRule="auto"/>
              <w:ind w:left="0" w:leftChars="0" w:right="0" w:rightChars="0" w:firstLine="0" w:firstLineChars="0"/>
              <w:jc w:val="left"/>
              <w:rPr>
                <w:rFonts w:hint="eastAsia" w:ascii="宋体" w:hAnsi="宋体" w:eastAsia="宋体" w:cs="宋体"/>
                <w:b w:val="0"/>
                <w:bCs/>
                <w:sz w:val="21"/>
              </w:rPr>
            </w:pPr>
            <w:r>
              <w:rPr>
                <w:rFonts w:hint="eastAsia" w:ascii="宋体" w:hAnsi="宋体" w:eastAsia="宋体" w:cs="宋体"/>
                <w:b w:val="0"/>
                <w:bCs/>
                <w:sz w:val="21"/>
              </w:rPr>
              <w:t>实现来源、使用和去向可追溯</w:t>
            </w:r>
          </w:p>
        </w:tc>
      </w:tr>
      <w:tr w14:paraId="4EF74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2" w:type="dxa"/>
            <w:vAlign w:val="center"/>
          </w:tcPr>
          <w:p w14:paraId="026FA223">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方法</w:t>
            </w:r>
          </w:p>
        </w:tc>
        <w:tc>
          <w:tcPr>
            <w:tcW w:w="3694" w:type="dxa"/>
            <w:vAlign w:val="center"/>
          </w:tcPr>
          <w:p w14:paraId="0AA744E8">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SOP、检查整改、事故报告、应急预案、培训考核流程</w:t>
            </w:r>
          </w:p>
        </w:tc>
        <w:tc>
          <w:tcPr>
            <w:tcW w:w="2813" w:type="dxa"/>
            <w:vAlign w:val="center"/>
          </w:tcPr>
          <w:p w14:paraId="4E9F1D60">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制度空泛、流程不细、整改不复查、预案不贴场景</w:t>
            </w:r>
          </w:p>
        </w:tc>
        <w:tc>
          <w:tcPr>
            <w:tcW w:w="2065" w:type="dxa"/>
            <w:vAlign w:val="center"/>
          </w:tcPr>
          <w:p w14:paraId="6E0D00E4">
            <w:pPr>
              <w:snapToGrid w:val="0"/>
              <w:spacing w:line="240" w:lineRule="auto"/>
              <w:ind w:left="0" w:leftChars="0" w:right="0" w:rightChars="0" w:firstLine="0" w:firstLineChars="0"/>
              <w:jc w:val="left"/>
              <w:rPr>
                <w:rFonts w:hint="eastAsia" w:ascii="宋体" w:hAnsi="宋体" w:eastAsia="宋体" w:cs="宋体"/>
                <w:b w:val="0"/>
                <w:bCs/>
                <w:sz w:val="21"/>
              </w:rPr>
            </w:pPr>
            <w:r>
              <w:rPr>
                <w:rFonts w:hint="eastAsia" w:ascii="宋体" w:hAnsi="宋体" w:eastAsia="宋体" w:cs="宋体"/>
                <w:b w:val="0"/>
                <w:bCs/>
                <w:sz w:val="21"/>
              </w:rPr>
              <w:t>提升制度执行力和处置一致性</w:t>
            </w:r>
          </w:p>
        </w:tc>
      </w:tr>
      <w:tr w14:paraId="3DDC6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2" w:type="dxa"/>
            <w:tcBorders>
              <w:bottom w:val="single" w:color="000000" w:sz="12" w:space="0"/>
            </w:tcBorders>
            <w:vAlign w:val="center"/>
          </w:tcPr>
          <w:p w14:paraId="09ED2639">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环境</w:t>
            </w:r>
          </w:p>
        </w:tc>
        <w:tc>
          <w:tcPr>
            <w:tcW w:w="3694" w:type="dxa"/>
            <w:tcBorders>
              <w:bottom w:val="single" w:color="000000" w:sz="12" w:space="0"/>
            </w:tcBorders>
            <w:vAlign w:val="center"/>
          </w:tcPr>
          <w:p w14:paraId="32E0EBF9">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空间布局、功能分区、通风照明、警示标识、清洁消毒、安全文化</w:t>
            </w:r>
          </w:p>
        </w:tc>
        <w:tc>
          <w:tcPr>
            <w:tcW w:w="2813" w:type="dxa"/>
            <w:tcBorders>
              <w:bottom w:val="single" w:color="000000" w:sz="12" w:space="0"/>
            </w:tcBorders>
            <w:vAlign w:val="center"/>
          </w:tcPr>
          <w:p w14:paraId="7622906A">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区域混用、标识不清、通道堵塞、现场秩序差</w:t>
            </w:r>
          </w:p>
        </w:tc>
        <w:tc>
          <w:tcPr>
            <w:tcW w:w="2065" w:type="dxa"/>
            <w:tcBorders>
              <w:bottom w:val="single" w:color="000000" w:sz="12" w:space="0"/>
            </w:tcBorders>
            <w:vAlign w:val="center"/>
          </w:tcPr>
          <w:p w14:paraId="6CFC0850">
            <w:pPr>
              <w:snapToGrid w:val="0"/>
              <w:spacing w:line="240" w:lineRule="auto"/>
              <w:ind w:left="0" w:leftChars="0" w:right="0" w:rightChars="0" w:firstLine="0" w:firstLineChars="0"/>
              <w:jc w:val="left"/>
              <w:rPr>
                <w:rFonts w:hint="eastAsia" w:ascii="宋体" w:hAnsi="宋体" w:eastAsia="宋体" w:cs="宋体"/>
                <w:b w:val="0"/>
                <w:bCs/>
                <w:sz w:val="21"/>
              </w:rPr>
            </w:pPr>
            <w:r>
              <w:rPr>
                <w:rFonts w:hint="eastAsia" w:ascii="宋体" w:hAnsi="宋体" w:eastAsia="宋体" w:cs="宋体"/>
                <w:b w:val="0"/>
                <w:bCs/>
                <w:sz w:val="21"/>
              </w:rPr>
              <w:t>营造安全、清晰、有序的实验环境</w:t>
            </w:r>
          </w:p>
        </w:tc>
      </w:tr>
    </w:tbl>
    <w:p w14:paraId="03176CAD">
      <w:pPr>
        <w:keepNext/>
        <w:spacing w:after="0" w:line="360" w:lineRule="auto"/>
        <w:ind w:firstLine="480" w:firstLineChars="200"/>
        <w:outlineLvl w:val="1"/>
        <w:rPr>
          <w:rFonts w:ascii="Times New Roman" w:hAnsi="Times New Roman" w:eastAsia="黑体" w:cs="黑体"/>
          <w:sz w:val="24"/>
          <w:lang w:eastAsia="zh-CN"/>
        </w:rPr>
      </w:pPr>
      <w:bookmarkStart w:id="24" w:name="_Toc20916"/>
      <w:r>
        <w:rPr>
          <w:rFonts w:ascii="Times New Roman" w:hAnsi="Times New Roman" w:eastAsia="黑体" w:cs="黑体"/>
          <w:sz w:val="24"/>
          <w:lang w:eastAsia="zh-CN"/>
        </w:rPr>
        <w:t>2.2  当前安全管理中存在的主要问题</w:t>
      </w:r>
      <w:bookmarkEnd w:id="24"/>
    </w:p>
    <w:p w14:paraId="4BD2C433">
      <w:pPr>
        <w:spacing w:before="0" w:after="0" w:line="360" w:lineRule="auto"/>
        <w:ind w:firstLine="480"/>
        <w:jc w:val="both"/>
      </w:pPr>
      <w:r>
        <w:rPr>
          <w:rFonts w:ascii="Times New Roman" w:hAnsi="Times New Roman" w:eastAsia="宋体"/>
          <w:b w:val="0"/>
          <w:sz w:val="24"/>
        </w:rPr>
        <w:t>尽管高校生物实验室安全管理水平已经不断提高，但从现有研究和实践情况看，管理中仍存在一些共性问题。这些问题并不是孤立存在的，而是与人员能力、设备状态、材料流转、制度执行和现场环境相互交织。生物实验室安全管理的难点在于，很多隐患往往表现为日常运行中的小问题，例如标签不统一、记录不及时、设备点检不连续、废弃物暂存时间较长等，但长期累积后就可能造成较大的管理风险。</w:t>
      </w:r>
    </w:p>
    <w:p w14:paraId="70E08381">
      <w:pPr>
        <w:spacing w:before="0" w:after="0" w:line="360" w:lineRule="auto"/>
        <w:ind w:firstLine="480"/>
        <w:jc w:val="both"/>
      </w:pPr>
      <w:r>
        <w:rPr>
          <w:rFonts w:ascii="Times New Roman" w:hAnsi="Times New Roman" w:eastAsia="宋体"/>
          <w:b w:val="0"/>
          <w:sz w:val="24"/>
        </w:rPr>
        <w:t>第一，人员培训和准入管理仍存在针对性不足的问题。多数高校已经建立了实验室准入考试和安全培训制度，但培训内容往往偏向通用安全知识，对生物实验室中的气溶胶风险、锐器伤处置、样本泄漏、废弃物分类、生物安全柜规范使用等内容覆盖不够细。对于本科生而言，安全培训如果主要停留在线上答题，容易形成“通过考试即完成培训”的认识；对于研究生和科研人员而言，如果课题相关风险没有经过导师或实验技术人员现场说明，也容易出现按经验操作的情况。人员问题的核心不只是“有没有培训”，还在于培训是否贴近真实实验任务，是否通过现场演示、操作考核和复训机制转化为稳定行为。</w:t>
      </w:r>
    </w:p>
    <w:p w14:paraId="64AAFA2F">
      <w:pPr>
        <w:spacing w:before="0" w:after="0" w:line="360" w:lineRule="auto"/>
        <w:ind w:firstLine="480"/>
        <w:jc w:val="both"/>
      </w:pPr>
      <w:r>
        <w:rPr>
          <w:rFonts w:ascii="Times New Roman" w:hAnsi="Times New Roman" w:eastAsia="宋体"/>
          <w:b w:val="0"/>
          <w:sz w:val="24"/>
        </w:rPr>
        <w:t>第二，设备设施维护和共享管理仍然不够连续。高校生物实验室常用的生物安全柜、离心机、高压灭菌锅、通风系统、培养箱、低温冰箱等设备，既是实验活动的基础条件，也是防止污染扩散和人员暴露的重要屏障。现实中，一些实验室重视设备采购和安装验收，但对后续维护、性能验证、状态标识和故障停用关注不足。共享设备使用人数多、使用频率高，如果缺少预约、授权、点检和故障反馈机制，设备异常就可能被忽视。特别是生物安全柜、灭菌设备和离心机等高风险设备，若性能验证不连续或使用记录不完整，就会直接削弱实验过程的安全防护能力。</w:t>
      </w:r>
    </w:p>
    <w:p w14:paraId="63B37F5D">
      <w:pPr>
        <w:spacing w:before="0" w:after="0" w:line="360" w:lineRule="auto"/>
        <w:ind w:firstLine="480"/>
        <w:jc w:val="both"/>
      </w:pPr>
      <w:r>
        <w:rPr>
          <w:rFonts w:ascii="Times New Roman" w:hAnsi="Times New Roman" w:eastAsia="宋体"/>
          <w:b w:val="0"/>
          <w:sz w:val="24"/>
        </w:rPr>
        <w:t>第三，样本、试剂和废弃物全过程管理仍然薄弱。生物实验室中的材料具有种类多、保存条件差异大、风险属性不同和追溯要求高等特点。现实中较为常见的问题包括样本标签内容不完整、试剂领用记录简化、公共冰箱样本长期堆积、废弃物分类标识不清、感染性废弃物和普通废弃物边界不明确等。材料管理不到位的后果不一定会立即表现为事故，但在发生样本污染、人员暴露、废弃物外溢或监管检查时，台账不完整和去向不清就会影响责任判断和风险处置。</w:t>
      </w:r>
    </w:p>
    <w:p w14:paraId="7F1C9F81">
      <w:pPr>
        <w:spacing w:before="0" w:after="0" w:line="360" w:lineRule="auto"/>
        <w:ind w:firstLine="480"/>
        <w:jc w:val="both"/>
      </w:pPr>
      <w:r>
        <w:rPr>
          <w:rFonts w:ascii="Times New Roman" w:hAnsi="Times New Roman" w:eastAsia="宋体"/>
          <w:b w:val="0"/>
          <w:sz w:val="24"/>
        </w:rPr>
        <w:t>第四，制度流程与现场执行之间仍有距离。高校实验室通常已经建立了安全制度，但部分制度较为原则化，缺少针对具体场景的操作指引。例如，制度中常见“规范操作”“及时报告”“妥善处置废弃物”等要求，但如果没有进一步明确谁负责、如何记录、何时复查、异常如何升级处理，实验人员在现场仍可能依赖个人经验。检查整改方面也存在类似问题，一些检查能够发现隐患，但整改措施、责任人、整改时限和复查结果记录不够完整，导致同类问题反复出现。</w:t>
      </w:r>
    </w:p>
    <w:p w14:paraId="22981445">
      <w:pPr>
        <w:spacing w:before="0" w:after="0" w:line="360" w:lineRule="auto"/>
        <w:ind w:firstLine="480"/>
        <w:jc w:val="both"/>
      </w:pPr>
      <w:r>
        <w:rPr>
          <w:rFonts w:ascii="Times New Roman" w:hAnsi="Times New Roman" w:eastAsia="宋体"/>
          <w:b w:val="0"/>
          <w:sz w:val="24"/>
        </w:rPr>
        <w:t>第五，现场环境和安全文化支撑不足。部分实验室由于空间有限、项目任务多，容易出现样本暂存区、试剂存放区、普通操作区和废弃物收集区边界不清的情况。现场物品摆放杂乱、通道被占用、标识不醒目、清洁消毒记录不连续，都会增加误操作和交叉污染风险。与物理环境相比，安全文化问题更隐蔽。有些实验人员在科研任务紧张时容易把实验进度放在首位，对轻微违规行为选择容忍，久而久之会削弱制度约束力。</w:t>
      </w:r>
    </w:p>
    <w:p w14:paraId="76998734">
      <w:pPr>
        <w:spacing w:before="0" w:after="0" w:line="360" w:lineRule="auto"/>
        <w:ind w:firstLine="480"/>
        <w:jc w:val="both"/>
      </w:pPr>
      <w:r>
        <w:rPr>
          <w:rFonts w:ascii="Times New Roman" w:hAnsi="Times New Roman" w:eastAsia="宋体"/>
          <w:b w:val="0"/>
          <w:sz w:val="24"/>
        </w:rPr>
        <w:t>第六，信息记录与监测预警能力仍需加强。高校实验室管理涉及培训记录、设备点检、样本台账、废弃物交接、检查整改、应急物资和事故复盘等多类数据。若这些信息分散在纸质记录、个人表格或不同系统中，就难以及时发现重复性隐患和趋势性问题。监测预警不足的后果是管理者只能在检查或事故后被动发现问题，而难以通过数据分析提前识别高风险设备、高频隐患和薄弱环节。</w:t>
      </w:r>
    </w:p>
    <w:p w14:paraId="076B53DE">
      <w:pPr>
        <w:spacing w:before="0" w:after="0" w:line="360" w:lineRule="auto"/>
        <w:ind w:firstLine="480"/>
        <w:jc w:val="both"/>
      </w:pPr>
      <w:r>
        <w:rPr>
          <w:rFonts w:ascii="Times New Roman" w:hAnsi="Times New Roman" w:eastAsia="宋体"/>
          <w:b w:val="0"/>
          <w:sz w:val="24"/>
        </w:rPr>
        <w:t>以上问题说明，高校生物实验室安全管理的不足并不只体现在单一环节，而是呈现出多因素耦合特征。人员培训不足会影响设备和材料的规范使用，设备维护不足会放大操作风险，材料台账不清会影响事故追溯，制度流程不细会削弱现场执行，环境秩序不佳又会降低人员遵章意识。为便于后续成因分析，表2-2对当前主要问题进行了归纳。</w:t>
      </w:r>
    </w:p>
    <w:p w14:paraId="3525DD97">
      <w:pPr>
        <w:jc w:val="center"/>
      </w:pPr>
      <w:r>
        <w:rPr>
          <w:rFonts w:ascii="Times New Roman" w:hAnsi="Times New Roman" w:eastAsia="黑体"/>
          <w:b w:val="0"/>
          <w:bCs/>
          <w:sz w:val="21"/>
        </w:rPr>
        <w:t>表2-2  当前高校生物实验室安全管理主要问题表现</w:t>
      </w:r>
    </w:p>
    <w:tbl>
      <w:tblPr>
        <w:tblStyle w:val="36"/>
        <w:tblW w:w="94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9"/>
        <w:gridCol w:w="3722"/>
        <w:gridCol w:w="2260"/>
        <w:gridCol w:w="2155"/>
      </w:tblGrid>
      <w:tr w14:paraId="06385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69" w:type="dxa"/>
            <w:tcBorders>
              <w:top w:val="single" w:color="000000" w:sz="12" w:space="0"/>
              <w:bottom w:val="single" w:color="000000" w:sz="8" w:space="0"/>
            </w:tcBorders>
            <w:shd w:val="clear" w:color="auto" w:fill="FFFFFF" w:themeFill="background1"/>
            <w:vAlign w:val="center"/>
          </w:tcPr>
          <w:p w14:paraId="6835D925">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问题维度</w:t>
            </w:r>
          </w:p>
        </w:tc>
        <w:tc>
          <w:tcPr>
            <w:tcW w:w="3722" w:type="dxa"/>
            <w:tcBorders>
              <w:top w:val="single" w:color="000000" w:sz="12" w:space="0"/>
              <w:bottom w:val="single" w:color="000000" w:sz="8" w:space="0"/>
            </w:tcBorders>
            <w:shd w:val="clear" w:color="auto" w:fill="FFFFFF" w:themeFill="background1"/>
            <w:vAlign w:val="center"/>
          </w:tcPr>
          <w:p w14:paraId="0B5E4020">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主要表现</w:t>
            </w:r>
          </w:p>
        </w:tc>
        <w:tc>
          <w:tcPr>
            <w:tcW w:w="2260" w:type="dxa"/>
            <w:tcBorders>
              <w:top w:val="single" w:color="000000" w:sz="12" w:space="0"/>
              <w:bottom w:val="single" w:color="000000" w:sz="8" w:space="0"/>
            </w:tcBorders>
            <w:shd w:val="clear" w:color="auto" w:fill="FFFFFF" w:themeFill="background1"/>
            <w:vAlign w:val="center"/>
          </w:tcPr>
          <w:p w14:paraId="14998539">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可能后果</w:t>
            </w:r>
          </w:p>
        </w:tc>
        <w:tc>
          <w:tcPr>
            <w:tcW w:w="2155" w:type="dxa"/>
            <w:tcBorders>
              <w:top w:val="single" w:color="000000" w:sz="12" w:space="0"/>
              <w:bottom w:val="single" w:color="000000" w:sz="8" w:space="0"/>
            </w:tcBorders>
            <w:shd w:val="clear" w:color="auto" w:fill="FFFFFF" w:themeFill="background1"/>
            <w:vAlign w:val="center"/>
          </w:tcPr>
          <w:p w14:paraId="410B345E">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现阶段不足</w:t>
            </w:r>
          </w:p>
        </w:tc>
      </w:tr>
      <w:tr w14:paraId="73A18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9" w:type="dxa"/>
            <w:vAlign w:val="center"/>
          </w:tcPr>
          <w:p w14:paraId="3C92FFE3">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人员</w:t>
            </w:r>
          </w:p>
        </w:tc>
        <w:tc>
          <w:tcPr>
            <w:tcW w:w="3722" w:type="dxa"/>
            <w:vAlign w:val="center"/>
          </w:tcPr>
          <w:p w14:paraId="7EC94062">
            <w:pPr>
              <w:snapToGrid w:val="0"/>
              <w:spacing w:line="240" w:lineRule="auto"/>
              <w:ind w:left="0" w:leftChars="0" w:right="0" w:rightChars="0" w:firstLine="0" w:firstLineChars="0"/>
              <w:jc w:val="left"/>
              <w:rPr>
                <w:rFonts w:ascii="Times New Roman" w:eastAsia="宋体"/>
                <w:b w:val="0"/>
                <w:bCs w:val="0"/>
                <w:sz w:val="21"/>
              </w:rPr>
            </w:pPr>
            <w:r>
              <w:rPr>
                <w:rFonts w:ascii="Times New Roman" w:hAnsi="Times New Roman" w:eastAsia="宋体"/>
                <w:b w:val="0"/>
                <w:bCs w:val="0"/>
                <w:sz w:val="21"/>
              </w:rPr>
              <w:t>培训泛化、准入审核不严、责任边界不清、应急能力不足</w:t>
            </w:r>
          </w:p>
        </w:tc>
        <w:tc>
          <w:tcPr>
            <w:tcW w:w="2260" w:type="dxa"/>
            <w:vAlign w:val="center"/>
          </w:tcPr>
          <w:p w14:paraId="66A09BB0">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误操作、暴露事故、异常报告迟缓</w:t>
            </w:r>
          </w:p>
        </w:tc>
        <w:tc>
          <w:tcPr>
            <w:tcW w:w="2155" w:type="dxa"/>
            <w:vAlign w:val="center"/>
          </w:tcPr>
          <w:p w14:paraId="460EF4F9">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重培训形式，轻现场考核和复训</w:t>
            </w:r>
          </w:p>
        </w:tc>
      </w:tr>
      <w:tr w14:paraId="5D810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9" w:type="dxa"/>
            <w:vAlign w:val="center"/>
          </w:tcPr>
          <w:p w14:paraId="12FD67DC">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设备</w:t>
            </w:r>
          </w:p>
        </w:tc>
        <w:tc>
          <w:tcPr>
            <w:tcW w:w="3722" w:type="dxa"/>
            <w:vAlign w:val="center"/>
          </w:tcPr>
          <w:p w14:paraId="0F738D43">
            <w:pPr>
              <w:snapToGrid w:val="0"/>
              <w:spacing w:line="240" w:lineRule="auto"/>
              <w:ind w:left="0" w:leftChars="0" w:right="0" w:rightChars="0" w:firstLine="0" w:firstLineChars="0"/>
              <w:jc w:val="left"/>
              <w:rPr>
                <w:rFonts w:ascii="Times New Roman" w:eastAsia="宋体"/>
                <w:b w:val="0"/>
                <w:bCs w:val="0"/>
                <w:sz w:val="21"/>
              </w:rPr>
            </w:pPr>
            <w:r>
              <w:rPr>
                <w:rFonts w:ascii="Times New Roman" w:hAnsi="Times New Roman" w:eastAsia="宋体"/>
                <w:b w:val="0"/>
                <w:bCs w:val="0"/>
                <w:sz w:val="21"/>
              </w:rPr>
              <w:t>维护校准不足、共享设备记录不全、防护设施检测不连续</w:t>
            </w:r>
          </w:p>
        </w:tc>
        <w:tc>
          <w:tcPr>
            <w:tcW w:w="2260" w:type="dxa"/>
            <w:vAlign w:val="center"/>
          </w:tcPr>
          <w:p w14:paraId="5D9EB7A7">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防护失效、样本泄漏、实验中断</w:t>
            </w:r>
          </w:p>
        </w:tc>
        <w:tc>
          <w:tcPr>
            <w:tcW w:w="2155" w:type="dxa"/>
            <w:vAlign w:val="center"/>
          </w:tcPr>
          <w:p w14:paraId="058E5C5F">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重采购配置，轻全寿命周期管理</w:t>
            </w:r>
          </w:p>
        </w:tc>
      </w:tr>
      <w:tr w14:paraId="6966D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9" w:type="dxa"/>
            <w:vAlign w:val="center"/>
          </w:tcPr>
          <w:p w14:paraId="5F4828C5">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材料</w:t>
            </w:r>
          </w:p>
        </w:tc>
        <w:tc>
          <w:tcPr>
            <w:tcW w:w="3722" w:type="dxa"/>
            <w:vAlign w:val="center"/>
          </w:tcPr>
          <w:p w14:paraId="6CA20A7C">
            <w:pPr>
              <w:snapToGrid w:val="0"/>
              <w:spacing w:line="240" w:lineRule="auto"/>
              <w:ind w:left="0" w:leftChars="0" w:right="0" w:rightChars="0" w:firstLine="0" w:firstLineChars="0"/>
              <w:jc w:val="left"/>
              <w:rPr>
                <w:rFonts w:ascii="Times New Roman" w:eastAsia="宋体"/>
                <w:b w:val="0"/>
                <w:bCs w:val="0"/>
                <w:sz w:val="21"/>
              </w:rPr>
            </w:pPr>
            <w:r>
              <w:rPr>
                <w:rFonts w:ascii="Times New Roman" w:hAnsi="Times New Roman" w:eastAsia="宋体"/>
                <w:b w:val="0"/>
                <w:bCs w:val="0"/>
                <w:sz w:val="21"/>
              </w:rPr>
              <w:t>样本标签不统一、试剂领用追溯弱、废弃物分类和转运不规范</w:t>
            </w:r>
          </w:p>
        </w:tc>
        <w:tc>
          <w:tcPr>
            <w:tcW w:w="2260" w:type="dxa"/>
            <w:vAlign w:val="center"/>
          </w:tcPr>
          <w:p w14:paraId="43378BC3">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交叉污染、环境风险、责任难追溯</w:t>
            </w:r>
          </w:p>
        </w:tc>
        <w:tc>
          <w:tcPr>
            <w:tcW w:w="2155" w:type="dxa"/>
            <w:vAlign w:val="center"/>
          </w:tcPr>
          <w:p w14:paraId="4475E822">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重末端处置，轻全过程控制</w:t>
            </w:r>
          </w:p>
        </w:tc>
      </w:tr>
      <w:tr w14:paraId="73AB3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9" w:type="dxa"/>
            <w:vAlign w:val="center"/>
          </w:tcPr>
          <w:p w14:paraId="38F78A32">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方法</w:t>
            </w:r>
          </w:p>
        </w:tc>
        <w:tc>
          <w:tcPr>
            <w:tcW w:w="3722" w:type="dxa"/>
            <w:vAlign w:val="center"/>
          </w:tcPr>
          <w:p w14:paraId="1C8EDB3E">
            <w:pPr>
              <w:snapToGrid w:val="0"/>
              <w:spacing w:line="240" w:lineRule="auto"/>
              <w:ind w:left="0" w:leftChars="0" w:right="0" w:rightChars="0" w:firstLine="0" w:firstLineChars="0"/>
              <w:jc w:val="left"/>
              <w:rPr>
                <w:rFonts w:ascii="Times New Roman" w:eastAsia="宋体"/>
                <w:b w:val="0"/>
                <w:bCs w:val="0"/>
                <w:sz w:val="21"/>
              </w:rPr>
            </w:pPr>
            <w:r>
              <w:rPr>
                <w:rFonts w:ascii="Times New Roman" w:hAnsi="Times New Roman" w:eastAsia="宋体"/>
                <w:b w:val="0"/>
                <w:bCs w:val="0"/>
                <w:sz w:val="21"/>
              </w:rPr>
              <w:t>SOP细化不足、事故报告不顺畅、整改复查不严</w:t>
            </w:r>
          </w:p>
        </w:tc>
        <w:tc>
          <w:tcPr>
            <w:tcW w:w="2260" w:type="dxa"/>
            <w:vAlign w:val="center"/>
          </w:tcPr>
          <w:p w14:paraId="7C4C263A">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制度空转、隐患反复、处置迟缓</w:t>
            </w:r>
          </w:p>
        </w:tc>
        <w:tc>
          <w:tcPr>
            <w:tcW w:w="2155" w:type="dxa"/>
            <w:vAlign w:val="center"/>
          </w:tcPr>
          <w:p w14:paraId="31EF7ABE">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重制度文本，轻场景化流程</w:t>
            </w:r>
          </w:p>
        </w:tc>
      </w:tr>
      <w:tr w14:paraId="49160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9" w:type="dxa"/>
            <w:vAlign w:val="center"/>
          </w:tcPr>
          <w:p w14:paraId="3BF9ED93">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环境</w:t>
            </w:r>
          </w:p>
        </w:tc>
        <w:tc>
          <w:tcPr>
            <w:tcW w:w="3722" w:type="dxa"/>
            <w:vAlign w:val="center"/>
          </w:tcPr>
          <w:p w14:paraId="6AF1E05C">
            <w:pPr>
              <w:snapToGrid w:val="0"/>
              <w:spacing w:line="240" w:lineRule="auto"/>
              <w:ind w:left="0" w:leftChars="0" w:right="0" w:rightChars="0" w:firstLine="0" w:firstLineChars="0"/>
              <w:jc w:val="left"/>
              <w:rPr>
                <w:rFonts w:ascii="Times New Roman" w:eastAsia="宋体"/>
                <w:b w:val="0"/>
                <w:bCs w:val="0"/>
                <w:sz w:val="21"/>
              </w:rPr>
            </w:pPr>
            <w:r>
              <w:rPr>
                <w:rFonts w:ascii="Times New Roman" w:hAnsi="Times New Roman" w:eastAsia="宋体"/>
                <w:b w:val="0"/>
                <w:bCs w:val="0"/>
                <w:sz w:val="21"/>
              </w:rPr>
              <w:t>分区不清、标识不醒目、通道和台面管理不稳定</w:t>
            </w:r>
          </w:p>
        </w:tc>
        <w:tc>
          <w:tcPr>
            <w:tcW w:w="2260" w:type="dxa"/>
            <w:vAlign w:val="center"/>
          </w:tcPr>
          <w:p w14:paraId="0298B47A">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误放误取、交叉污染、人员麻痹</w:t>
            </w:r>
          </w:p>
        </w:tc>
        <w:tc>
          <w:tcPr>
            <w:tcW w:w="2155" w:type="dxa"/>
            <w:vAlign w:val="center"/>
          </w:tcPr>
          <w:p w14:paraId="091B10A6">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重检查时整改，轻日常保持</w:t>
            </w:r>
          </w:p>
        </w:tc>
      </w:tr>
      <w:tr w14:paraId="58CFC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9" w:type="dxa"/>
            <w:tcBorders>
              <w:bottom w:val="single" w:color="000000" w:sz="12" w:space="0"/>
            </w:tcBorders>
            <w:vAlign w:val="center"/>
          </w:tcPr>
          <w:p w14:paraId="4C34284E">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监测</w:t>
            </w:r>
          </w:p>
        </w:tc>
        <w:tc>
          <w:tcPr>
            <w:tcW w:w="3722" w:type="dxa"/>
            <w:tcBorders>
              <w:bottom w:val="single" w:color="000000" w:sz="12" w:space="0"/>
            </w:tcBorders>
            <w:vAlign w:val="center"/>
          </w:tcPr>
          <w:p w14:paraId="57BB8D36">
            <w:pPr>
              <w:snapToGrid w:val="0"/>
              <w:spacing w:line="240" w:lineRule="auto"/>
              <w:ind w:left="0" w:leftChars="0" w:right="0" w:rightChars="0" w:firstLine="0" w:firstLineChars="0"/>
              <w:jc w:val="left"/>
              <w:rPr>
                <w:rFonts w:ascii="Times New Roman" w:eastAsia="宋体"/>
                <w:b w:val="0"/>
                <w:bCs w:val="0"/>
                <w:sz w:val="21"/>
              </w:rPr>
            </w:pPr>
            <w:r>
              <w:rPr>
                <w:rFonts w:ascii="Times New Roman" w:hAnsi="Times New Roman" w:eastAsia="宋体"/>
                <w:b w:val="0"/>
                <w:bCs w:val="0"/>
                <w:sz w:val="21"/>
              </w:rPr>
              <w:t>数据分散、隐患统计不足、风险预警能力弱</w:t>
            </w:r>
          </w:p>
        </w:tc>
        <w:tc>
          <w:tcPr>
            <w:tcW w:w="2260" w:type="dxa"/>
            <w:tcBorders>
              <w:bottom w:val="single" w:color="000000" w:sz="12" w:space="0"/>
            </w:tcBorders>
            <w:vAlign w:val="center"/>
          </w:tcPr>
          <w:p w14:paraId="3BFC8A5A">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问题发现滞后、整改效果难评价</w:t>
            </w:r>
          </w:p>
        </w:tc>
        <w:tc>
          <w:tcPr>
            <w:tcW w:w="2155" w:type="dxa"/>
            <w:tcBorders>
              <w:bottom w:val="single" w:color="000000" w:sz="12" w:space="0"/>
            </w:tcBorders>
            <w:vAlign w:val="center"/>
          </w:tcPr>
          <w:p w14:paraId="0F0C748F">
            <w:pPr>
              <w:snapToGrid w:val="0"/>
              <w:spacing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b w:val="0"/>
                <w:bCs w:val="0"/>
                <w:sz w:val="21"/>
              </w:rPr>
              <w:t>重单次检查，轻持续分析和反馈</w:t>
            </w:r>
          </w:p>
        </w:tc>
      </w:tr>
    </w:tbl>
    <w:p w14:paraId="75F02CF3">
      <w:pPr>
        <w:keepNext/>
        <w:spacing w:after="0" w:line="360" w:lineRule="auto"/>
        <w:ind w:firstLine="480" w:firstLineChars="200"/>
        <w:outlineLvl w:val="1"/>
        <w:rPr>
          <w:rFonts w:ascii="Times New Roman" w:hAnsi="Times New Roman" w:eastAsia="黑体" w:cs="黑体"/>
          <w:sz w:val="24"/>
          <w:lang w:eastAsia="zh-CN"/>
        </w:rPr>
      </w:pPr>
      <w:bookmarkStart w:id="25" w:name="_Toc17938"/>
      <w:r>
        <w:rPr>
          <w:rFonts w:ascii="Times New Roman" w:hAnsi="Times New Roman" w:eastAsia="黑体" w:cs="黑体"/>
          <w:sz w:val="24"/>
          <w:lang w:eastAsia="zh-CN"/>
        </w:rPr>
        <w:t>2.3  人机料法环在本文中的应用</w:t>
      </w:r>
      <w:bookmarkEnd w:id="25"/>
    </w:p>
    <w:p w14:paraId="56AE7779">
      <w:pPr>
        <w:spacing w:before="0" w:after="0" w:line="360" w:lineRule="auto"/>
        <w:ind w:firstLine="480"/>
        <w:jc w:val="both"/>
      </w:pPr>
      <w:r>
        <w:rPr>
          <w:rFonts w:ascii="Times New Roman" w:hAnsi="Times New Roman" w:eastAsia="宋体"/>
          <w:b w:val="0"/>
          <w:sz w:val="24"/>
        </w:rPr>
        <w:t>人机料法环是分析复杂系统运行状态和管理薄弱环节的常用思路。将其用于高校生物实验室安全管理，可以把抽象的安全问题分解到人员、设备、材料、方法和环境五类要素中，进而明确风险来源、责任对象和改进方向。与单纯罗列问题相比，人机料法环更强调系统性：一方面，它能够把复杂问题拆开分析；另一方面，它又要求分析各要素之间的联系，避免把实验室事故简单归因于某一个人的失误。</w:t>
      </w:r>
    </w:p>
    <w:p w14:paraId="20C8FBF2">
      <w:pPr>
        <w:spacing w:before="0" w:after="0" w:line="360" w:lineRule="auto"/>
        <w:ind w:firstLine="480"/>
        <w:jc w:val="both"/>
        <w:rPr>
          <w:rFonts w:hint="eastAsia" w:ascii="宋体" w:hAnsi="宋体" w:eastAsia="宋体" w:cs="宋体"/>
          <w:b w:val="0"/>
          <w:sz w:val="24"/>
        </w:rPr>
      </w:pPr>
      <w:r>
        <w:rPr>
          <w:rFonts w:ascii="Times New Roman" w:hAnsi="Times New Roman" w:eastAsia="宋体"/>
          <w:b w:val="0"/>
          <w:sz w:val="24"/>
        </w:rPr>
        <w:t>从</w:t>
      </w:r>
      <w:r>
        <w:rPr>
          <w:rFonts w:hint="eastAsia" w:ascii="宋体" w:hAnsi="宋体" w:eastAsia="宋体" w:cs="宋体"/>
          <w:b w:val="0"/>
          <w:sz w:val="24"/>
        </w:rPr>
        <w:t>“人”的维度看，本文关注进入生物实验室的学生、教师、实验技术人员、管理人员和外来协作人员等主体。人员因素既包括安全知识和操作技能，也包括责任意识、风险态度和应急反应。高校生物实验室中，学生处于学习训练阶段，容易因为经验不足产生误操作；研究生和科研人员虽然操作频率高，但也可能因长期熟悉而产生麻痹心理；教师和实验室负责人则承担着指导、监督和责任传导作用。因此，在后续分析中，人员维度不仅讨论培训不足，也讨论岗位责任、带教机制、准入考核和行为习惯。</w:t>
      </w:r>
    </w:p>
    <w:p w14:paraId="154EE1CC">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从“机”的维度看，本文关注生物安全柜、离心机、高压灭菌锅、低温冰箱、培养箱、通风系统、消防设施以及样本转运工具等设备设施。这些设备不是单纯的实验工具，而是安全防护体系的一部分。例如，生物安全柜性能是否可靠关系到气溶胶暴露风险，离心机密封和配平是否规范关系到样本泄漏风险，高压灭菌锅维护和效果验证关系到废弃物处置质量。设备维度的分析重点在于设备状态是否可确认、使用记录是否完整、异常是否能够及时停用和维修。</w:t>
      </w:r>
    </w:p>
    <w:p w14:paraId="25A26723">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从“料”的维度看，本文关注生物样本、菌种、细胞、动物组织、试剂、耗材、培养基、锐器和感染性废弃物等对象。材料因素的特点是种类多、风险属性差异大、保存条件复杂且需要追溯。样本标签不清、试剂过期未清、废弃物混放、交接记录缺失等问题，都会影响实验室风险控制。材料维度的重点不只是“物品有没有放好”，而是材料从进入实验室到最终处置的全过程是否有记录、有责任人、有去向。</w:t>
      </w:r>
    </w:p>
    <w:p w14:paraId="716FD376">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从“法”的维度看，本文关注制度、</w:t>
      </w:r>
      <w:r>
        <w:rPr>
          <w:rFonts w:hint="default" w:ascii="Times New Roman" w:hAnsi="Times New Roman" w:eastAsia="宋体" w:cs="Times New Roman"/>
          <w:b w:val="0"/>
          <w:sz w:val="24"/>
        </w:rPr>
        <w:t>SOP</w:t>
      </w:r>
      <w:r>
        <w:rPr>
          <w:rFonts w:hint="eastAsia" w:ascii="宋体" w:hAnsi="宋体" w:eastAsia="宋体" w:cs="宋体"/>
          <w:b w:val="0"/>
          <w:sz w:val="24"/>
        </w:rPr>
        <w:t>、准入流程、检查整改、事故报告、应急预案和复盘机制。方法因素是把管理要求转化为稳定行为的关键。如果制度过于笼统，实验人员就难以在现场直接执行；如果检查只发现问题而不复查整改结果，隐患就可能反复出现；如果应急预案没有与样本泄漏、锐器伤、设备异常等具体场景结合，事故发生时就难以发挥作用。因此，方法维度的分析重点是制度是否具体、流程是否清晰、责任是否可追踪、反馈是否形成持续改进。</w:t>
      </w:r>
    </w:p>
    <w:p w14:paraId="3788CC45">
      <w:pPr>
        <w:spacing w:before="0" w:after="0" w:line="360" w:lineRule="auto"/>
        <w:ind w:firstLine="480"/>
        <w:jc w:val="both"/>
      </w:pPr>
      <w:r>
        <w:rPr>
          <w:rFonts w:hint="eastAsia" w:ascii="宋体" w:hAnsi="宋体" w:eastAsia="宋体" w:cs="宋体"/>
          <w:b w:val="0"/>
          <w:sz w:val="24"/>
        </w:rPr>
        <w:t>从“环”的维度看，本文关注实验室空间布局、功能分区、通风照明、温湿度、清洁消毒、警示标识、应急通道和安全文化氛围。环境因素既包含可见的物理环境，也包含人员共同遵守安全要求的组织氛围。一个布局清晰、标识明确、物品有序、成员之间能够相互提醒的实验室，更容易形成规范行为；相反，如果现场混乱、标</w:t>
      </w:r>
      <w:r>
        <w:rPr>
          <w:rFonts w:ascii="Times New Roman" w:hAnsi="Times New Roman" w:eastAsia="宋体"/>
          <w:b w:val="0"/>
          <w:sz w:val="24"/>
        </w:rPr>
        <w:t>识不清、通道堆放杂物或对违规行为长期容忍，即使制度较完整，也难以保证执行效果。</w:t>
      </w:r>
    </w:p>
    <w:p w14:paraId="782D2B46">
      <w:pPr>
        <w:spacing w:before="0" w:after="0" w:line="360" w:lineRule="auto"/>
        <w:ind w:firstLine="480"/>
        <w:jc w:val="both"/>
      </w:pPr>
      <w:r>
        <w:rPr>
          <w:rFonts w:ascii="Times New Roman" w:hAnsi="Times New Roman" w:eastAsia="宋体"/>
          <w:b w:val="0"/>
          <w:sz w:val="24"/>
        </w:rPr>
        <w:t>在人机料法环基础上，本文还适当吸收“测”的思路，将检查评价、数据记录、隐患统计、风险预警和整改复核作为补充维度。高校生物实验室安全管理不应只依靠阶段性检查，而应通过连续记录和数据反馈发现重复性隐患。例如，如果某类设备频繁出现异常、某类培训考核通过率较低、某类废弃物交接经常漏签，就说明相应环节需要重点改进。监测评价维度能够把静态制度转化为动态管理能力。</w:t>
      </w:r>
    </w:p>
    <w:p w14:paraId="7D7CC5C9">
      <w:pPr>
        <w:spacing w:before="0" w:after="0" w:line="360" w:lineRule="auto"/>
        <w:ind w:firstLine="480"/>
        <w:jc w:val="both"/>
      </w:pPr>
      <w:r>
        <w:rPr>
          <w:rFonts w:ascii="Times New Roman" w:hAnsi="Times New Roman" w:eastAsia="宋体"/>
          <w:b w:val="0"/>
          <w:sz w:val="24"/>
        </w:rPr>
        <w:t>在本文后续研究中，人机料法环不仅用于第二章现状梳理，也用于第三章成因分析和第四章优化策略设计。第二章通过该框架归纳当前管理对象和主要问题；第三章进一步从各维度分析问题形成原因，并结合鱼骨图、风险矩阵和事故树等方法识别风险结构；第四章则按照人员培训、设备管理、材料追溯、制度流程和环境改进等方向提出对策。表2-3对本文中人机料法环的具体应用进行了归纳。</w:t>
      </w:r>
    </w:p>
    <w:p w14:paraId="5F4CAF6A">
      <w:pPr>
        <w:jc w:val="center"/>
        <w:rPr>
          <w:rFonts w:ascii="Times New Roman" w:hAnsi="Times New Roman" w:eastAsia="黑体"/>
          <w:b w:val="0"/>
          <w:bCs/>
          <w:sz w:val="21"/>
        </w:rPr>
      </w:pPr>
      <w:r>
        <w:rPr>
          <w:rFonts w:ascii="Times New Roman" w:hAnsi="Times New Roman" w:eastAsia="黑体"/>
          <w:b w:val="0"/>
          <w:bCs/>
          <w:sz w:val="21"/>
        </w:rPr>
        <w:t>表2-3  人机料法环在本文中的应用路径</w:t>
      </w:r>
    </w:p>
    <w:tbl>
      <w:tblPr>
        <w:tblStyle w:val="36"/>
        <w:tblW w:w="94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6"/>
        <w:gridCol w:w="3065"/>
        <w:gridCol w:w="2434"/>
        <w:gridCol w:w="2689"/>
      </w:tblGrid>
      <w:tr w14:paraId="125E7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16" w:type="dxa"/>
            <w:tcBorders>
              <w:top w:val="single" w:color="000000" w:sz="12" w:space="0"/>
              <w:bottom w:val="single" w:color="000000" w:sz="8" w:space="0"/>
            </w:tcBorders>
            <w:shd w:val="clear" w:color="auto" w:fill="FFFFFF" w:themeFill="background1"/>
            <w:vAlign w:val="center"/>
          </w:tcPr>
          <w:p w14:paraId="3410D226">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分析维度</w:t>
            </w:r>
          </w:p>
        </w:tc>
        <w:tc>
          <w:tcPr>
            <w:tcW w:w="3065" w:type="dxa"/>
            <w:tcBorders>
              <w:top w:val="single" w:color="000000" w:sz="12" w:space="0"/>
              <w:bottom w:val="single" w:color="000000" w:sz="8" w:space="0"/>
            </w:tcBorders>
            <w:shd w:val="clear" w:color="auto" w:fill="FFFFFF" w:themeFill="background1"/>
            <w:vAlign w:val="center"/>
          </w:tcPr>
          <w:p w14:paraId="4269BA63">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在生物实验室中的对应对象</w:t>
            </w:r>
          </w:p>
        </w:tc>
        <w:tc>
          <w:tcPr>
            <w:tcW w:w="2434" w:type="dxa"/>
            <w:tcBorders>
              <w:top w:val="single" w:color="000000" w:sz="12" w:space="0"/>
              <w:bottom w:val="single" w:color="000000" w:sz="8" w:space="0"/>
            </w:tcBorders>
            <w:shd w:val="clear" w:color="auto" w:fill="FFFFFF" w:themeFill="background1"/>
            <w:vAlign w:val="center"/>
          </w:tcPr>
          <w:p w14:paraId="179C04C5">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本文关注重点</w:t>
            </w:r>
          </w:p>
        </w:tc>
        <w:tc>
          <w:tcPr>
            <w:tcW w:w="2689" w:type="dxa"/>
            <w:tcBorders>
              <w:top w:val="single" w:color="000000" w:sz="12" w:space="0"/>
              <w:bottom w:val="single" w:color="000000" w:sz="8" w:space="0"/>
            </w:tcBorders>
            <w:shd w:val="clear" w:color="auto" w:fill="FFFFFF" w:themeFill="background1"/>
            <w:vAlign w:val="center"/>
          </w:tcPr>
          <w:p w14:paraId="4970D72A">
            <w:pPr>
              <w:snapToGrid w:val="0"/>
              <w:spacing w:line="240" w:lineRule="auto"/>
              <w:ind w:left="0" w:leftChars="0" w:right="0" w:rightChars="0" w:firstLine="0" w:firstLineChars="0"/>
              <w:jc w:val="center"/>
              <w:rPr>
                <w:rFonts w:hint="eastAsia" w:ascii="宋体" w:hAnsi="宋体" w:eastAsia="宋体" w:cs="宋体"/>
                <w:b w:val="0"/>
                <w:bCs/>
                <w:sz w:val="21"/>
              </w:rPr>
            </w:pPr>
            <w:r>
              <w:rPr>
                <w:rFonts w:hint="eastAsia" w:ascii="宋体" w:hAnsi="宋体" w:eastAsia="宋体" w:cs="宋体"/>
                <w:b w:val="0"/>
                <w:bCs/>
                <w:sz w:val="21"/>
              </w:rPr>
              <w:t>后续对策方向</w:t>
            </w:r>
          </w:p>
        </w:tc>
      </w:tr>
      <w:tr w14:paraId="6DCC0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16" w:type="dxa"/>
            <w:vAlign w:val="center"/>
          </w:tcPr>
          <w:p w14:paraId="2D275841">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人</w:t>
            </w:r>
          </w:p>
        </w:tc>
        <w:tc>
          <w:tcPr>
            <w:tcW w:w="3065" w:type="dxa"/>
            <w:vAlign w:val="center"/>
          </w:tcPr>
          <w:p w14:paraId="633CEF0A">
            <w:pPr>
              <w:snapToGrid w:val="0"/>
              <w:spacing w:line="240" w:lineRule="auto"/>
              <w:ind w:left="0" w:leftChars="0" w:right="0" w:rightChars="0" w:firstLine="0" w:firstLineChars="0"/>
              <w:jc w:val="left"/>
              <w:rPr>
                <w:rFonts w:hint="eastAsia" w:ascii="宋体" w:hAnsi="宋体" w:eastAsia="宋体" w:cs="宋体"/>
                <w:b w:val="0"/>
                <w:bCs w:val="0"/>
                <w:sz w:val="21"/>
              </w:rPr>
            </w:pPr>
            <w:r>
              <w:rPr>
                <w:rFonts w:hint="eastAsia" w:ascii="宋体" w:hAnsi="宋体" w:eastAsia="宋体" w:cs="宋体"/>
                <w:b w:val="0"/>
                <w:bCs w:val="0"/>
                <w:sz w:val="21"/>
              </w:rPr>
              <w:t>学生、教师、实验技术人员、管理人员</w:t>
            </w:r>
          </w:p>
        </w:tc>
        <w:tc>
          <w:tcPr>
            <w:tcW w:w="2434" w:type="dxa"/>
            <w:vAlign w:val="center"/>
          </w:tcPr>
          <w:p w14:paraId="67319572">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安全意识、操作能力、责任落实、应急反应</w:t>
            </w:r>
          </w:p>
        </w:tc>
        <w:tc>
          <w:tcPr>
            <w:tcW w:w="2689" w:type="dxa"/>
            <w:vAlign w:val="center"/>
          </w:tcPr>
          <w:p w14:paraId="604347F7">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分层培训、准入考核、现场带教、复训演练</w:t>
            </w:r>
          </w:p>
        </w:tc>
      </w:tr>
      <w:tr w14:paraId="615CC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16" w:type="dxa"/>
            <w:vAlign w:val="center"/>
          </w:tcPr>
          <w:p w14:paraId="5C644B43">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机</w:t>
            </w:r>
          </w:p>
        </w:tc>
        <w:tc>
          <w:tcPr>
            <w:tcW w:w="3065" w:type="dxa"/>
            <w:vAlign w:val="center"/>
          </w:tcPr>
          <w:p w14:paraId="42BE250D">
            <w:pPr>
              <w:snapToGrid w:val="0"/>
              <w:spacing w:line="240" w:lineRule="auto"/>
              <w:ind w:left="0" w:leftChars="0" w:right="0" w:rightChars="0" w:firstLine="0" w:firstLineChars="0"/>
              <w:jc w:val="left"/>
              <w:rPr>
                <w:rFonts w:hint="eastAsia" w:ascii="宋体" w:hAnsi="宋体" w:eastAsia="宋体" w:cs="宋体"/>
                <w:b w:val="0"/>
                <w:bCs w:val="0"/>
                <w:sz w:val="21"/>
              </w:rPr>
            </w:pPr>
            <w:r>
              <w:rPr>
                <w:rFonts w:hint="eastAsia" w:ascii="宋体" w:hAnsi="宋体" w:eastAsia="宋体" w:cs="宋体"/>
                <w:b w:val="0"/>
                <w:bCs w:val="0"/>
                <w:sz w:val="21"/>
              </w:rPr>
              <w:t>生物安全柜、离心机、灭菌设备、低温设备、转运工具</w:t>
            </w:r>
          </w:p>
        </w:tc>
        <w:tc>
          <w:tcPr>
            <w:tcW w:w="2434" w:type="dxa"/>
            <w:vAlign w:val="center"/>
          </w:tcPr>
          <w:p w14:paraId="20C64D32">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设备状态、维护检测、共享记录、异常停用</w:t>
            </w:r>
          </w:p>
        </w:tc>
        <w:tc>
          <w:tcPr>
            <w:tcW w:w="2689" w:type="dxa"/>
            <w:vAlign w:val="center"/>
          </w:tcPr>
          <w:p w14:paraId="5D748A0A">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分级管理、定期点检、性能验证、故障追踪</w:t>
            </w:r>
          </w:p>
        </w:tc>
      </w:tr>
      <w:tr w14:paraId="0F9AA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16" w:type="dxa"/>
            <w:vAlign w:val="center"/>
          </w:tcPr>
          <w:p w14:paraId="636EE0B3">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料</w:t>
            </w:r>
          </w:p>
        </w:tc>
        <w:tc>
          <w:tcPr>
            <w:tcW w:w="3065" w:type="dxa"/>
            <w:vAlign w:val="center"/>
          </w:tcPr>
          <w:p w14:paraId="27D341BF">
            <w:pPr>
              <w:snapToGrid w:val="0"/>
              <w:spacing w:line="240" w:lineRule="auto"/>
              <w:ind w:left="0" w:leftChars="0" w:right="0" w:rightChars="0" w:firstLine="0" w:firstLineChars="0"/>
              <w:jc w:val="left"/>
              <w:rPr>
                <w:rFonts w:hint="eastAsia" w:ascii="宋体" w:hAnsi="宋体" w:eastAsia="宋体" w:cs="宋体"/>
                <w:b w:val="0"/>
                <w:bCs w:val="0"/>
                <w:sz w:val="21"/>
              </w:rPr>
            </w:pPr>
            <w:r>
              <w:rPr>
                <w:rFonts w:hint="eastAsia" w:ascii="宋体" w:hAnsi="宋体" w:eastAsia="宋体" w:cs="宋体"/>
                <w:b w:val="0"/>
                <w:bCs w:val="0"/>
                <w:sz w:val="21"/>
              </w:rPr>
              <w:t>样本、菌种、细胞、试剂、耗材、废弃物</w:t>
            </w:r>
          </w:p>
        </w:tc>
        <w:tc>
          <w:tcPr>
            <w:tcW w:w="2434" w:type="dxa"/>
            <w:vAlign w:val="center"/>
          </w:tcPr>
          <w:p w14:paraId="0E928192">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标签台账、分类储存、领用记录、交接追溯</w:t>
            </w:r>
          </w:p>
        </w:tc>
        <w:tc>
          <w:tcPr>
            <w:tcW w:w="2689" w:type="dxa"/>
            <w:vAlign w:val="center"/>
          </w:tcPr>
          <w:p w14:paraId="7BC69F97">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统一编码、电子台账、分类收集、全过程追溯</w:t>
            </w:r>
          </w:p>
        </w:tc>
      </w:tr>
      <w:tr w14:paraId="1D209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16" w:type="dxa"/>
            <w:vAlign w:val="center"/>
          </w:tcPr>
          <w:p w14:paraId="5BFFBE29">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法</w:t>
            </w:r>
          </w:p>
        </w:tc>
        <w:tc>
          <w:tcPr>
            <w:tcW w:w="3065" w:type="dxa"/>
            <w:vAlign w:val="center"/>
          </w:tcPr>
          <w:p w14:paraId="24BACD3A">
            <w:pPr>
              <w:snapToGrid w:val="0"/>
              <w:spacing w:line="240" w:lineRule="auto"/>
              <w:ind w:left="0" w:leftChars="0" w:right="0" w:rightChars="0" w:firstLine="0" w:firstLineChars="0"/>
              <w:jc w:val="left"/>
              <w:rPr>
                <w:rFonts w:hint="eastAsia" w:ascii="宋体" w:hAnsi="宋体" w:eastAsia="宋体" w:cs="宋体"/>
                <w:b w:val="0"/>
                <w:bCs w:val="0"/>
                <w:sz w:val="21"/>
              </w:rPr>
            </w:pPr>
            <w:r>
              <w:rPr>
                <w:rFonts w:hint="eastAsia" w:ascii="宋体" w:hAnsi="宋体" w:eastAsia="宋体" w:cs="宋体"/>
                <w:b w:val="0"/>
                <w:bCs w:val="0"/>
                <w:sz w:val="21"/>
              </w:rPr>
              <w:t>SOP、准入制度、检查整改、事故报告、应急预案</w:t>
            </w:r>
          </w:p>
        </w:tc>
        <w:tc>
          <w:tcPr>
            <w:tcW w:w="2434" w:type="dxa"/>
            <w:vAlign w:val="center"/>
          </w:tcPr>
          <w:p w14:paraId="211AE273">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流程细化、责任节点、整改复查、预案演练</w:t>
            </w:r>
          </w:p>
        </w:tc>
        <w:tc>
          <w:tcPr>
            <w:tcW w:w="2689" w:type="dxa"/>
            <w:vAlign w:val="center"/>
          </w:tcPr>
          <w:p w14:paraId="0148D667">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流程卡、检查清单、闭环整改、情景化预案</w:t>
            </w:r>
          </w:p>
        </w:tc>
      </w:tr>
      <w:tr w14:paraId="2C205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16" w:type="dxa"/>
            <w:vAlign w:val="center"/>
          </w:tcPr>
          <w:p w14:paraId="1BBC59F2">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环</w:t>
            </w:r>
          </w:p>
        </w:tc>
        <w:tc>
          <w:tcPr>
            <w:tcW w:w="3065" w:type="dxa"/>
            <w:vAlign w:val="center"/>
          </w:tcPr>
          <w:p w14:paraId="02149D0B">
            <w:pPr>
              <w:snapToGrid w:val="0"/>
              <w:spacing w:line="240" w:lineRule="auto"/>
              <w:ind w:left="0" w:leftChars="0" w:right="0" w:rightChars="0" w:firstLine="0" w:firstLineChars="0"/>
              <w:jc w:val="left"/>
              <w:rPr>
                <w:rFonts w:hint="eastAsia" w:ascii="宋体" w:hAnsi="宋体" w:eastAsia="宋体" w:cs="宋体"/>
                <w:b w:val="0"/>
                <w:bCs w:val="0"/>
                <w:sz w:val="21"/>
              </w:rPr>
            </w:pPr>
            <w:r>
              <w:rPr>
                <w:rFonts w:hint="eastAsia" w:ascii="宋体" w:hAnsi="宋体" w:eastAsia="宋体" w:cs="宋体"/>
                <w:b w:val="0"/>
                <w:bCs w:val="0"/>
                <w:sz w:val="21"/>
              </w:rPr>
              <w:t>空间布局、功能分区、标识系统、清洁消毒、安全文化</w:t>
            </w:r>
          </w:p>
        </w:tc>
        <w:tc>
          <w:tcPr>
            <w:tcW w:w="2434" w:type="dxa"/>
            <w:vAlign w:val="center"/>
          </w:tcPr>
          <w:p w14:paraId="297A0D2C">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区域边界、现场秩序、通道管理、文化氛围</w:t>
            </w:r>
          </w:p>
        </w:tc>
        <w:tc>
          <w:tcPr>
            <w:tcW w:w="2689" w:type="dxa"/>
            <w:vAlign w:val="center"/>
          </w:tcPr>
          <w:p w14:paraId="1DE86EB8">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分区优化、标识完善、现场标准化、安全文化建设</w:t>
            </w:r>
          </w:p>
        </w:tc>
      </w:tr>
      <w:tr w14:paraId="60735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16" w:type="dxa"/>
            <w:tcBorders>
              <w:bottom w:val="single" w:color="000000" w:sz="12" w:space="0"/>
            </w:tcBorders>
            <w:vAlign w:val="center"/>
          </w:tcPr>
          <w:p w14:paraId="2C0344B6">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测</w:t>
            </w:r>
          </w:p>
        </w:tc>
        <w:tc>
          <w:tcPr>
            <w:tcW w:w="3065" w:type="dxa"/>
            <w:tcBorders>
              <w:bottom w:val="single" w:color="000000" w:sz="12" w:space="0"/>
            </w:tcBorders>
            <w:vAlign w:val="center"/>
          </w:tcPr>
          <w:p w14:paraId="09CB22DA">
            <w:pPr>
              <w:snapToGrid w:val="0"/>
              <w:spacing w:line="240" w:lineRule="auto"/>
              <w:ind w:left="0" w:leftChars="0" w:right="0" w:rightChars="0" w:firstLine="0" w:firstLineChars="0"/>
              <w:jc w:val="left"/>
              <w:rPr>
                <w:rFonts w:hint="eastAsia" w:ascii="宋体" w:hAnsi="宋体" w:eastAsia="宋体" w:cs="宋体"/>
                <w:b w:val="0"/>
                <w:bCs w:val="0"/>
                <w:sz w:val="21"/>
              </w:rPr>
            </w:pPr>
            <w:r>
              <w:rPr>
                <w:rFonts w:hint="eastAsia" w:ascii="宋体" w:hAnsi="宋体" w:eastAsia="宋体" w:cs="宋体"/>
                <w:b w:val="0"/>
                <w:bCs w:val="0"/>
                <w:sz w:val="21"/>
              </w:rPr>
              <w:t>检查记录、监测数据、隐患统计、风险评价、复核反馈</w:t>
            </w:r>
          </w:p>
        </w:tc>
        <w:tc>
          <w:tcPr>
            <w:tcW w:w="2434" w:type="dxa"/>
            <w:tcBorders>
              <w:bottom w:val="single" w:color="000000" w:sz="12" w:space="0"/>
            </w:tcBorders>
            <w:vAlign w:val="center"/>
          </w:tcPr>
          <w:p w14:paraId="3F6B5A43">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数据连续性、预警能力、整改效果评价</w:t>
            </w:r>
          </w:p>
        </w:tc>
        <w:tc>
          <w:tcPr>
            <w:tcW w:w="2689" w:type="dxa"/>
            <w:tcBorders>
              <w:bottom w:val="single" w:color="000000" w:sz="12" w:space="0"/>
            </w:tcBorders>
            <w:vAlign w:val="center"/>
          </w:tcPr>
          <w:p w14:paraId="014EFE68">
            <w:pPr>
              <w:snapToGrid w:val="0"/>
              <w:spacing w:line="240" w:lineRule="auto"/>
              <w:ind w:left="0" w:leftChars="0" w:right="0" w:rightChars="0" w:firstLine="0" w:firstLineChars="0"/>
              <w:jc w:val="center"/>
              <w:rPr>
                <w:rFonts w:hint="eastAsia" w:ascii="宋体" w:hAnsi="宋体" w:eastAsia="宋体" w:cs="宋体"/>
                <w:b w:val="0"/>
                <w:bCs w:val="0"/>
                <w:sz w:val="21"/>
              </w:rPr>
            </w:pPr>
            <w:r>
              <w:rPr>
                <w:rFonts w:hint="eastAsia" w:ascii="宋体" w:hAnsi="宋体" w:eastAsia="宋体" w:cs="宋体"/>
                <w:b w:val="0"/>
                <w:bCs w:val="0"/>
                <w:sz w:val="21"/>
              </w:rPr>
              <w:t>信息化平台、风险台账、月度分析、持续改进</w:t>
            </w:r>
          </w:p>
        </w:tc>
      </w:tr>
    </w:tbl>
    <w:p w14:paraId="0742EF38">
      <w:pPr>
        <w:keepNext/>
        <w:spacing w:after="0" w:line="360" w:lineRule="auto"/>
        <w:ind w:firstLine="480" w:firstLineChars="200"/>
        <w:outlineLvl w:val="1"/>
        <w:rPr>
          <w:rFonts w:ascii="Times New Roman" w:hAnsi="Times New Roman" w:eastAsia="黑体" w:cs="黑体"/>
          <w:sz w:val="24"/>
          <w:lang w:eastAsia="zh-CN"/>
        </w:rPr>
      </w:pPr>
      <w:bookmarkStart w:id="26" w:name="_Toc5188"/>
      <w:r>
        <w:rPr>
          <w:rFonts w:ascii="Times New Roman" w:hAnsi="Times New Roman" w:eastAsia="黑体" w:cs="黑体"/>
          <w:sz w:val="24"/>
          <w:lang w:eastAsia="zh-CN"/>
        </w:rPr>
        <w:t>2.4  本章小结</w:t>
      </w:r>
      <w:bookmarkEnd w:id="26"/>
    </w:p>
    <w:p w14:paraId="19E0D177">
      <w:pPr>
        <w:spacing w:before="0" w:after="0" w:line="360" w:lineRule="auto"/>
        <w:ind w:firstLine="480"/>
        <w:jc w:val="both"/>
      </w:pPr>
      <w:r>
        <w:rPr>
          <w:rFonts w:ascii="Times New Roman" w:hAnsi="Times New Roman" w:eastAsia="宋体"/>
          <w:b w:val="0"/>
          <w:sz w:val="24"/>
        </w:rPr>
        <w:t>本章围绕高校生物实验室安全管理现状进行了扩展分析。首先，从管理主体、管理内容、教学实验室和科研实验室差异、制度基础等方面说明了高校生物实验室安全管理的基本情况。分析表明，高校生物实验室安全管理已经逐步形成学校、学院、实验室和个人岗位相结合的责任结构，但由于生物实验活动具有人员多、材料复杂、设备专业和风险链条较长等特点，管理要求仍需要进一步精细化。</w:t>
      </w:r>
    </w:p>
    <w:p w14:paraId="250B1A45">
      <w:pPr>
        <w:spacing w:before="0" w:after="0" w:line="360" w:lineRule="auto"/>
        <w:ind w:firstLine="480"/>
        <w:jc w:val="both"/>
      </w:pPr>
      <w:r>
        <w:rPr>
          <w:rFonts w:ascii="Times New Roman" w:hAnsi="Times New Roman" w:eastAsia="宋体"/>
          <w:b w:val="0"/>
          <w:sz w:val="24"/>
        </w:rPr>
        <w:t>其次，本章从人员、设备、材料、方法、环境和监测等方面归纳了当前管理中的主要问题。人员层面主要表现为培训针对性不足、准入和复训不够扎实；设备层面主要表现为维护检测和共享记录不连续；材料层面主要表现为样本、试剂和废弃物全过程追溯不足；方法层面主要表现为SOP不细、整改复查不严和应急预案不贴近场景；环境层面主要表现为现场分区、标识和安全文化支撑不足；监测层面则体现为数据分散、隐患统计和风险预警能力较弱。</w:t>
      </w:r>
    </w:p>
    <w:p w14:paraId="7A58FDC8">
      <w:pPr>
        <w:spacing w:before="0" w:after="0" w:line="360" w:lineRule="auto"/>
        <w:ind w:firstLine="480"/>
        <w:jc w:val="both"/>
      </w:pPr>
      <w:r>
        <w:rPr>
          <w:rFonts w:ascii="Times New Roman" w:hAnsi="Times New Roman" w:eastAsia="宋体"/>
          <w:b w:val="0"/>
          <w:sz w:val="24"/>
        </w:rPr>
        <w:t>最后，本章明确了人机料法环在本文中的应用方式。人机料法环能够把高校生物实验室安全问题拆分为可分析、可记录和可改进的管理要素，并为后续成因分析和优化策略提供主线。基于本章分析，下一章将进一步结合鱼骨图、风险矩阵和事故树等安全工程方法，对这些问题产生的深层原因和风险传递关系进行分析。</w:t>
      </w:r>
    </w:p>
    <w:p w14:paraId="48B903CF">
      <w:pPr>
        <w:spacing w:after="0" w:line="360" w:lineRule="auto"/>
        <w:ind w:firstLine="480"/>
        <w:jc w:val="both"/>
        <w:rPr>
          <w:rFonts w:hint="default" w:ascii="Times New Roman" w:hAnsi="Times New Roman" w:eastAsia="宋体" w:cs="Times New Roman"/>
          <w:sz w:val="24"/>
          <w:lang w:val="en-US" w:eastAsia="zh-CN"/>
        </w:rPr>
      </w:pPr>
    </w:p>
    <w:p w14:paraId="6B5999C7">
      <w:pPr>
        <w:spacing w:after="0" w:line="360" w:lineRule="auto"/>
        <w:ind w:firstLine="480"/>
        <w:jc w:val="both"/>
        <w:rPr>
          <w:lang w:eastAsia="zh-CN"/>
        </w:rPr>
      </w:pPr>
    </w:p>
    <w:p w14:paraId="676D5510">
      <w:pPr>
        <w:pageBreakBefore/>
        <w:spacing w:after="0" w:line="360" w:lineRule="auto"/>
        <w:rPr>
          <w:lang w:eastAsia="zh-CN"/>
        </w:rPr>
      </w:pPr>
      <w:r>
        <w:rPr>
          <w:szCs w:val="24"/>
          <w:lang w:eastAsia="zh-CN"/>
        </w:rPr>
        <w:t xml:space="preserve"> </w:t>
      </w:r>
    </w:p>
    <w:p w14:paraId="686524B2">
      <w:pPr>
        <w:keepNext/>
        <w:spacing w:after="360" w:line="360" w:lineRule="auto"/>
        <w:jc w:val="center"/>
        <w:outlineLvl w:val="0"/>
        <w:rPr>
          <w:lang w:eastAsia="zh-CN"/>
        </w:rPr>
      </w:pPr>
      <w:bookmarkStart w:id="27" w:name="_Toc11287"/>
      <w:bookmarkStart w:id="28" w:name="_Toc11771"/>
      <w:bookmarkStart w:id="29" w:name="_Toc13308"/>
      <w:r>
        <w:rPr>
          <w:rFonts w:ascii="Times New Roman" w:hAnsi="Times New Roman" w:eastAsia="黑体" w:cs="黑体"/>
          <w:sz w:val="32"/>
          <w:lang w:eastAsia="zh-CN"/>
        </w:rPr>
        <w:t>第3章　高校生物实验室安全管理问题成因分析</w:t>
      </w:r>
      <w:bookmarkEnd w:id="27"/>
      <w:bookmarkEnd w:id="28"/>
      <w:bookmarkEnd w:id="29"/>
    </w:p>
    <w:p w14:paraId="0B3DB15C">
      <w:pPr>
        <w:spacing w:after="0" w:line="360" w:lineRule="auto"/>
        <w:ind w:firstLine="480"/>
        <w:jc w:val="both"/>
        <w:rPr>
          <w:lang w:eastAsia="zh-CN"/>
        </w:rPr>
      </w:pPr>
      <w:r>
        <w:rPr>
          <w:rFonts w:ascii="Times New Roman" w:hAnsi="Times New Roman" w:eastAsia="宋体" w:cs="Times New Roman"/>
          <w:sz w:val="24"/>
          <w:lang w:eastAsia="zh-CN"/>
        </w:rPr>
        <w:t>第二章已对高校生物实验室安全管理的基本情况和主要问题作了梳理。上述问题并不是某一项制度表述不清，或某个学生偶然操作失误造成的，而是人员、设备、材料、制度方法和现场环境等因素共同作用的结果。如果只看表面现象，就容易把原因简单归结为加强管理或提高意识，难以触及问题根源。因此，本章在人机料法环分析基础上吸收测要素中的动态监测思路，对问题成因</w:t>
      </w:r>
      <w:r>
        <w:rPr>
          <w:rFonts w:hint="eastAsia" w:cs="Times New Roman"/>
          <w:sz w:val="24"/>
          <w:lang w:eastAsia="zh-CN"/>
        </w:rPr>
        <w:t>做进一步</w:t>
      </w:r>
      <w:r>
        <w:rPr>
          <w:rFonts w:ascii="Times New Roman" w:hAnsi="Times New Roman" w:eastAsia="宋体" w:cs="Times New Roman"/>
          <w:sz w:val="24"/>
          <w:lang w:eastAsia="zh-CN"/>
        </w:rPr>
        <w:t>分析。</w:t>
      </w:r>
    </w:p>
    <w:p w14:paraId="58C9D117">
      <w:pPr>
        <w:spacing w:after="0" w:line="360" w:lineRule="auto"/>
        <w:ind w:firstLine="480"/>
        <w:jc w:val="both"/>
        <w:rPr>
          <w:lang w:eastAsia="zh-CN"/>
        </w:rPr>
      </w:pPr>
      <w:r>
        <w:rPr>
          <w:rFonts w:ascii="Times New Roman" w:hAnsi="Times New Roman" w:eastAsia="宋体" w:cs="Times New Roman"/>
          <w:sz w:val="24"/>
          <w:lang w:eastAsia="zh-CN"/>
        </w:rPr>
        <w:t>成因分析不能停留在罗列问题，还应识别问题形成过程中的主导因素、关联因素和关键控制点。鱼骨图适合对复杂问题进行多因素归因，事故树适合从顶事件出发追溯事故形成逻辑，风险矩阵适合对不同风险进行定性分级和轻重排序。将这些方法用于高校生物实验室安全管理，既能增强分析深度，也能为后续优化策略提供更清楚的依据。</w:t>
      </w:r>
    </w:p>
    <w:p w14:paraId="516741CF">
      <w:pPr>
        <w:keepNext/>
        <w:spacing w:after="0" w:line="360" w:lineRule="auto"/>
        <w:ind w:firstLine="480" w:firstLineChars="200"/>
        <w:outlineLvl w:val="1"/>
        <w:rPr>
          <w:lang w:eastAsia="zh-CN"/>
        </w:rPr>
      </w:pPr>
      <w:bookmarkStart w:id="30" w:name="_Toc9229"/>
      <w:bookmarkStart w:id="31" w:name="_Toc2517"/>
      <w:bookmarkStart w:id="32" w:name="_Toc354"/>
      <w:r>
        <w:rPr>
          <w:rFonts w:ascii="Times New Roman" w:hAnsi="Times New Roman" w:eastAsia="黑体" w:cs="黑体"/>
          <w:sz w:val="24"/>
          <w:lang w:eastAsia="zh-CN"/>
        </w:rPr>
        <w:t>3.1　成因分析的基本思路</w:t>
      </w:r>
      <w:bookmarkEnd w:id="30"/>
      <w:bookmarkEnd w:id="31"/>
      <w:bookmarkEnd w:id="32"/>
    </w:p>
    <w:p w14:paraId="015495F8">
      <w:pPr>
        <w:spacing w:after="0" w:line="360" w:lineRule="auto"/>
        <w:ind w:firstLine="480"/>
        <w:jc w:val="both"/>
        <w:rPr>
          <w:lang w:eastAsia="zh-CN"/>
        </w:rPr>
      </w:pPr>
      <w:r>
        <w:rPr>
          <w:rFonts w:ascii="Times New Roman" w:hAnsi="Times New Roman" w:eastAsia="宋体" w:cs="Times New Roman"/>
          <w:sz w:val="24"/>
          <w:lang w:eastAsia="zh-CN"/>
        </w:rPr>
        <w:t>高校生物实验室安全问题的产生，往往与人员行为、设备状态、材料流转、制度执行和环境条件等因素共同相关。若仅从某一个方面寻找原因，容易忽视风险在实验室运行过程中的传递和叠加。</w:t>
      </w:r>
    </w:p>
    <w:p w14:paraId="2509F08F">
      <w:pPr>
        <w:spacing w:after="0" w:line="360" w:lineRule="auto"/>
        <w:ind w:firstLine="480"/>
        <w:jc w:val="both"/>
        <w:rPr>
          <w:lang w:eastAsia="zh-CN"/>
        </w:rPr>
      </w:pPr>
      <w:r>
        <w:rPr>
          <w:rFonts w:ascii="Times New Roman" w:hAnsi="Times New Roman" w:eastAsia="宋体" w:cs="Times New Roman"/>
          <w:sz w:val="24"/>
          <w:lang w:eastAsia="zh-CN"/>
        </w:rPr>
        <w:t>从现实情况看，实验室安全隐患通常并非突然出现，而是在日常管理中逐步积累。例如，培训内容没有及时更新、设备维护记录不完整、试剂台账填写不规范、实验废弃物暂存时间过长等问题，单独看可能并不突出，但叠加后会明显增加管理风险。</w:t>
      </w:r>
    </w:p>
    <w:p w14:paraId="095E70E6">
      <w:pPr>
        <w:spacing w:after="0" w:line="360" w:lineRule="auto"/>
        <w:ind w:firstLine="480"/>
        <w:jc w:val="both"/>
        <w:rPr>
          <w:lang w:eastAsia="zh-CN"/>
        </w:rPr>
      </w:pPr>
      <w:r>
        <w:rPr>
          <w:rFonts w:ascii="Times New Roman" w:hAnsi="Times New Roman" w:eastAsia="宋体" w:cs="Times New Roman"/>
          <w:sz w:val="24"/>
          <w:lang w:eastAsia="zh-CN"/>
        </w:rPr>
        <w:t>因此，本章基于人机料法环框架，从人员、设备、材料、方法和环境五个方面分析高校生物实验室安全管理问题的成因，并结合实际场景说明各类因素之间的关联。</w:t>
      </w:r>
    </w:p>
    <w:p w14:paraId="03F5ECB1">
      <w:pPr>
        <w:spacing w:after="0" w:line="360" w:lineRule="auto"/>
        <w:ind w:firstLine="480"/>
        <w:jc w:val="center"/>
        <w:rPr>
          <w:rFonts w:hint="eastAsia" w:eastAsia="宋体"/>
          <w:lang w:eastAsia="zh-CN"/>
        </w:rPr>
      </w:pPr>
    </w:p>
    <w:p w14:paraId="2AA09A3B">
      <w:pPr>
        <w:spacing w:after="0" w:line="360" w:lineRule="auto"/>
        <w:ind w:firstLine="480"/>
        <w:jc w:val="center"/>
        <w:rPr>
          <w:rFonts w:hint="eastAsia" w:eastAsia="宋体"/>
          <w:lang w:eastAsia="zh-CN"/>
        </w:rPr>
      </w:pPr>
    </w:p>
    <w:p w14:paraId="3B9CA38C">
      <w:pPr>
        <w:spacing w:after="0" w:line="360" w:lineRule="auto"/>
        <w:ind w:firstLine="480"/>
        <w:jc w:val="center"/>
        <w:rPr>
          <w:rFonts w:hint="eastAsia" w:eastAsia="宋体"/>
          <w:sz w:val="84"/>
          <w:szCs w:val="84"/>
          <w:lang w:eastAsia="zh-CN"/>
        </w:rPr>
      </w:pPr>
    </w:p>
    <w:p w14:paraId="309D56C0">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鱼骨图又称因果分析图，适合用于对复杂问题进行多因素归因。该图通常将需要解释的结果放在主干末端，并将可能原因按照人员、设备、材料、方法、环境等类别分别展开，便于发现问题背后的主导因素和关联因素。本文将“高校生物实验室安全管理问题突出”作为分析对象，并结合人机料法环测六个维度进行原因梳理，具体如图3-1所示。 从图示逻辑看，高校生物实验室安全风险主要来源于人员、设备、材料、方法、环境和监测等方面，各因素相互影响，共同构成实验室安全管理的整体风险结构。 在此基础上，表3-1将各维度的问题表现、深层成因和潜在影响进一步对应起来，使图形归因与文字分析之间形成衔接。</w:t>
      </w:r>
    </w:p>
    <w:p w14:paraId="071DE975">
      <w:pPr>
        <w:spacing w:after="0" w:line="360" w:lineRule="auto"/>
        <w:ind w:firstLine="480"/>
        <w:jc w:val="center"/>
        <w:rPr>
          <w:rFonts w:hint="eastAsia" w:eastAsia="宋体"/>
          <w:lang w:eastAsia="zh-CN"/>
        </w:rPr>
      </w:pPr>
      <w:r>
        <w:drawing>
          <wp:inline distT="0" distB="0" distL="114300" distR="114300">
            <wp:extent cx="4421505" cy="2295525"/>
            <wp:effectExtent l="0" t="0" r="1714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rcRect t="2090" b="5653"/>
                    <a:stretch>
                      <a:fillRect/>
                    </a:stretch>
                  </pic:blipFill>
                  <pic:spPr>
                    <a:xfrm>
                      <a:off x="0" y="0"/>
                      <a:ext cx="4421505" cy="2295525"/>
                    </a:xfrm>
                    <a:prstGeom prst="rect">
                      <a:avLst/>
                    </a:prstGeom>
                  </pic:spPr>
                </pic:pic>
              </a:graphicData>
            </a:graphic>
          </wp:inline>
        </w:drawing>
      </w:r>
    </w:p>
    <w:p w14:paraId="75E50E1B">
      <w:pPr>
        <w:keepNext/>
        <w:spacing w:before="60" w:after="60" w:line="360" w:lineRule="auto"/>
        <w:jc w:val="center"/>
        <w:rPr>
          <w:rFonts w:ascii="黑体" w:hAnsi="黑体" w:eastAsia="黑体" w:cs="Times New Roman"/>
          <w:sz w:val="21"/>
          <w:lang w:eastAsia="zh-CN"/>
        </w:rPr>
      </w:pPr>
      <w:r>
        <w:rPr>
          <w:rFonts w:ascii="黑体" w:hAnsi="黑体" w:eastAsia="黑体" w:cs="Times New Roman"/>
          <w:sz w:val="21"/>
          <w:lang w:eastAsia="zh-CN"/>
        </w:rPr>
        <w:t>图3-1 高校生物实验室安全管理问题鱼骨图</w:t>
      </w:r>
    </w:p>
    <w:p w14:paraId="1B14E8F4">
      <w:pPr>
        <w:keepNext/>
        <w:spacing w:before="60" w:after="60" w:line="360" w:lineRule="auto"/>
        <w:jc w:val="both"/>
        <w:rPr>
          <w:rFonts w:ascii="黑体" w:hAnsi="黑体" w:eastAsia="黑体" w:cs="Times New Roman"/>
          <w:sz w:val="21"/>
          <w:lang w:eastAsia="zh-CN"/>
        </w:rPr>
      </w:pPr>
    </w:p>
    <w:p w14:paraId="13C64AE0">
      <w:pPr>
        <w:keepNext/>
        <w:spacing w:before="60" w:after="60" w:line="360" w:lineRule="auto"/>
        <w:jc w:val="center"/>
        <w:rPr>
          <w:lang w:eastAsia="zh-CN"/>
        </w:rPr>
      </w:pPr>
      <w:r>
        <w:rPr>
          <w:rFonts w:ascii="黑体" w:hAnsi="黑体" w:eastAsia="黑体" w:cs="Times New Roman"/>
          <w:sz w:val="21"/>
          <w:szCs w:val="21"/>
          <w:lang w:eastAsia="zh-CN"/>
        </w:rPr>
        <w:t>表3-1 主要问题及成因对应表</w:t>
      </w:r>
    </w:p>
    <w:tbl>
      <w:tblPr>
        <w:tblStyle w:val="36"/>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4"/>
        <w:gridCol w:w="3224"/>
        <w:gridCol w:w="3144"/>
        <w:gridCol w:w="2204"/>
      </w:tblGrid>
      <w:tr w14:paraId="031B64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0" w:hRule="atLeast"/>
          <w:tblHeader/>
          <w:jc w:val="center"/>
        </w:trPr>
        <w:tc>
          <w:tcPr>
            <w:tcW w:w="834" w:type="dxa"/>
            <w:tcBorders>
              <w:top w:val="single" w:color="auto" w:sz="12" w:space="0"/>
              <w:left w:val="nil"/>
              <w:bottom w:val="single" w:color="auto" w:sz="4" w:space="0"/>
              <w:right w:val="nil"/>
              <w:insideH w:val="nil"/>
              <w:insideV w:val="nil"/>
            </w:tcBorders>
            <w:vAlign w:val="center"/>
          </w:tcPr>
          <w:p w14:paraId="39333AC8">
            <w:pPr>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维度</w:t>
            </w:r>
          </w:p>
        </w:tc>
        <w:tc>
          <w:tcPr>
            <w:tcW w:w="3224" w:type="dxa"/>
            <w:tcBorders>
              <w:top w:val="single" w:color="auto" w:sz="12" w:space="0"/>
              <w:left w:val="nil"/>
              <w:bottom w:val="single" w:color="auto" w:sz="4" w:space="0"/>
              <w:right w:val="nil"/>
              <w:insideH w:val="nil"/>
              <w:insideV w:val="nil"/>
            </w:tcBorders>
            <w:vAlign w:val="center"/>
          </w:tcPr>
          <w:p w14:paraId="7D62E877">
            <w:pPr>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主要问题表现</w:t>
            </w:r>
          </w:p>
        </w:tc>
        <w:tc>
          <w:tcPr>
            <w:tcW w:w="3144" w:type="dxa"/>
            <w:tcBorders>
              <w:top w:val="single" w:color="auto" w:sz="12" w:space="0"/>
              <w:left w:val="nil"/>
              <w:bottom w:val="single" w:color="auto" w:sz="4" w:space="0"/>
              <w:right w:val="nil"/>
              <w:insideH w:val="nil"/>
              <w:insideV w:val="nil"/>
            </w:tcBorders>
            <w:vAlign w:val="center"/>
          </w:tcPr>
          <w:p w14:paraId="567D06F4">
            <w:pPr>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深层成因</w:t>
            </w:r>
          </w:p>
        </w:tc>
        <w:tc>
          <w:tcPr>
            <w:tcW w:w="2204" w:type="dxa"/>
            <w:tcBorders>
              <w:top w:val="single" w:color="auto" w:sz="12" w:space="0"/>
              <w:left w:val="nil"/>
              <w:bottom w:val="single" w:color="auto" w:sz="4" w:space="0"/>
              <w:right w:val="nil"/>
              <w:insideH w:val="nil"/>
              <w:insideV w:val="nil"/>
            </w:tcBorders>
            <w:vAlign w:val="center"/>
          </w:tcPr>
          <w:p w14:paraId="1580A3DF">
            <w:pPr>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潜在影响</w:t>
            </w:r>
          </w:p>
        </w:tc>
      </w:tr>
      <w:tr w14:paraId="4FEFF0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4" w:type="dxa"/>
            <w:tcBorders>
              <w:top w:val="single" w:color="auto" w:sz="4" w:space="0"/>
              <w:left w:val="nil"/>
              <w:bottom w:val="nil"/>
              <w:right w:val="nil"/>
              <w:insideH w:val="nil"/>
              <w:insideV w:val="nil"/>
            </w:tcBorders>
            <w:vAlign w:val="center"/>
          </w:tcPr>
          <w:p w14:paraId="4CF2F3D4">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人</w:t>
            </w:r>
          </w:p>
        </w:tc>
        <w:tc>
          <w:tcPr>
            <w:tcW w:w="3224" w:type="dxa"/>
            <w:tcBorders>
              <w:top w:val="single" w:color="auto" w:sz="4" w:space="0"/>
              <w:left w:val="nil"/>
              <w:bottom w:val="nil"/>
              <w:right w:val="nil"/>
              <w:insideH w:val="nil"/>
              <w:insideV w:val="nil"/>
            </w:tcBorders>
            <w:vAlign w:val="center"/>
          </w:tcPr>
          <w:p w14:paraId="1F80ECD4">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安全意识参差不齐、违规操作、应急处置不熟练</w:t>
            </w:r>
          </w:p>
        </w:tc>
        <w:tc>
          <w:tcPr>
            <w:tcW w:w="3144" w:type="dxa"/>
            <w:tcBorders>
              <w:top w:val="single" w:color="auto" w:sz="4" w:space="0"/>
              <w:left w:val="nil"/>
              <w:bottom w:val="nil"/>
              <w:right w:val="nil"/>
              <w:insideH w:val="nil"/>
              <w:insideV w:val="nil"/>
            </w:tcBorders>
            <w:vAlign w:val="center"/>
          </w:tcPr>
          <w:p w14:paraId="300A3F35">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培训内容泛化、责任落实不细、考核偏形式</w:t>
            </w:r>
          </w:p>
        </w:tc>
        <w:tc>
          <w:tcPr>
            <w:tcW w:w="2204" w:type="dxa"/>
            <w:tcBorders>
              <w:top w:val="single" w:color="auto" w:sz="4" w:space="0"/>
              <w:left w:val="nil"/>
              <w:bottom w:val="nil"/>
              <w:right w:val="nil"/>
              <w:insideH w:val="nil"/>
              <w:insideV w:val="nil"/>
            </w:tcBorders>
            <w:vAlign w:val="center"/>
          </w:tcPr>
          <w:p w14:paraId="1427A4F4">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误操作、暴露事故、报告迟缓</w:t>
            </w:r>
          </w:p>
        </w:tc>
      </w:tr>
      <w:tr w14:paraId="4BBAF5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4" w:type="dxa"/>
            <w:tcBorders>
              <w:top w:val="nil"/>
              <w:left w:val="nil"/>
              <w:bottom w:val="nil"/>
              <w:right w:val="nil"/>
              <w:insideH w:val="nil"/>
              <w:insideV w:val="nil"/>
            </w:tcBorders>
            <w:vAlign w:val="center"/>
          </w:tcPr>
          <w:p w14:paraId="42DD7F0F">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机</w:t>
            </w:r>
          </w:p>
        </w:tc>
        <w:tc>
          <w:tcPr>
            <w:tcW w:w="3224" w:type="dxa"/>
            <w:tcBorders>
              <w:top w:val="nil"/>
              <w:left w:val="nil"/>
              <w:bottom w:val="nil"/>
              <w:right w:val="nil"/>
              <w:insideH w:val="nil"/>
              <w:insideV w:val="nil"/>
            </w:tcBorders>
            <w:vAlign w:val="center"/>
          </w:tcPr>
          <w:p w14:paraId="46602955">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设备维护滞后、性能验证不连续、共享设备无记录</w:t>
            </w:r>
          </w:p>
        </w:tc>
        <w:tc>
          <w:tcPr>
            <w:tcW w:w="3144" w:type="dxa"/>
            <w:tcBorders>
              <w:top w:val="nil"/>
              <w:left w:val="nil"/>
              <w:bottom w:val="nil"/>
              <w:right w:val="nil"/>
              <w:insideH w:val="nil"/>
              <w:insideV w:val="nil"/>
            </w:tcBorders>
            <w:vAlign w:val="center"/>
          </w:tcPr>
          <w:p w14:paraId="721E7545">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全寿命管理不足、责任人不清、维护经费与机制不稳定</w:t>
            </w:r>
          </w:p>
        </w:tc>
        <w:tc>
          <w:tcPr>
            <w:tcW w:w="2204" w:type="dxa"/>
            <w:tcBorders>
              <w:top w:val="nil"/>
              <w:left w:val="nil"/>
              <w:bottom w:val="nil"/>
              <w:right w:val="nil"/>
              <w:insideH w:val="nil"/>
              <w:insideV w:val="nil"/>
            </w:tcBorders>
            <w:vAlign w:val="center"/>
          </w:tcPr>
          <w:p w14:paraId="1585DEA4">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防护失效、实验中断、样本泄漏</w:t>
            </w:r>
          </w:p>
        </w:tc>
      </w:tr>
      <w:tr w14:paraId="3B5A04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4" w:type="dxa"/>
            <w:tcBorders>
              <w:top w:val="nil"/>
              <w:left w:val="nil"/>
              <w:bottom w:val="nil"/>
              <w:right w:val="nil"/>
              <w:insideH w:val="nil"/>
              <w:insideV w:val="nil"/>
            </w:tcBorders>
            <w:vAlign w:val="center"/>
          </w:tcPr>
          <w:p w14:paraId="5E7274C1">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料</w:t>
            </w:r>
          </w:p>
        </w:tc>
        <w:tc>
          <w:tcPr>
            <w:tcW w:w="3224" w:type="dxa"/>
            <w:tcBorders>
              <w:top w:val="nil"/>
              <w:left w:val="nil"/>
              <w:bottom w:val="nil"/>
              <w:right w:val="nil"/>
              <w:insideH w:val="nil"/>
              <w:insideV w:val="nil"/>
            </w:tcBorders>
            <w:vAlign w:val="center"/>
          </w:tcPr>
          <w:p w14:paraId="67F5FE2E">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样本标签不统一、试剂与耗材管理分散、废弃物交接不严</w:t>
            </w:r>
          </w:p>
        </w:tc>
        <w:tc>
          <w:tcPr>
            <w:tcW w:w="3144" w:type="dxa"/>
            <w:tcBorders>
              <w:top w:val="nil"/>
              <w:left w:val="nil"/>
              <w:bottom w:val="nil"/>
              <w:right w:val="nil"/>
              <w:insideH w:val="nil"/>
              <w:insideV w:val="nil"/>
            </w:tcBorders>
            <w:vAlign w:val="center"/>
          </w:tcPr>
          <w:p w14:paraId="63252465">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全过程控制意识不足、台账体系不健全</w:t>
            </w:r>
          </w:p>
        </w:tc>
        <w:tc>
          <w:tcPr>
            <w:tcW w:w="2204" w:type="dxa"/>
            <w:tcBorders>
              <w:top w:val="nil"/>
              <w:left w:val="nil"/>
              <w:bottom w:val="nil"/>
              <w:right w:val="nil"/>
              <w:insideH w:val="nil"/>
              <w:insideV w:val="nil"/>
            </w:tcBorders>
            <w:vAlign w:val="center"/>
          </w:tcPr>
          <w:p w14:paraId="22F20FEF">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交叉污染、环境污染、责任难追溯</w:t>
            </w:r>
          </w:p>
        </w:tc>
      </w:tr>
      <w:tr w14:paraId="60E724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4" w:type="dxa"/>
            <w:tcBorders>
              <w:top w:val="nil"/>
              <w:left w:val="nil"/>
              <w:bottom w:val="nil"/>
              <w:right w:val="nil"/>
              <w:insideH w:val="nil"/>
              <w:insideV w:val="nil"/>
            </w:tcBorders>
            <w:vAlign w:val="center"/>
          </w:tcPr>
          <w:p w14:paraId="075CA089">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法</w:t>
            </w:r>
          </w:p>
        </w:tc>
        <w:tc>
          <w:tcPr>
            <w:tcW w:w="3224" w:type="dxa"/>
            <w:tcBorders>
              <w:top w:val="nil"/>
              <w:left w:val="nil"/>
              <w:bottom w:val="nil"/>
              <w:right w:val="nil"/>
              <w:insideH w:val="nil"/>
              <w:insideV w:val="nil"/>
            </w:tcBorders>
            <w:vAlign w:val="center"/>
          </w:tcPr>
          <w:p w14:paraId="07874CA3">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SOP不细、检查整改不反馈、应急预案停留文本层面</w:t>
            </w:r>
          </w:p>
        </w:tc>
        <w:tc>
          <w:tcPr>
            <w:tcW w:w="3144" w:type="dxa"/>
            <w:tcBorders>
              <w:top w:val="nil"/>
              <w:left w:val="nil"/>
              <w:bottom w:val="nil"/>
              <w:right w:val="nil"/>
              <w:insideH w:val="nil"/>
              <w:insideV w:val="nil"/>
            </w:tcBorders>
            <w:vAlign w:val="center"/>
          </w:tcPr>
          <w:p w14:paraId="6C93CAC6">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制度设计偏原则化、执行监督弱、反馈机制缺失</w:t>
            </w:r>
          </w:p>
        </w:tc>
        <w:tc>
          <w:tcPr>
            <w:tcW w:w="2204" w:type="dxa"/>
            <w:tcBorders>
              <w:top w:val="nil"/>
              <w:left w:val="nil"/>
              <w:bottom w:val="nil"/>
              <w:right w:val="nil"/>
              <w:insideH w:val="nil"/>
              <w:insideV w:val="nil"/>
            </w:tcBorders>
            <w:vAlign w:val="center"/>
          </w:tcPr>
          <w:p w14:paraId="120D9E4A">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隐患反复、处置迟缓、制度空转</w:t>
            </w:r>
          </w:p>
        </w:tc>
      </w:tr>
      <w:tr w14:paraId="6BCA72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4" w:type="dxa"/>
            <w:tcBorders>
              <w:top w:val="nil"/>
              <w:left w:val="nil"/>
              <w:bottom w:val="nil"/>
              <w:right w:val="nil"/>
              <w:insideH w:val="nil"/>
              <w:insideV w:val="nil"/>
            </w:tcBorders>
            <w:shd w:val="clear" w:color="auto" w:fill="auto"/>
            <w:vAlign w:val="center"/>
          </w:tcPr>
          <w:p w14:paraId="50849F94">
            <w:pPr>
              <w:snapToGrid w:val="0"/>
              <w:spacing w:after="0" w:line="240" w:lineRule="auto"/>
              <w:ind w:left="0" w:leftChars="0" w:right="0" w:rightChars="0"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cs="Times New Roman"/>
                <w:sz w:val="21"/>
                <w:szCs w:val="21"/>
              </w:rPr>
              <w:t>环</w:t>
            </w:r>
          </w:p>
        </w:tc>
        <w:tc>
          <w:tcPr>
            <w:tcW w:w="3224" w:type="dxa"/>
            <w:tcBorders>
              <w:top w:val="nil"/>
              <w:left w:val="nil"/>
              <w:bottom w:val="nil"/>
              <w:right w:val="nil"/>
              <w:insideH w:val="nil"/>
              <w:insideV w:val="nil"/>
            </w:tcBorders>
            <w:shd w:val="clear" w:color="auto" w:fill="auto"/>
            <w:vAlign w:val="center"/>
          </w:tcPr>
          <w:p w14:paraId="51D3FF2A">
            <w:pPr>
              <w:snapToGrid w:val="0"/>
              <w:spacing w:after="0" w:line="240" w:lineRule="auto"/>
              <w:ind w:left="0" w:leftChars="0" w:right="0" w:rightChars="0" w:firstLine="0" w:firstLineChars="0"/>
              <w:jc w:val="center"/>
              <w:rPr>
                <w:rFonts w:ascii="Times New Roman" w:hAnsi="Times New Roman" w:eastAsia="宋体" w:cstheme="minorBidi"/>
                <w:sz w:val="21"/>
                <w:szCs w:val="22"/>
                <w:lang w:val="en-US" w:eastAsia="zh-CN" w:bidi="ar-SA"/>
              </w:rPr>
            </w:pPr>
            <w:r>
              <w:rPr>
                <w:rFonts w:ascii="Times New Roman" w:hAnsi="Times New Roman" w:eastAsia="宋体" w:cs="Times New Roman"/>
                <w:sz w:val="21"/>
                <w:szCs w:val="21"/>
                <w:lang w:eastAsia="zh-CN"/>
              </w:rPr>
              <w:t>空间布局不合理、标识不清、清洁消毒不到位</w:t>
            </w:r>
          </w:p>
        </w:tc>
        <w:tc>
          <w:tcPr>
            <w:tcW w:w="3144" w:type="dxa"/>
            <w:tcBorders>
              <w:top w:val="nil"/>
              <w:left w:val="nil"/>
              <w:bottom w:val="nil"/>
              <w:right w:val="nil"/>
              <w:insideH w:val="nil"/>
              <w:insideV w:val="nil"/>
            </w:tcBorders>
            <w:shd w:val="clear" w:color="auto" w:fill="auto"/>
            <w:vAlign w:val="center"/>
          </w:tcPr>
          <w:p w14:paraId="6797A5AF">
            <w:pPr>
              <w:snapToGrid w:val="0"/>
              <w:spacing w:after="0" w:line="240" w:lineRule="auto"/>
              <w:ind w:left="0" w:leftChars="0" w:right="0" w:rightChars="0" w:firstLine="0" w:firstLineChars="0"/>
              <w:jc w:val="left"/>
              <w:rPr>
                <w:rFonts w:ascii="Times New Roman" w:hAnsi="Times New Roman" w:eastAsia="宋体" w:cstheme="minorBidi"/>
                <w:sz w:val="21"/>
                <w:szCs w:val="22"/>
                <w:lang w:val="en-US" w:eastAsia="zh-CN" w:bidi="ar-SA"/>
              </w:rPr>
            </w:pPr>
            <w:r>
              <w:rPr>
                <w:rFonts w:ascii="Times New Roman" w:hAnsi="Times New Roman" w:eastAsia="宋体" w:cs="Times New Roman"/>
                <w:sz w:val="21"/>
                <w:szCs w:val="21"/>
                <w:lang w:eastAsia="zh-CN"/>
              </w:rPr>
              <w:t>现场管理标准化不足、安全文化薄弱</w:t>
            </w:r>
          </w:p>
        </w:tc>
        <w:tc>
          <w:tcPr>
            <w:tcW w:w="2204" w:type="dxa"/>
            <w:tcBorders>
              <w:top w:val="nil"/>
              <w:left w:val="nil"/>
              <w:bottom w:val="nil"/>
              <w:right w:val="nil"/>
              <w:insideH w:val="nil"/>
              <w:insideV w:val="nil"/>
            </w:tcBorders>
            <w:shd w:val="clear" w:color="auto" w:fill="auto"/>
            <w:vAlign w:val="center"/>
          </w:tcPr>
          <w:p w14:paraId="60B036DA">
            <w:pPr>
              <w:snapToGrid w:val="0"/>
              <w:spacing w:after="0" w:line="240" w:lineRule="auto"/>
              <w:ind w:left="0" w:leftChars="0" w:right="0" w:rightChars="0" w:firstLine="0" w:firstLineChars="0"/>
              <w:jc w:val="center"/>
              <w:rPr>
                <w:rFonts w:ascii="Times New Roman" w:hAnsi="Times New Roman" w:eastAsia="宋体" w:cstheme="minorBidi"/>
                <w:sz w:val="21"/>
                <w:szCs w:val="22"/>
                <w:lang w:val="en-US" w:eastAsia="zh-CN" w:bidi="ar-SA"/>
              </w:rPr>
            </w:pPr>
            <w:r>
              <w:rPr>
                <w:rFonts w:ascii="Times New Roman" w:hAnsi="Times New Roman" w:eastAsia="宋体" w:cs="Times New Roman"/>
                <w:sz w:val="21"/>
                <w:szCs w:val="21"/>
                <w:lang w:eastAsia="zh-CN"/>
              </w:rPr>
              <w:t>风险叠加、人员麻痹、现场秩序差</w:t>
            </w:r>
          </w:p>
        </w:tc>
      </w:tr>
      <w:tr w14:paraId="603203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34" w:type="dxa"/>
            <w:tcBorders>
              <w:top w:val="nil"/>
              <w:left w:val="nil"/>
              <w:bottom w:val="single" w:color="auto" w:sz="12" w:space="0"/>
              <w:right w:val="nil"/>
              <w:insideH w:val="nil"/>
              <w:insideV w:val="nil"/>
            </w:tcBorders>
            <w:shd w:val="clear" w:color="auto" w:fill="auto"/>
            <w:vAlign w:val="center"/>
          </w:tcPr>
          <w:p w14:paraId="22D62A33">
            <w:pPr>
              <w:snapToGrid w:val="0"/>
              <w:spacing w:after="0" w:line="240" w:lineRule="auto"/>
              <w:ind w:left="0" w:leftChars="0" w:right="0" w:rightChars="0"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cs="Times New Roman"/>
                <w:sz w:val="21"/>
                <w:szCs w:val="21"/>
              </w:rPr>
              <w:t>测</w:t>
            </w:r>
          </w:p>
        </w:tc>
        <w:tc>
          <w:tcPr>
            <w:tcW w:w="3224" w:type="dxa"/>
            <w:tcBorders>
              <w:top w:val="nil"/>
              <w:left w:val="nil"/>
              <w:bottom w:val="single" w:color="auto" w:sz="12" w:space="0"/>
              <w:right w:val="nil"/>
              <w:insideH w:val="nil"/>
              <w:insideV w:val="nil"/>
            </w:tcBorders>
            <w:shd w:val="clear" w:color="auto" w:fill="auto"/>
            <w:vAlign w:val="center"/>
          </w:tcPr>
          <w:p w14:paraId="7BD8E73F">
            <w:pPr>
              <w:snapToGrid w:val="0"/>
              <w:spacing w:after="0" w:line="240" w:lineRule="auto"/>
              <w:ind w:left="0" w:leftChars="0" w:right="0" w:rightChars="0" w:firstLine="0" w:firstLineChars="0"/>
              <w:jc w:val="center"/>
              <w:rPr>
                <w:rFonts w:ascii="Times New Roman" w:hAnsi="Times New Roman" w:eastAsia="宋体" w:cstheme="minorBidi"/>
                <w:sz w:val="21"/>
                <w:szCs w:val="22"/>
                <w:lang w:val="en-US" w:eastAsia="zh-CN" w:bidi="ar-SA"/>
              </w:rPr>
            </w:pPr>
            <w:r>
              <w:rPr>
                <w:rFonts w:ascii="Times New Roman" w:hAnsi="Times New Roman" w:eastAsia="宋体" w:cs="Times New Roman"/>
                <w:sz w:val="21"/>
                <w:szCs w:val="21"/>
                <w:lang w:eastAsia="zh-CN"/>
              </w:rPr>
              <w:t>检查监测频次不足、数据分散、预警能力弱</w:t>
            </w:r>
          </w:p>
        </w:tc>
        <w:tc>
          <w:tcPr>
            <w:tcW w:w="3144" w:type="dxa"/>
            <w:tcBorders>
              <w:top w:val="nil"/>
              <w:left w:val="nil"/>
              <w:bottom w:val="single" w:color="auto" w:sz="12" w:space="0"/>
              <w:right w:val="nil"/>
              <w:insideH w:val="nil"/>
              <w:insideV w:val="nil"/>
            </w:tcBorders>
            <w:shd w:val="clear" w:color="auto" w:fill="auto"/>
            <w:vAlign w:val="center"/>
          </w:tcPr>
          <w:p w14:paraId="532FD18D">
            <w:pPr>
              <w:snapToGrid w:val="0"/>
              <w:spacing w:after="0" w:line="240" w:lineRule="auto"/>
              <w:ind w:left="0" w:leftChars="0" w:right="0" w:rightChars="0" w:firstLine="0" w:firstLineChars="0"/>
              <w:jc w:val="left"/>
              <w:rPr>
                <w:rFonts w:ascii="Times New Roman" w:hAnsi="Times New Roman" w:eastAsia="宋体" w:cstheme="minorBidi"/>
                <w:sz w:val="21"/>
                <w:szCs w:val="22"/>
                <w:lang w:val="en-US" w:eastAsia="zh-CN" w:bidi="ar-SA"/>
              </w:rPr>
            </w:pPr>
            <w:r>
              <w:rPr>
                <w:rFonts w:ascii="Times New Roman" w:hAnsi="Times New Roman" w:eastAsia="宋体" w:cs="Times New Roman"/>
                <w:sz w:val="21"/>
                <w:szCs w:val="21"/>
                <w:lang w:eastAsia="zh-CN"/>
              </w:rPr>
              <w:t>信息化基础薄弱、评价机制缺失</w:t>
            </w:r>
          </w:p>
        </w:tc>
        <w:tc>
          <w:tcPr>
            <w:tcW w:w="2204" w:type="dxa"/>
            <w:tcBorders>
              <w:top w:val="nil"/>
              <w:left w:val="nil"/>
              <w:bottom w:val="single" w:color="auto" w:sz="12" w:space="0"/>
              <w:right w:val="nil"/>
              <w:insideH w:val="nil"/>
              <w:insideV w:val="nil"/>
            </w:tcBorders>
            <w:shd w:val="clear" w:color="auto" w:fill="auto"/>
            <w:vAlign w:val="center"/>
          </w:tcPr>
          <w:p w14:paraId="4643AC0C">
            <w:pPr>
              <w:snapToGrid w:val="0"/>
              <w:spacing w:after="0" w:line="240" w:lineRule="auto"/>
              <w:ind w:left="0" w:leftChars="0" w:right="0" w:rightChars="0" w:firstLine="0" w:firstLineChars="0"/>
              <w:jc w:val="center"/>
              <w:rPr>
                <w:rFonts w:ascii="Times New Roman" w:hAnsi="Times New Roman" w:eastAsia="宋体" w:cstheme="minorBidi"/>
                <w:sz w:val="21"/>
                <w:szCs w:val="22"/>
                <w:lang w:val="en-US" w:eastAsia="zh-CN" w:bidi="ar-SA"/>
              </w:rPr>
            </w:pPr>
            <w:r>
              <w:rPr>
                <w:rFonts w:ascii="Times New Roman" w:hAnsi="Times New Roman" w:eastAsia="宋体" w:cs="Times New Roman"/>
                <w:sz w:val="21"/>
                <w:szCs w:val="21"/>
                <w:lang w:eastAsia="zh-CN"/>
              </w:rPr>
              <w:t>问题发现滞后、整改效果难评估</w:t>
            </w:r>
          </w:p>
        </w:tc>
      </w:tr>
    </w:tbl>
    <w:p w14:paraId="1EFF491B">
      <w:pPr>
        <w:spacing w:after="0" w:line="360" w:lineRule="auto"/>
        <w:jc w:val="both"/>
        <w:rPr>
          <w:lang w:eastAsia="zh-CN"/>
        </w:rPr>
      </w:pPr>
    </w:p>
    <w:p w14:paraId="7BEBF46B">
      <w:pPr>
        <w:spacing w:after="0" w:line="360" w:lineRule="auto"/>
        <w:ind w:firstLine="480"/>
        <w:jc w:val="both"/>
      </w:pPr>
      <w:r>
        <w:rPr>
          <w:rFonts w:ascii="Times New Roman" w:hAnsi="Times New Roman" w:eastAsia="宋体" w:cs="Times New Roman"/>
          <w:sz w:val="24"/>
          <w:lang w:eastAsia="zh-CN"/>
        </w:rPr>
        <w:t>风险矩阵是一种常用的定性风险评价工具，通常以“发生概率”和“后果严重度”为两个评价维度，通过矩阵交叉确定风险等级。该方法能够直观区分一般风险、高风险和重大风险，便于确定管理中的优先控制对象。本文选取高校生物实验室中较常见的风险场景进行分级示意，具体如图3-2所示。</w:t>
      </w:r>
    </w:p>
    <w:p w14:paraId="42A45E82">
      <w:pPr>
        <w:spacing w:after="0" w:line="360" w:lineRule="auto"/>
        <w:ind w:firstLine="480"/>
        <w:jc w:val="center"/>
      </w:pPr>
      <w:r>
        <w:drawing>
          <wp:inline distT="0" distB="0" distL="114300" distR="114300">
            <wp:extent cx="5486400" cy="3848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rcRect t="1728" b="4753"/>
                    <a:stretch>
                      <a:fillRect/>
                    </a:stretch>
                  </pic:blipFill>
                  <pic:spPr>
                    <a:xfrm>
                      <a:off x="0" y="0"/>
                      <a:ext cx="5486400" cy="3848100"/>
                    </a:xfrm>
                    <a:prstGeom prst="rect">
                      <a:avLst/>
                    </a:prstGeom>
                  </pic:spPr>
                </pic:pic>
              </a:graphicData>
            </a:graphic>
          </wp:inline>
        </w:drawing>
      </w:r>
    </w:p>
    <w:p w14:paraId="12F3D4ED">
      <w:pPr>
        <w:keepNext/>
        <w:spacing w:before="60" w:after="60" w:line="360" w:lineRule="auto"/>
        <w:jc w:val="center"/>
        <w:rPr>
          <w:lang w:eastAsia="zh-CN"/>
        </w:rPr>
      </w:pPr>
      <w:r>
        <w:rPr>
          <w:rFonts w:ascii="黑体" w:hAnsi="黑体" w:eastAsia="黑体" w:cs="Times New Roman"/>
          <w:sz w:val="21"/>
          <w:lang w:eastAsia="zh-CN"/>
        </w:rPr>
        <w:t>图3-2 风险矩阵示意图</w:t>
      </w:r>
    </w:p>
    <w:p w14:paraId="2F3C3FFF">
      <w:pPr>
        <w:spacing w:after="0" w:line="360" w:lineRule="auto"/>
        <w:ind w:firstLine="480"/>
        <w:jc w:val="both"/>
        <w:rPr>
          <w:lang w:eastAsia="zh-CN"/>
        </w:rPr>
      </w:pPr>
      <w:r>
        <w:t>风险矩阵的引入主要是为了说明高校生物实验室安全管理中不同风险并不处于同一层级。对于发生概率较高且后果较严重的风险，例如样本泄漏后未及时处置、防护设施失效而继续使用、感染性废弃物流转失控等，应优先纳入重点控制范围；对于发生概率较低但后果特别严重的风险，也不能因为少见而忽视，而应通过预案、演练和设施冗余提前进行防范。 在风险矩阵示意的基础上，表3-2选取具有代表性的实验室风险场景进行等级判断，便于区分一般控制、重点控制和高风险控制对象。</w:t>
      </w:r>
    </w:p>
    <w:p w14:paraId="7C7E2CD7">
      <w:pPr>
        <w:keepNext/>
        <w:spacing w:before="60" w:after="60" w:line="360" w:lineRule="auto"/>
        <w:jc w:val="center"/>
        <w:rPr>
          <w:rFonts w:ascii="黑体" w:hAnsi="黑体" w:eastAsia="黑体" w:cs="Times New Roman"/>
          <w:sz w:val="21"/>
          <w:szCs w:val="21"/>
          <w:lang w:eastAsia="zh-CN"/>
        </w:rPr>
      </w:pPr>
    </w:p>
    <w:p w14:paraId="356FE072">
      <w:pPr>
        <w:keepNext/>
        <w:spacing w:before="60" w:after="60" w:line="360" w:lineRule="auto"/>
        <w:jc w:val="center"/>
        <w:rPr>
          <w:lang w:eastAsia="zh-CN"/>
        </w:rPr>
      </w:pPr>
      <w:r>
        <w:rPr>
          <w:rFonts w:ascii="黑体" w:hAnsi="黑体" w:eastAsia="黑体" w:cs="Times New Roman"/>
          <w:sz w:val="21"/>
          <w:szCs w:val="21"/>
          <w:lang w:eastAsia="zh-CN"/>
        </w:rPr>
        <w:t>表3-2 高校生物实验室风险矩阵判断简表</w:t>
      </w:r>
    </w:p>
    <w:tbl>
      <w:tblPr>
        <w:tblStyle w:val="36"/>
        <w:tblW w:w="940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75"/>
        <w:gridCol w:w="1825"/>
        <w:gridCol w:w="2083"/>
        <w:gridCol w:w="1621"/>
      </w:tblGrid>
      <w:tr w14:paraId="2E4392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3875" w:type="dxa"/>
            <w:tcBorders>
              <w:top w:val="single" w:color="auto" w:sz="12" w:space="0"/>
              <w:left w:val="nil"/>
              <w:bottom w:val="single" w:color="auto" w:sz="4" w:space="0"/>
              <w:right w:val="nil"/>
              <w:insideH w:val="nil"/>
              <w:insideV w:val="nil"/>
            </w:tcBorders>
            <w:vAlign w:val="center"/>
          </w:tcPr>
          <w:p w14:paraId="200241D8">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风险场景</w:t>
            </w:r>
          </w:p>
        </w:tc>
        <w:tc>
          <w:tcPr>
            <w:tcW w:w="1825" w:type="dxa"/>
            <w:tcBorders>
              <w:top w:val="single" w:color="auto" w:sz="12" w:space="0"/>
              <w:left w:val="nil"/>
              <w:bottom w:val="single" w:color="auto" w:sz="4" w:space="0"/>
              <w:right w:val="nil"/>
              <w:insideH w:val="nil"/>
              <w:insideV w:val="nil"/>
            </w:tcBorders>
            <w:vAlign w:val="center"/>
          </w:tcPr>
          <w:p w14:paraId="11A4B970">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发生概率判断</w:t>
            </w:r>
          </w:p>
        </w:tc>
        <w:tc>
          <w:tcPr>
            <w:tcW w:w="2083" w:type="dxa"/>
            <w:tcBorders>
              <w:top w:val="single" w:color="auto" w:sz="12" w:space="0"/>
              <w:left w:val="nil"/>
              <w:bottom w:val="single" w:color="auto" w:sz="4" w:space="0"/>
              <w:right w:val="nil"/>
              <w:insideH w:val="nil"/>
              <w:insideV w:val="nil"/>
            </w:tcBorders>
            <w:vAlign w:val="center"/>
          </w:tcPr>
          <w:p w14:paraId="776AB97A">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后果严重度判断</w:t>
            </w:r>
          </w:p>
        </w:tc>
        <w:tc>
          <w:tcPr>
            <w:tcW w:w="1621" w:type="dxa"/>
            <w:tcBorders>
              <w:top w:val="single" w:color="auto" w:sz="12" w:space="0"/>
              <w:left w:val="nil"/>
              <w:bottom w:val="single" w:color="auto" w:sz="4" w:space="0"/>
              <w:right w:val="nil"/>
              <w:insideH w:val="nil"/>
              <w:insideV w:val="nil"/>
            </w:tcBorders>
            <w:vAlign w:val="center"/>
          </w:tcPr>
          <w:p w14:paraId="545A7B93">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建议等级</w:t>
            </w:r>
          </w:p>
        </w:tc>
      </w:tr>
      <w:tr w14:paraId="23D553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875" w:type="dxa"/>
            <w:tcBorders>
              <w:top w:val="single" w:color="auto" w:sz="4" w:space="0"/>
              <w:left w:val="nil"/>
              <w:bottom w:val="nil"/>
              <w:right w:val="nil"/>
              <w:insideH w:val="nil"/>
              <w:insideV w:val="nil"/>
            </w:tcBorders>
            <w:vAlign w:val="center"/>
          </w:tcPr>
          <w:p w14:paraId="716327CC">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未经过授权擅自使用高风险设备</w:t>
            </w:r>
          </w:p>
        </w:tc>
        <w:tc>
          <w:tcPr>
            <w:tcW w:w="1825" w:type="dxa"/>
            <w:tcBorders>
              <w:top w:val="single" w:color="auto" w:sz="4" w:space="0"/>
              <w:left w:val="nil"/>
              <w:bottom w:val="nil"/>
              <w:right w:val="nil"/>
              <w:insideH w:val="nil"/>
              <w:insideV w:val="nil"/>
            </w:tcBorders>
            <w:vAlign w:val="center"/>
          </w:tcPr>
          <w:p w14:paraId="03FAA3D7">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中等</w:t>
            </w:r>
          </w:p>
        </w:tc>
        <w:tc>
          <w:tcPr>
            <w:tcW w:w="2083" w:type="dxa"/>
            <w:tcBorders>
              <w:top w:val="single" w:color="auto" w:sz="4" w:space="0"/>
              <w:left w:val="nil"/>
              <w:bottom w:val="nil"/>
              <w:right w:val="nil"/>
              <w:insideH w:val="nil"/>
              <w:insideV w:val="nil"/>
            </w:tcBorders>
            <w:vAlign w:val="center"/>
          </w:tcPr>
          <w:p w14:paraId="416C23C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严重</w:t>
            </w:r>
          </w:p>
        </w:tc>
        <w:tc>
          <w:tcPr>
            <w:tcW w:w="1621" w:type="dxa"/>
            <w:tcBorders>
              <w:top w:val="single" w:color="auto" w:sz="4" w:space="0"/>
              <w:left w:val="nil"/>
              <w:bottom w:val="nil"/>
              <w:right w:val="nil"/>
              <w:insideH w:val="nil"/>
              <w:insideV w:val="nil"/>
            </w:tcBorders>
            <w:vAlign w:val="center"/>
          </w:tcPr>
          <w:p w14:paraId="6CA57DB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Ⅳ 高风险</w:t>
            </w:r>
          </w:p>
        </w:tc>
      </w:tr>
      <w:tr w14:paraId="7596A4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875" w:type="dxa"/>
            <w:tcBorders>
              <w:top w:val="nil"/>
              <w:left w:val="nil"/>
              <w:bottom w:val="nil"/>
              <w:right w:val="nil"/>
              <w:insideH w:val="nil"/>
              <w:insideV w:val="nil"/>
            </w:tcBorders>
            <w:vAlign w:val="center"/>
          </w:tcPr>
          <w:p w14:paraId="49E253D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样本标签缺失或错贴</w:t>
            </w:r>
          </w:p>
        </w:tc>
        <w:tc>
          <w:tcPr>
            <w:tcW w:w="1825" w:type="dxa"/>
            <w:tcBorders>
              <w:top w:val="nil"/>
              <w:left w:val="nil"/>
              <w:bottom w:val="nil"/>
              <w:right w:val="nil"/>
              <w:insideH w:val="nil"/>
              <w:insideV w:val="nil"/>
            </w:tcBorders>
            <w:vAlign w:val="center"/>
          </w:tcPr>
          <w:p w14:paraId="0AB6D31F">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较高</w:t>
            </w:r>
          </w:p>
        </w:tc>
        <w:tc>
          <w:tcPr>
            <w:tcW w:w="2083" w:type="dxa"/>
            <w:tcBorders>
              <w:top w:val="nil"/>
              <w:left w:val="nil"/>
              <w:bottom w:val="nil"/>
              <w:right w:val="nil"/>
              <w:insideH w:val="nil"/>
              <w:insideV w:val="nil"/>
            </w:tcBorders>
            <w:vAlign w:val="center"/>
          </w:tcPr>
          <w:p w14:paraId="22CDFD5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较重</w:t>
            </w:r>
          </w:p>
        </w:tc>
        <w:tc>
          <w:tcPr>
            <w:tcW w:w="1621" w:type="dxa"/>
            <w:tcBorders>
              <w:top w:val="nil"/>
              <w:left w:val="nil"/>
              <w:bottom w:val="nil"/>
              <w:right w:val="nil"/>
              <w:insideH w:val="nil"/>
              <w:insideV w:val="nil"/>
            </w:tcBorders>
            <w:vAlign w:val="center"/>
          </w:tcPr>
          <w:p w14:paraId="537CCB7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Ⅲ 重点控制</w:t>
            </w:r>
          </w:p>
        </w:tc>
      </w:tr>
      <w:tr w14:paraId="084BDD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875" w:type="dxa"/>
            <w:tcBorders>
              <w:top w:val="nil"/>
              <w:left w:val="nil"/>
              <w:bottom w:val="nil"/>
              <w:right w:val="nil"/>
              <w:insideH w:val="nil"/>
              <w:insideV w:val="nil"/>
            </w:tcBorders>
            <w:vAlign w:val="center"/>
          </w:tcPr>
          <w:p w14:paraId="2F3BDBCE">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生物安全柜运行异常继续操作</w:t>
            </w:r>
          </w:p>
        </w:tc>
        <w:tc>
          <w:tcPr>
            <w:tcW w:w="1825" w:type="dxa"/>
            <w:tcBorders>
              <w:top w:val="nil"/>
              <w:left w:val="nil"/>
              <w:bottom w:val="nil"/>
              <w:right w:val="nil"/>
              <w:insideH w:val="nil"/>
              <w:insideV w:val="nil"/>
            </w:tcBorders>
            <w:vAlign w:val="center"/>
          </w:tcPr>
          <w:p w14:paraId="266C3731">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较低</w:t>
            </w:r>
          </w:p>
        </w:tc>
        <w:tc>
          <w:tcPr>
            <w:tcW w:w="2083" w:type="dxa"/>
            <w:tcBorders>
              <w:top w:val="nil"/>
              <w:left w:val="nil"/>
              <w:bottom w:val="nil"/>
              <w:right w:val="nil"/>
              <w:insideH w:val="nil"/>
              <w:insideV w:val="nil"/>
            </w:tcBorders>
            <w:vAlign w:val="center"/>
          </w:tcPr>
          <w:p w14:paraId="208E25F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特别严重</w:t>
            </w:r>
          </w:p>
        </w:tc>
        <w:tc>
          <w:tcPr>
            <w:tcW w:w="1621" w:type="dxa"/>
            <w:tcBorders>
              <w:top w:val="nil"/>
              <w:left w:val="nil"/>
              <w:bottom w:val="nil"/>
              <w:right w:val="nil"/>
              <w:insideH w:val="nil"/>
              <w:insideV w:val="nil"/>
            </w:tcBorders>
            <w:vAlign w:val="center"/>
          </w:tcPr>
          <w:p w14:paraId="08538CC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Ⅴ 重大风险</w:t>
            </w:r>
          </w:p>
        </w:tc>
      </w:tr>
      <w:tr w14:paraId="62ED54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875" w:type="dxa"/>
            <w:tcBorders>
              <w:top w:val="nil"/>
              <w:left w:val="nil"/>
              <w:bottom w:val="nil"/>
              <w:right w:val="nil"/>
              <w:insideH w:val="nil"/>
              <w:insideV w:val="nil"/>
            </w:tcBorders>
            <w:vAlign w:val="center"/>
          </w:tcPr>
          <w:p w14:paraId="617858C1">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感染性废弃物混入普通垃圾</w:t>
            </w:r>
          </w:p>
        </w:tc>
        <w:tc>
          <w:tcPr>
            <w:tcW w:w="1825" w:type="dxa"/>
            <w:tcBorders>
              <w:top w:val="nil"/>
              <w:left w:val="nil"/>
              <w:bottom w:val="nil"/>
              <w:right w:val="nil"/>
              <w:insideH w:val="nil"/>
              <w:insideV w:val="nil"/>
            </w:tcBorders>
            <w:vAlign w:val="center"/>
          </w:tcPr>
          <w:p w14:paraId="60F1DCBF">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中等</w:t>
            </w:r>
          </w:p>
        </w:tc>
        <w:tc>
          <w:tcPr>
            <w:tcW w:w="2083" w:type="dxa"/>
            <w:tcBorders>
              <w:top w:val="nil"/>
              <w:left w:val="nil"/>
              <w:bottom w:val="nil"/>
              <w:right w:val="nil"/>
              <w:insideH w:val="nil"/>
              <w:insideV w:val="nil"/>
            </w:tcBorders>
            <w:vAlign w:val="center"/>
          </w:tcPr>
          <w:p w14:paraId="39AE762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严重</w:t>
            </w:r>
          </w:p>
        </w:tc>
        <w:tc>
          <w:tcPr>
            <w:tcW w:w="1621" w:type="dxa"/>
            <w:tcBorders>
              <w:top w:val="nil"/>
              <w:left w:val="nil"/>
              <w:bottom w:val="nil"/>
              <w:right w:val="nil"/>
              <w:insideH w:val="nil"/>
              <w:insideV w:val="nil"/>
            </w:tcBorders>
            <w:vAlign w:val="center"/>
          </w:tcPr>
          <w:p w14:paraId="74F7D683">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Ⅳ 高风险</w:t>
            </w:r>
          </w:p>
        </w:tc>
      </w:tr>
      <w:tr w14:paraId="17F5C1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875" w:type="dxa"/>
            <w:tcBorders>
              <w:top w:val="nil"/>
              <w:left w:val="nil"/>
              <w:bottom w:val="nil"/>
              <w:right w:val="nil"/>
              <w:insideH w:val="nil"/>
              <w:insideV w:val="nil"/>
            </w:tcBorders>
            <w:vAlign w:val="center"/>
          </w:tcPr>
          <w:p w14:paraId="45D753A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实验台面消毒不彻底</w:t>
            </w:r>
          </w:p>
        </w:tc>
        <w:tc>
          <w:tcPr>
            <w:tcW w:w="1825" w:type="dxa"/>
            <w:tcBorders>
              <w:top w:val="nil"/>
              <w:left w:val="nil"/>
              <w:bottom w:val="nil"/>
              <w:right w:val="nil"/>
              <w:insideH w:val="nil"/>
              <w:insideV w:val="nil"/>
            </w:tcBorders>
            <w:vAlign w:val="center"/>
          </w:tcPr>
          <w:p w14:paraId="70B04A4F">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较高</w:t>
            </w:r>
          </w:p>
        </w:tc>
        <w:tc>
          <w:tcPr>
            <w:tcW w:w="2083" w:type="dxa"/>
            <w:tcBorders>
              <w:top w:val="nil"/>
              <w:left w:val="nil"/>
              <w:bottom w:val="nil"/>
              <w:right w:val="nil"/>
              <w:insideH w:val="nil"/>
              <w:insideV w:val="nil"/>
            </w:tcBorders>
            <w:vAlign w:val="center"/>
          </w:tcPr>
          <w:p w14:paraId="361FBE7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一般至较重</w:t>
            </w:r>
          </w:p>
        </w:tc>
        <w:tc>
          <w:tcPr>
            <w:tcW w:w="1621" w:type="dxa"/>
            <w:tcBorders>
              <w:top w:val="nil"/>
              <w:left w:val="nil"/>
              <w:bottom w:val="nil"/>
              <w:right w:val="nil"/>
              <w:insideH w:val="nil"/>
              <w:insideV w:val="nil"/>
            </w:tcBorders>
            <w:vAlign w:val="center"/>
          </w:tcPr>
          <w:p w14:paraId="7AD9FE1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Ⅱ—Ⅲ</w:t>
            </w:r>
          </w:p>
        </w:tc>
      </w:tr>
      <w:tr w14:paraId="34B65D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875" w:type="dxa"/>
            <w:tcBorders>
              <w:top w:val="nil"/>
              <w:left w:val="nil"/>
              <w:bottom w:val="single" w:color="auto" w:sz="12" w:space="0"/>
              <w:right w:val="nil"/>
              <w:insideH w:val="nil"/>
              <w:insideV w:val="nil"/>
            </w:tcBorders>
            <w:vAlign w:val="center"/>
          </w:tcPr>
          <w:p w14:paraId="49FAE902">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应急物资不足导致处置迟缓</w:t>
            </w:r>
          </w:p>
        </w:tc>
        <w:tc>
          <w:tcPr>
            <w:tcW w:w="1825" w:type="dxa"/>
            <w:tcBorders>
              <w:top w:val="nil"/>
              <w:left w:val="nil"/>
              <w:bottom w:val="single" w:color="auto" w:sz="12" w:space="0"/>
              <w:right w:val="nil"/>
              <w:insideH w:val="nil"/>
              <w:insideV w:val="nil"/>
            </w:tcBorders>
            <w:vAlign w:val="center"/>
          </w:tcPr>
          <w:p w14:paraId="39C9C5CC">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较低</w:t>
            </w:r>
          </w:p>
        </w:tc>
        <w:tc>
          <w:tcPr>
            <w:tcW w:w="2083" w:type="dxa"/>
            <w:tcBorders>
              <w:top w:val="nil"/>
              <w:left w:val="nil"/>
              <w:bottom w:val="single" w:color="auto" w:sz="12" w:space="0"/>
              <w:right w:val="nil"/>
              <w:insideH w:val="nil"/>
              <w:insideV w:val="nil"/>
            </w:tcBorders>
            <w:vAlign w:val="center"/>
          </w:tcPr>
          <w:p w14:paraId="0CB5F54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严重</w:t>
            </w:r>
          </w:p>
        </w:tc>
        <w:tc>
          <w:tcPr>
            <w:tcW w:w="1621" w:type="dxa"/>
            <w:tcBorders>
              <w:top w:val="nil"/>
              <w:left w:val="nil"/>
              <w:bottom w:val="single" w:color="auto" w:sz="12" w:space="0"/>
              <w:right w:val="nil"/>
              <w:insideH w:val="nil"/>
              <w:insideV w:val="nil"/>
            </w:tcBorders>
            <w:vAlign w:val="center"/>
          </w:tcPr>
          <w:p w14:paraId="3B90952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Ⅳ 高风险</w:t>
            </w:r>
          </w:p>
        </w:tc>
      </w:tr>
    </w:tbl>
    <w:p w14:paraId="533A0FAA">
      <w:pPr>
        <w:spacing w:after="0" w:line="360" w:lineRule="auto"/>
        <w:ind w:firstLine="480"/>
        <w:jc w:val="both"/>
      </w:pPr>
    </w:p>
    <w:p w14:paraId="7577C672">
      <w:pPr>
        <w:keepNext/>
        <w:spacing w:after="0" w:line="360" w:lineRule="auto"/>
        <w:ind w:firstLine="480" w:firstLineChars="200"/>
        <w:outlineLvl w:val="1"/>
        <w:rPr>
          <w:lang w:eastAsia="zh-CN"/>
        </w:rPr>
      </w:pPr>
      <w:bookmarkStart w:id="33" w:name="_Toc23870"/>
      <w:bookmarkStart w:id="34" w:name="_Toc4423"/>
      <w:bookmarkStart w:id="35" w:name="_Toc14295"/>
      <w:r>
        <w:rPr>
          <w:rFonts w:ascii="Times New Roman" w:hAnsi="Times New Roman" w:eastAsia="黑体" w:cs="黑体"/>
          <w:sz w:val="24"/>
          <w:lang w:eastAsia="zh-CN"/>
        </w:rPr>
        <w:t>3.2　人员因素：安全意识与能力培养不足</w:t>
      </w:r>
      <w:bookmarkEnd w:id="33"/>
      <w:bookmarkEnd w:id="34"/>
      <w:bookmarkEnd w:id="35"/>
    </w:p>
    <w:p w14:paraId="0F04ED84">
      <w:pPr>
        <w:spacing w:after="0" w:line="360" w:lineRule="auto"/>
        <w:ind w:firstLine="480"/>
        <w:jc w:val="both"/>
        <w:rPr>
          <w:lang w:eastAsia="zh-CN"/>
        </w:rPr>
      </w:pPr>
      <w:r>
        <w:rPr>
          <w:rFonts w:ascii="Times New Roman" w:hAnsi="Times New Roman" w:eastAsia="宋体" w:cs="Times New Roman"/>
          <w:sz w:val="24"/>
          <w:lang w:eastAsia="zh-CN"/>
        </w:rPr>
        <w:t>人员因素是高校生物实验室安全管理中最基础</w:t>
      </w:r>
      <w:r>
        <w:rPr>
          <w:rFonts w:hint="eastAsia" w:cs="Times New Roman"/>
          <w:sz w:val="24"/>
          <w:lang w:eastAsia="zh-CN"/>
        </w:rPr>
        <w:t>，也</w:t>
      </w:r>
      <w:r>
        <w:rPr>
          <w:rFonts w:ascii="Times New Roman" w:hAnsi="Times New Roman" w:eastAsia="宋体" w:cs="Times New Roman"/>
          <w:sz w:val="24"/>
          <w:lang w:eastAsia="zh-CN"/>
        </w:rPr>
        <w:t>最不稳定的因素。生物实验室的使用人员包括教师、实验技术人员、研究生、本科生以及临时进入实验室的科研助理等，不同人员的学习背景、风险认知水平和操作熟练程度差异较大。在这种情况下，如果安全培训只停留在统一宣讲层面，很难保证每一类人员都真正理解与自己相关的风险点。</w:t>
      </w:r>
    </w:p>
    <w:p w14:paraId="4B189C39">
      <w:pPr>
        <w:spacing w:after="0" w:line="360" w:lineRule="auto"/>
        <w:ind w:firstLine="480"/>
        <w:jc w:val="both"/>
        <w:rPr>
          <w:lang w:eastAsia="zh-CN"/>
        </w:rPr>
      </w:pPr>
      <w:r>
        <w:rPr>
          <w:rFonts w:ascii="Times New Roman" w:hAnsi="Times New Roman" w:eastAsia="宋体"/>
          <w:sz w:val="24"/>
          <w:lang w:eastAsia="zh-CN"/>
        </w:rPr>
        <w:t>从成因上看，首先是安全教育的针对性仍然不够。很多高校已经建立了实验室准入考试制度，但考试内容往往偏向通用安全知识，对生物实验室中样本污染、气溶胶暴露、锐器伤、废弃物分类和暴露事故报告等内容涉及不深，导致实验人员知道有要求，却不一定知道为什么这样做、做错了会怎样。对于本科生和初入实验室的研究生而言，这种知道但不理解的状态尤其容易转化为操作层面的随意性</w:t>
      </w:r>
      <w:r>
        <w:rPr>
          <w:rFonts w:ascii="宋体" w:hAnsi="宋体"/>
          <w:sz w:val="18"/>
          <w:vertAlign w:val="superscript"/>
          <w:lang w:eastAsia="zh-CN"/>
        </w:rPr>
        <w:t>[2][3]</w:t>
      </w:r>
      <w:r>
        <w:rPr>
          <w:rFonts w:ascii="Times New Roman" w:hAnsi="Times New Roman" w:eastAsia="宋体"/>
          <w:sz w:val="24"/>
          <w:lang w:eastAsia="zh-CN"/>
        </w:rPr>
        <w:t>。</w:t>
      </w:r>
    </w:p>
    <w:p w14:paraId="0A2E0430">
      <w:pPr>
        <w:spacing w:after="0" w:line="360" w:lineRule="auto"/>
        <w:ind w:firstLine="480"/>
        <w:jc w:val="both"/>
        <w:rPr>
          <w:lang w:eastAsia="zh-CN"/>
        </w:rPr>
      </w:pPr>
      <w:r>
        <w:rPr>
          <w:rFonts w:ascii="Times New Roman" w:hAnsi="Times New Roman" w:eastAsia="宋体" w:cs="Times New Roman"/>
          <w:sz w:val="24"/>
          <w:lang w:eastAsia="zh-CN"/>
        </w:rPr>
        <w:t>其次，培训与实际操作之间存在断点。像生物安全柜、高压灭菌锅、离心机等设备，往往需要教师或实验技术人员现场示范，单靠文字制度很难完全掌握。若培训结束后缺少上手演练、带教确认和随机抽查，实验人员进入实验室后仍然可能按照经验或他人习惯操作，一旦碰到异常情况又缺少判断依据。</w:t>
      </w:r>
    </w:p>
    <w:p w14:paraId="226351DF">
      <w:pPr>
        <w:spacing w:after="0" w:line="360" w:lineRule="auto"/>
        <w:ind w:firstLine="480"/>
        <w:jc w:val="both"/>
        <w:rPr>
          <w:lang w:eastAsia="zh-CN"/>
        </w:rPr>
      </w:pPr>
      <w:r>
        <w:rPr>
          <w:rFonts w:ascii="Times New Roman" w:hAnsi="Times New Roman" w:eastAsia="宋体" w:cs="Times New Roman"/>
          <w:sz w:val="24"/>
          <w:lang w:eastAsia="zh-CN"/>
        </w:rPr>
        <w:t>再次，责任落实还不够具体。实验室安全责任虽然通常会写到学校、学院、实验室负责人和个人，但在具体场景中，有些责任并没有真正细化到岗位和环节。比如，公共冰箱中样本由谁定期清理、共享设备由谁维护记录、危废交接由谁签字确认，这些看似细小的问题，如果长期没有明确责任人，就会变成管理未覆盖环节。</w:t>
      </w:r>
    </w:p>
    <w:p w14:paraId="5748A6D6">
      <w:pPr>
        <w:spacing w:after="0" w:line="360" w:lineRule="auto"/>
        <w:ind w:firstLine="480"/>
        <w:jc w:val="both"/>
        <w:rPr>
          <w:lang w:eastAsia="zh-CN"/>
        </w:rPr>
      </w:pPr>
      <w:r>
        <w:rPr>
          <w:rFonts w:ascii="Times New Roman" w:hAnsi="Times New Roman" w:eastAsia="宋体" w:cs="Times New Roman"/>
          <w:sz w:val="24"/>
          <w:lang w:eastAsia="zh-CN"/>
        </w:rPr>
        <w:t>从风险后果上看，人员因素往往是最直接的触发因素。即使设备和制度都相对完善，只要实验人员在关键环节存在侥幸心理或操作不规范，仍可能使风险由潜在状态转为现实事件。因此，在高校生物实验室安全管理中，人员因素既是初始环节，也是所有控制措施最终落脚的对象。</w:t>
      </w:r>
    </w:p>
    <w:p w14:paraId="19353CE1">
      <w:pPr>
        <w:keepNext/>
        <w:spacing w:after="0" w:line="360" w:lineRule="auto"/>
        <w:ind w:firstLine="480" w:firstLineChars="200"/>
        <w:outlineLvl w:val="1"/>
        <w:rPr>
          <w:lang w:eastAsia="zh-CN"/>
        </w:rPr>
      </w:pPr>
      <w:bookmarkStart w:id="36" w:name="_Toc22263"/>
      <w:bookmarkStart w:id="37" w:name="_Toc10910"/>
      <w:bookmarkStart w:id="38" w:name="_Toc24676"/>
      <w:r>
        <w:rPr>
          <w:rFonts w:ascii="Times New Roman" w:hAnsi="Times New Roman" w:eastAsia="黑体" w:cs="黑体"/>
          <w:sz w:val="24"/>
          <w:lang w:eastAsia="zh-CN"/>
        </w:rPr>
        <w:t>3.3　设备因素：安全设施运行维护过程不完整</w:t>
      </w:r>
      <w:bookmarkEnd w:id="36"/>
      <w:bookmarkEnd w:id="37"/>
      <w:bookmarkEnd w:id="38"/>
    </w:p>
    <w:p w14:paraId="2A6D551D">
      <w:pPr>
        <w:spacing w:after="0" w:line="360" w:lineRule="auto"/>
        <w:ind w:firstLine="480"/>
        <w:jc w:val="both"/>
        <w:rPr>
          <w:lang w:eastAsia="zh-CN"/>
        </w:rPr>
      </w:pPr>
      <w:r>
        <w:rPr>
          <w:rFonts w:ascii="Times New Roman" w:hAnsi="Times New Roman" w:eastAsia="宋体" w:cs="Times New Roman"/>
          <w:sz w:val="24"/>
          <w:lang w:eastAsia="zh-CN"/>
        </w:rPr>
        <w:t>设备设施是高校生物实验室安全运行的重要支撑。生物安全柜、通风系统、高压灭菌锅、离心机、培养箱、低温冰箱等设备不仅服务于实验过程，也承担着风险隔离和安全防护功能。与普通教学设备相比，这些设施的管理要求更高，因为一旦性能下降或防护功能失效，其后果往往并非单纯的实验失败，而可能是样本泄漏、人员暴露或污染扩散。</w:t>
      </w:r>
    </w:p>
    <w:p w14:paraId="3F66F70D">
      <w:pPr>
        <w:spacing w:after="0" w:line="360" w:lineRule="auto"/>
        <w:ind w:firstLine="480"/>
        <w:jc w:val="both"/>
        <w:rPr>
          <w:lang w:eastAsia="zh-CN"/>
        </w:rPr>
      </w:pPr>
      <w:r>
        <w:rPr>
          <w:rFonts w:ascii="Times New Roman" w:hAnsi="Times New Roman" w:eastAsia="宋体"/>
          <w:sz w:val="24"/>
          <w:lang w:eastAsia="zh-CN"/>
        </w:rPr>
        <w:t>当前设备因素的问题，不只是有没有设备，更在于设备能否持续保持可靠状态。一些实验室在设备采购和验收阶段较为重视，但对后续维护、校准、性能检测和使用记录关注不足，容易出现设备可以开机但状态不清、记录不全的情况。尤其是生物安全柜、灭菌设备和通风设施，如果长期缺少性能验证，就难以确认其是否仍然满足安全使用要求</w:t>
      </w:r>
      <w:r>
        <w:rPr>
          <w:rFonts w:ascii="宋体" w:hAnsi="宋体"/>
          <w:sz w:val="18"/>
          <w:vertAlign w:val="superscript"/>
          <w:lang w:eastAsia="zh-CN"/>
        </w:rPr>
        <w:t>[5][6]</w:t>
      </w:r>
      <w:r>
        <w:rPr>
          <w:rFonts w:ascii="Times New Roman" w:hAnsi="Times New Roman" w:eastAsia="宋体"/>
          <w:sz w:val="24"/>
          <w:lang w:eastAsia="zh-CN"/>
        </w:rPr>
        <w:t>。</w:t>
      </w:r>
    </w:p>
    <w:p w14:paraId="6C208C6E">
      <w:pPr>
        <w:spacing w:after="0" w:line="360" w:lineRule="auto"/>
        <w:ind w:firstLine="480"/>
        <w:jc w:val="both"/>
        <w:rPr>
          <w:lang w:eastAsia="zh-CN"/>
        </w:rPr>
      </w:pPr>
      <w:r>
        <w:rPr>
          <w:rFonts w:ascii="Times New Roman" w:hAnsi="Times New Roman" w:eastAsia="宋体" w:cs="Times New Roman"/>
          <w:sz w:val="24"/>
          <w:lang w:eastAsia="zh-CN"/>
        </w:rPr>
        <w:t>共享设备管理也是一个容易出现漏洞的环节。高校实验室中很多设备由多个课题组共同使用，使用人员多、使用频率高。如果缺少预约、授权、使用记录和故障报告机制，设备损坏或状态异常就很容易被忽视，甚至出现谁都在用、谁也不负责的情况。对安全防护类设备而言，这种管理缺陷比设备本身老化更值得警惕。</w:t>
      </w:r>
    </w:p>
    <w:p w14:paraId="37B84894">
      <w:pPr>
        <w:spacing w:after="0" w:line="360" w:lineRule="auto"/>
        <w:ind w:firstLine="480"/>
        <w:jc w:val="both"/>
        <w:rPr>
          <w:lang w:eastAsia="zh-CN"/>
        </w:rPr>
      </w:pPr>
      <w:r>
        <w:rPr>
          <w:rFonts w:ascii="Times New Roman" w:hAnsi="Times New Roman" w:eastAsia="宋体" w:cs="Times New Roman"/>
          <w:sz w:val="24"/>
          <w:lang w:eastAsia="zh-CN"/>
        </w:rPr>
        <w:t>从深层原因看，设备因素的不足与全寿命周期管理意识不足有关。部分实验室更重视前期投入，而对后期维护经费、备件保障、检测计划和报废更新机制准备不足。再加上一些高校实验技术队伍人员数量有限、任务较重，容易出现日常巡检不连续、维护保养缺乏计划性的问题。</w:t>
      </w:r>
    </w:p>
    <w:p w14:paraId="33C52FE8">
      <w:pPr>
        <w:spacing w:after="0" w:line="360" w:lineRule="auto"/>
        <w:ind w:firstLine="480"/>
        <w:jc w:val="both"/>
        <w:rPr>
          <w:lang w:eastAsia="zh-CN"/>
        </w:rPr>
      </w:pPr>
      <w:r>
        <w:rPr>
          <w:rFonts w:ascii="Times New Roman" w:hAnsi="Times New Roman" w:eastAsia="宋体" w:cs="Times New Roman"/>
          <w:sz w:val="24"/>
          <w:lang w:eastAsia="zh-CN"/>
        </w:rPr>
        <w:t>设备因素的风险后果具有放大效应。当人员培训不足、样本管理不规范等问题与设备失效叠加时，事故风险会明显上升。因此，设备管理并不是后勤支持性工作，而是实验室安全控制中的关键控制措施。</w:t>
      </w:r>
    </w:p>
    <w:p w14:paraId="2ECB9E77">
      <w:pPr>
        <w:keepNext/>
        <w:spacing w:after="0" w:line="360" w:lineRule="auto"/>
        <w:ind w:firstLine="480" w:firstLineChars="200"/>
        <w:outlineLvl w:val="1"/>
        <w:rPr>
          <w:lang w:eastAsia="zh-CN"/>
        </w:rPr>
      </w:pPr>
      <w:bookmarkStart w:id="39" w:name="_Toc30654"/>
      <w:bookmarkStart w:id="40" w:name="_Toc2031"/>
      <w:bookmarkStart w:id="41" w:name="_Toc31126"/>
      <w:r>
        <w:rPr>
          <w:rFonts w:ascii="Times New Roman" w:hAnsi="Times New Roman" w:eastAsia="黑体" w:cs="黑体"/>
          <w:sz w:val="24"/>
          <w:lang w:eastAsia="zh-CN"/>
        </w:rPr>
        <w:t>3.4　材料因素：样本、试剂和废弃物全过程管理不足</w:t>
      </w:r>
      <w:bookmarkEnd w:id="39"/>
      <w:bookmarkEnd w:id="40"/>
      <w:bookmarkEnd w:id="41"/>
    </w:p>
    <w:p w14:paraId="548B0423">
      <w:pPr>
        <w:spacing w:after="0" w:line="360" w:lineRule="auto"/>
        <w:ind w:firstLine="480"/>
        <w:jc w:val="both"/>
        <w:rPr>
          <w:lang w:eastAsia="zh-CN"/>
        </w:rPr>
      </w:pPr>
      <w:r>
        <w:rPr>
          <w:rFonts w:ascii="Times New Roman" w:hAnsi="Times New Roman" w:eastAsia="宋体" w:cs="Times New Roman"/>
          <w:sz w:val="24"/>
          <w:lang w:eastAsia="zh-CN"/>
        </w:rPr>
        <w:t>料在高校生物实验室安全管理中主要对应生物样本、菌种、试剂、耗材以及实验废弃物。与一般办公物资不同，这些对象往往兼具专业属性、风险属性和可追溯属性，必须在采购、接收、标识、储存、领用、使用、暂存、转运和处置等多个环节实施控制。</w:t>
      </w:r>
    </w:p>
    <w:p w14:paraId="742A8270">
      <w:pPr>
        <w:spacing w:after="0" w:line="360" w:lineRule="auto"/>
        <w:ind w:firstLine="480"/>
        <w:jc w:val="both"/>
        <w:rPr>
          <w:lang w:eastAsia="zh-CN"/>
        </w:rPr>
      </w:pPr>
      <w:r>
        <w:t>现实中较为常见的问题包括：样本标签内容不统一，难以快速识别样本来源、时间和责任人；试剂领用记录简化甚至缺失，导致剩余量与实际使用量对不上；危险性较高的样本或试剂未按要求分区存放；感染性废弃物、锐器废弃物和普通废弃物混放，或暂存时间过长、交接记录不完整等。这些问题未必会立刻引发严重事件，但会持续累积风险</w:t>
      </w:r>
      <w:r>
        <w:rPr>
          <w:vertAlign w:val="superscript"/>
        </w:rPr>
        <w:t>[2][6][14]</w:t>
      </w:r>
      <w:r>
        <w:t>。</w:t>
      </w:r>
    </w:p>
    <w:p w14:paraId="1DDAE6B8">
      <w:pPr>
        <w:spacing w:after="0" w:line="360" w:lineRule="auto"/>
        <w:ind w:firstLine="480"/>
        <w:jc w:val="both"/>
        <w:rPr>
          <w:lang w:eastAsia="zh-CN"/>
        </w:rPr>
      </w:pPr>
      <w:r>
        <w:rPr>
          <w:rFonts w:ascii="Times New Roman" w:hAnsi="Times New Roman" w:eastAsia="宋体" w:cs="Times New Roman"/>
          <w:sz w:val="24"/>
          <w:lang w:eastAsia="zh-CN"/>
        </w:rPr>
        <w:t>造成上述问题的一个重要原因是全过程管理意识不足。很多实验室更关注实验能否做出来，而对材料从进入实验室到离开实验室的全流程关注不够。一些实验人员把标签、台账和交接记录视为额外负担，没有充分认识到这些记录在异常追溯、责任界定和风险控制中的作用。</w:t>
      </w:r>
    </w:p>
    <w:p w14:paraId="71D1E733">
      <w:pPr>
        <w:spacing w:after="0" w:line="360" w:lineRule="auto"/>
        <w:ind w:firstLine="480"/>
        <w:jc w:val="both"/>
        <w:rPr>
          <w:lang w:eastAsia="zh-CN"/>
        </w:rPr>
      </w:pPr>
      <w:r>
        <w:rPr>
          <w:rFonts w:ascii="Times New Roman" w:hAnsi="Times New Roman" w:eastAsia="宋体" w:cs="Times New Roman"/>
          <w:sz w:val="24"/>
          <w:lang w:eastAsia="zh-CN"/>
        </w:rPr>
        <w:t>此外，材料因素还</w:t>
      </w:r>
      <w:r>
        <w:rPr>
          <w:rFonts w:hint="eastAsia" w:cs="Times New Roman"/>
          <w:sz w:val="24"/>
          <w:lang w:eastAsia="zh-CN"/>
        </w:rPr>
        <w:t>受</w:t>
      </w:r>
      <w:r>
        <w:rPr>
          <w:rFonts w:ascii="Times New Roman" w:hAnsi="Times New Roman" w:eastAsia="宋体" w:cs="Times New Roman"/>
          <w:sz w:val="24"/>
          <w:lang w:eastAsia="zh-CN"/>
        </w:rPr>
        <w:t>人员、制度和环境因素的共同影响。如果培训不到位，实验人员就可能不清楚不同废弃物的分类原则；如果制度流程不细，就容易出现知道要登记，但不知道登记到什么程度的情况；如果空间布局不合理，样本暂存区、废弃物暂存区和普通操作区混杂，也会增加交叉污染和误处置的概率。</w:t>
      </w:r>
    </w:p>
    <w:p w14:paraId="1C9F7EE0">
      <w:pPr>
        <w:spacing w:after="0" w:line="360" w:lineRule="auto"/>
        <w:ind w:firstLine="480"/>
        <w:jc w:val="both"/>
        <w:rPr>
          <w:lang w:eastAsia="zh-CN"/>
        </w:rPr>
      </w:pPr>
      <w:r>
        <w:rPr>
          <w:rFonts w:ascii="Times New Roman" w:hAnsi="Times New Roman" w:eastAsia="宋体" w:cs="Times New Roman"/>
          <w:sz w:val="24"/>
          <w:lang w:eastAsia="zh-CN"/>
        </w:rPr>
        <w:t>从风险后果上看，材料因素往往具有迟发性和扩散性。样本或试剂管理不到位，可能不会立刻表现为事故，但一旦需要追溯来源、排查污染或确认责任时，就会暴露出管理过程不完整的问题；废弃物处置不规范，则可能把实验室内部风险外溢到环境和后续处理环节。</w:t>
      </w:r>
    </w:p>
    <w:p w14:paraId="2DD307DB">
      <w:pPr>
        <w:keepNext/>
        <w:spacing w:after="0" w:line="360" w:lineRule="auto"/>
        <w:ind w:firstLine="480" w:firstLineChars="200"/>
        <w:outlineLvl w:val="1"/>
        <w:rPr>
          <w:lang w:eastAsia="zh-CN"/>
        </w:rPr>
      </w:pPr>
      <w:bookmarkStart w:id="42" w:name="_Toc24262"/>
      <w:bookmarkStart w:id="43" w:name="_Toc12821"/>
      <w:bookmarkStart w:id="44" w:name="_Toc32184"/>
      <w:r>
        <w:rPr>
          <w:rFonts w:ascii="Times New Roman" w:hAnsi="Times New Roman" w:eastAsia="黑体" w:cs="黑体"/>
          <w:sz w:val="24"/>
          <w:lang w:eastAsia="zh-CN"/>
        </w:rPr>
        <w:t>3.5　方法因素：制度、流程与应急机制执行不严</w:t>
      </w:r>
      <w:bookmarkEnd w:id="42"/>
      <w:bookmarkEnd w:id="43"/>
      <w:bookmarkEnd w:id="44"/>
    </w:p>
    <w:p w14:paraId="13E1240B">
      <w:pPr>
        <w:spacing w:after="0" w:line="360" w:lineRule="auto"/>
        <w:ind w:firstLine="480"/>
        <w:jc w:val="both"/>
        <w:rPr>
          <w:lang w:eastAsia="zh-CN"/>
        </w:rPr>
      </w:pPr>
      <w:r>
        <w:rPr>
          <w:rFonts w:ascii="Times New Roman" w:hAnsi="Times New Roman" w:eastAsia="宋体" w:cs="Times New Roman"/>
          <w:sz w:val="24"/>
          <w:lang w:eastAsia="zh-CN"/>
        </w:rPr>
        <w:t>法既包括制度文本，也包括标准操作规程、检查整改流程和应急处置机制。在高校生物实验室管理中，制度不应只是张贴上墙的要求，而应成为实验人员日常操作时可以直接遵循的行为指南。从当前情况看，不少高校并不缺少制度，真正需要关注的是制度能否执行、执行到什么程度。</w:t>
      </w:r>
    </w:p>
    <w:p w14:paraId="3F307869">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首先，部分制度和SOP过于原则化。像规范使用设备妥善处置废弃物加强消毒管理等表述虽然方向正确，但如果没有进一步细化为操作步骤、责任岗位和检查要点，就很难真正指导实验室日常运行。对于高频、高风险环节，如生物安全柜使用、离心前配平、台面消毒、暴露事故报告等，更需要明确到具体流程和具体要求。</w:t>
      </w:r>
    </w:p>
    <w:p w14:paraId="5D614649">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其次，检查整改反馈机制仍不够完善。部分实验室安全检查较多停留在隐患发现层面，对整改过程、整改质量和复查结果的跟踪不够充分。检查记录中常出现“立即整改”“加强管理”等概括性表述，但对整改责任人、整改期限、具体措施和复查主体缺少明确记录，导致问题整改缺乏连续性和可追溯性。在这种情况下，同类隐患容易在不同时间、不同实验区域反复出现，削弱安全检查的实际效果</w:t>
      </w:r>
      <w:r>
        <w:rPr>
          <w:rFonts w:ascii="Times New Roman" w:hAnsi="Times New Roman" w:eastAsia="宋体" w:cs="Times New Roman"/>
          <w:sz w:val="24"/>
          <w:vertAlign w:val="superscript"/>
          <w:lang w:eastAsia="zh-CN"/>
        </w:rPr>
        <w:t>[4][13]</w:t>
      </w:r>
      <w:r>
        <w:rPr>
          <w:rFonts w:ascii="Times New Roman" w:hAnsi="Times New Roman" w:eastAsia="宋体" w:cs="Times New Roman"/>
          <w:sz w:val="24"/>
          <w:lang w:eastAsia="zh-CN"/>
        </w:rPr>
        <w:t>。</w:t>
      </w:r>
    </w:p>
    <w:p w14:paraId="221C39EB">
      <w:pPr>
        <w:spacing w:after="0" w:line="360" w:lineRule="auto"/>
        <w:ind w:firstLine="480"/>
        <w:jc w:val="both"/>
        <w:rPr>
          <w:lang w:eastAsia="zh-CN"/>
        </w:rPr>
      </w:pPr>
      <w:r>
        <w:rPr>
          <w:rFonts w:ascii="Times New Roman" w:hAnsi="Times New Roman" w:eastAsia="宋体" w:cs="Times New Roman"/>
          <w:sz w:val="24"/>
          <w:lang w:eastAsia="zh-CN"/>
        </w:rPr>
        <w:t>再次，应急预案的场景适配性不足。部分实验室虽然建立了应急预案，但预案内容较为笼统，与本实验室真实可能面临的风险情景结合不够，例如对样本泄漏、锐器伤、人员暴露、突然停电、灭菌设备异常等情况缺少清晰的处置顺序和报告路径。预案若不经过演练，很难在真正发生异常时发挥作用。</w:t>
      </w:r>
    </w:p>
    <w:p w14:paraId="2FE6A492">
      <w:pPr>
        <w:spacing w:after="0" w:line="360" w:lineRule="auto"/>
        <w:ind w:firstLine="480"/>
        <w:jc w:val="both"/>
        <w:rPr>
          <w:lang w:eastAsia="zh-CN"/>
        </w:rPr>
      </w:pPr>
      <w:r>
        <w:rPr>
          <w:rFonts w:ascii="Times New Roman" w:hAnsi="Times New Roman" w:eastAsia="宋体" w:cs="Times New Roman"/>
          <w:sz w:val="24"/>
          <w:lang w:eastAsia="zh-CN"/>
        </w:rPr>
        <w:t>方法因素的实质是把管理要求转化为稳定行为模式的能力。制度越贴近场景，流程越明确，应急机制越清晰，实验人员的行为就越容易趋于一致；反之，制度模糊、流程随意、整改松散，就会使实验室安全管理呈现表面有要求、实际靠经验的状态。</w:t>
      </w:r>
    </w:p>
    <w:p w14:paraId="3E44315B">
      <w:pPr>
        <w:keepNext/>
        <w:spacing w:after="0" w:line="360" w:lineRule="auto"/>
        <w:ind w:firstLine="480" w:firstLineChars="200"/>
        <w:outlineLvl w:val="1"/>
        <w:rPr>
          <w:lang w:eastAsia="zh-CN"/>
        </w:rPr>
      </w:pPr>
      <w:bookmarkStart w:id="45" w:name="_Toc5755"/>
      <w:bookmarkStart w:id="46" w:name="_Toc4235"/>
      <w:bookmarkStart w:id="47" w:name="_Toc10599"/>
      <w:r>
        <w:rPr>
          <w:rFonts w:ascii="Times New Roman" w:hAnsi="Times New Roman" w:eastAsia="黑体" w:cs="黑体"/>
          <w:sz w:val="24"/>
          <w:lang w:eastAsia="zh-CN"/>
        </w:rPr>
        <w:t>3.6　环境因素：现场条件与安全文化支撑不足</w:t>
      </w:r>
      <w:bookmarkEnd w:id="45"/>
      <w:bookmarkEnd w:id="46"/>
      <w:bookmarkEnd w:id="47"/>
    </w:p>
    <w:p w14:paraId="5926525D">
      <w:pPr>
        <w:spacing w:after="0" w:line="360" w:lineRule="auto"/>
        <w:ind w:firstLine="480"/>
        <w:jc w:val="both"/>
        <w:rPr>
          <w:lang w:eastAsia="zh-CN"/>
        </w:rPr>
      </w:pPr>
      <w:r>
        <w:rPr>
          <w:rFonts w:ascii="Times New Roman" w:hAnsi="Times New Roman" w:eastAsia="宋体" w:cs="Times New Roman"/>
          <w:sz w:val="24"/>
          <w:lang w:eastAsia="zh-CN"/>
        </w:rPr>
        <w:t>环在高校生物实验室安全管理中既包括物理环境，也包括组织环境和文化环境。物理环境主要指空间布局、功能分区、通风消毒、照明、温湿度、通道和警示标识等；组织环境和文化环境则更强调实验室成员对安全要求的共同认知和行为习惯。</w:t>
      </w:r>
    </w:p>
    <w:p w14:paraId="2E329F9D">
      <w:pPr>
        <w:spacing w:after="0" w:line="360" w:lineRule="auto"/>
        <w:ind w:firstLine="480"/>
        <w:jc w:val="both"/>
        <w:rPr>
          <w:lang w:eastAsia="zh-CN"/>
        </w:rPr>
      </w:pPr>
      <w:r>
        <w:rPr>
          <w:rFonts w:ascii="Times New Roman" w:hAnsi="Times New Roman" w:eastAsia="宋体" w:cs="Times New Roman"/>
          <w:sz w:val="24"/>
          <w:lang w:eastAsia="zh-CN"/>
        </w:rPr>
        <w:t>从物理环境看，一些实验室存在功能区域划分不清、通道堆放杂物、标识设置不完整、清洁消毒频次不稳定等问题。在空间有限、实验任务繁重的情况下，样本存放、试剂暂存、仪器操作和废弃物收集容易相互挤占，增加交叉污染和误操作的可能性。尤其是共用实验室，如果缺少统一的现场管理标准，秩序问题会更加突出。</w:t>
      </w:r>
    </w:p>
    <w:p w14:paraId="67221E1A">
      <w:pPr>
        <w:spacing w:after="0" w:line="360" w:lineRule="auto"/>
        <w:ind w:firstLine="480"/>
        <w:jc w:val="both"/>
        <w:rPr>
          <w:lang w:eastAsia="zh-CN"/>
        </w:rPr>
      </w:pPr>
      <w:r>
        <w:t>从文化环境看，安全文化薄弱是一个更隐蔽但影响深远的问题。部分实验人员习惯把安全管理理解为检查时要重视的事情，而不是每天都要保持的习惯；有的教师和学生在科研任务紧张时容易把进度放在首位，对细小违规行为选择容忍，久而久之就会形成麻痹心理</w:t>
      </w:r>
      <w:r>
        <w:rPr>
          <w:vertAlign w:val="superscript"/>
        </w:rPr>
        <w:t>[3][12]</w:t>
      </w:r>
      <w:r>
        <w:t>。</w:t>
      </w:r>
    </w:p>
    <w:p w14:paraId="22E9C402">
      <w:pPr>
        <w:spacing w:after="0" w:line="360" w:lineRule="auto"/>
        <w:ind w:firstLine="480"/>
        <w:jc w:val="both"/>
        <w:rPr>
          <w:lang w:eastAsia="zh-CN"/>
        </w:rPr>
      </w:pPr>
      <w:r>
        <w:rPr>
          <w:rFonts w:ascii="Times New Roman" w:hAnsi="Times New Roman" w:eastAsia="宋体" w:cs="Times New Roman"/>
          <w:sz w:val="24"/>
          <w:lang w:eastAsia="zh-CN"/>
        </w:rPr>
        <w:t>环境因素会持续影响人员行为和制度执行。实验室布局清晰、标识明确、现场整洁，且成员之间能够相互提醒时，规范操作更容易形成；反之，如果环境混乱、标识模糊，或者对小问题长期容忍，即使制度较完整，也可能难以落实。</w:t>
      </w:r>
    </w:p>
    <w:p w14:paraId="7D113E2A">
      <w:pPr>
        <w:keepNext/>
        <w:spacing w:after="0" w:line="360" w:lineRule="auto"/>
        <w:ind w:firstLine="480" w:firstLineChars="200"/>
        <w:outlineLvl w:val="1"/>
        <w:rPr>
          <w:lang w:eastAsia="zh-CN"/>
        </w:rPr>
      </w:pPr>
      <w:bookmarkStart w:id="48" w:name="_Toc12978"/>
      <w:bookmarkStart w:id="49" w:name="_Toc15441"/>
      <w:bookmarkStart w:id="50" w:name="_Toc7307"/>
      <w:r>
        <w:rPr>
          <w:rFonts w:ascii="Times New Roman" w:hAnsi="Times New Roman" w:eastAsia="黑体" w:cs="黑体"/>
          <w:sz w:val="24"/>
          <w:lang w:eastAsia="zh-CN"/>
        </w:rPr>
        <w:t>3.7　监测因素：检查评价与预警能力不足</w:t>
      </w:r>
      <w:bookmarkEnd w:id="48"/>
      <w:bookmarkEnd w:id="49"/>
      <w:bookmarkEnd w:id="50"/>
    </w:p>
    <w:p w14:paraId="198ACF5D">
      <w:pPr>
        <w:spacing w:after="0" w:line="360" w:lineRule="auto"/>
        <w:ind w:firstLine="480"/>
        <w:jc w:val="both"/>
        <w:rPr>
          <w:lang w:eastAsia="zh-CN"/>
        </w:rPr>
      </w:pPr>
      <w:r>
        <w:rPr>
          <w:rFonts w:ascii="Times New Roman" w:hAnsi="Times New Roman" w:eastAsia="宋体" w:cs="Times New Roman"/>
          <w:sz w:val="24"/>
          <w:lang w:eastAsia="zh-CN"/>
        </w:rPr>
        <w:t>虽然本文主体框架以人机料法环为主，但结合已有研究尤其是人机料法环测模式的启示，测同样是高校生物实验室安全管理不可忽视的一环。这里的测并不仅仅指环境监测或设备检测，还包括日常检查、数据记录、隐患统计、风险评价、整改复核和信息化追踪等内容。</w:t>
      </w:r>
    </w:p>
    <w:p w14:paraId="7D41F13B">
      <w:pPr>
        <w:spacing w:after="0" w:line="360" w:lineRule="auto"/>
        <w:ind w:firstLine="480"/>
        <w:jc w:val="both"/>
        <w:rPr>
          <w:lang w:eastAsia="zh-CN"/>
        </w:rPr>
      </w:pPr>
      <w:r>
        <w:rPr>
          <w:rFonts w:ascii="Times New Roman" w:hAnsi="Times New Roman" w:eastAsia="宋体" w:cs="Times New Roman"/>
          <w:sz w:val="24"/>
          <w:lang w:eastAsia="zh-CN"/>
        </w:rPr>
        <w:t>现实中，不少实验室的监测和评价仍停留在分散、静态和阶段性的状态。例如，设备检测记录、样本台账、危废交接记录、培训考核结果和检查整改情况分别掌握在不同部门或不同个人手中，缺乏整合分析；检查更多依靠定期抽查，而对过程性数据、趋势性问题和重复性隐患关注不足。</w:t>
      </w:r>
    </w:p>
    <w:p w14:paraId="65D06B74">
      <w:pPr>
        <w:spacing w:after="0" w:line="360" w:lineRule="auto"/>
        <w:ind w:firstLine="480"/>
        <w:jc w:val="both"/>
        <w:rPr>
          <w:lang w:eastAsia="zh-CN"/>
        </w:rPr>
      </w:pPr>
      <w:r>
        <w:rPr>
          <w:rFonts w:ascii="Times New Roman" w:hAnsi="Times New Roman" w:eastAsia="宋体" w:cs="Times New Roman"/>
          <w:sz w:val="24"/>
          <w:lang w:eastAsia="zh-CN"/>
        </w:rPr>
        <w:t>监测因素不足的后果，往往不是某一次严重失误，而是问题发现滞后、整改成效不清和管理改进缺少依据。若没有连续数据支撑，就很难判断哪些问题最常见、哪些设备最容易出现异常、哪些培训内容效果较差，也就难以进行有针对性的资源配置。</w:t>
      </w:r>
    </w:p>
    <w:p w14:paraId="07B72746">
      <w:pPr>
        <w:spacing w:after="0" w:line="360" w:lineRule="auto"/>
        <w:ind w:firstLine="480"/>
        <w:jc w:val="both"/>
        <w:rPr>
          <w:lang w:eastAsia="zh-CN"/>
        </w:rPr>
      </w:pPr>
      <w:r>
        <w:rPr>
          <w:rFonts w:ascii="Times New Roman" w:hAnsi="Times New Roman" w:eastAsia="宋体" w:cs="Times New Roman"/>
          <w:sz w:val="24"/>
          <w:lang w:eastAsia="zh-CN"/>
        </w:rPr>
        <w:t>监测能力不足，一方面与信息化基础薄弱有关，另一方面也与重检查、轻分析的工作习惯有关。很多高校能够开展检查，但对检查结果的统计、归类、复盘和反馈利用不够，监督活动难以转化为稳定的管理能力。将测纳入成因分析，是为了提示后续优化不能忽视评价与预警机制。</w:t>
      </w:r>
    </w:p>
    <w:p w14:paraId="186A4BA6">
      <w:pPr>
        <w:keepNext/>
        <w:spacing w:after="0" w:line="360" w:lineRule="auto"/>
        <w:ind w:firstLine="480" w:firstLineChars="200"/>
        <w:outlineLvl w:val="1"/>
        <w:rPr>
          <w:lang w:eastAsia="zh-CN"/>
        </w:rPr>
      </w:pPr>
      <w:bookmarkStart w:id="51" w:name="_Toc14020"/>
      <w:bookmarkStart w:id="52" w:name="_Toc17722"/>
      <w:bookmarkStart w:id="53" w:name="_Toc2538"/>
      <w:r>
        <w:rPr>
          <w:rFonts w:ascii="Times New Roman" w:hAnsi="Times New Roman" w:eastAsia="黑体" w:cs="黑体"/>
          <w:sz w:val="24"/>
          <w:lang w:eastAsia="zh-CN"/>
        </w:rPr>
        <w:t>3.8　基于事故树的综合分析</w:t>
      </w:r>
      <w:bookmarkEnd w:id="51"/>
      <w:bookmarkEnd w:id="52"/>
      <w:bookmarkEnd w:id="53"/>
    </w:p>
    <w:p w14:paraId="40E4E104">
      <w:pPr>
        <w:spacing w:after="0" w:line="360" w:lineRule="auto"/>
        <w:ind w:firstLine="480"/>
        <w:jc w:val="both"/>
        <w:rPr>
          <w:lang w:eastAsia="zh-CN"/>
        </w:rPr>
      </w:pPr>
      <w:r>
        <w:rPr>
          <w:rFonts w:ascii="Times New Roman" w:hAnsi="Times New Roman" w:eastAsia="宋体" w:cs="Times New Roman"/>
          <w:sz w:val="24"/>
          <w:lang w:eastAsia="zh-CN"/>
        </w:rPr>
        <w:t>为了进一步揭示高校生物实验室事故形成的逻辑关系，本文以实验室事故发生为顶事件，构建简化事故树。事故树分析的核心思想是从不希望发生的结果出发，反向追溯其可能的中间事件和基本事件，通过逻辑门连接各因素，识别事故发生的关键路径。在安全工程研究中，事故树常用于找出最小割集和关键控制节点；在本文中，虽然不进行严格的定量计算，但其逻辑结构仍可用于辅助识别管理重点。</w:t>
      </w:r>
    </w:p>
    <w:p w14:paraId="27993BC2">
      <w:pPr>
        <w:spacing w:after="0" w:line="360" w:lineRule="auto"/>
        <w:ind w:firstLine="480"/>
        <w:jc w:val="both"/>
        <w:rPr>
          <w:lang w:eastAsia="zh-CN"/>
        </w:rPr>
      </w:pPr>
      <w:r>
        <w:t>从图3-3所呈现的事故树结构看，导致实验室事故发生的中间事件可概括为三类：一是人员不安全行为，二是防护设施失效，三是管理控制失灵。进一步展开后，可以看到培训不足、违规操作、应急处置能力弱会增加人员失误风险；生物安全柜性能异常、灭菌设备失效和防护用品配置不足会削弱隔离与防护效果；SOP不细、检查整改不反馈和监测预警不足则会使问题长期得不到纠正。</w:t>
      </w:r>
    </w:p>
    <w:p w14:paraId="3C964B22">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事故树分析带来的启示在于：实验室事故并不是谁粗心了一次那么简单，而往往是在多项薄弱因素叠加下形成的。换句话说，如果把控制措施只放在单一环节，就很可能治标不治本。只有同时改善人员培训、设备维护和管理控制，事故风险才能真正下降。</w:t>
      </w:r>
    </w:p>
    <w:p w14:paraId="468CAB85">
      <w:pPr>
        <w:spacing w:after="0" w:line="360" w:lineRule="auto"/>
        <w:ind w:firstLine="480"/>
        <w:jc w:val="both"/>
      </w:pPr>
      <w:r>
        <w:rPr>
          <w:rFonts w:ascii="Times New Roman" w:hAnsi="Times New Roman" w:eastAsia="宋体" w:cs="Times New Roman"/>
          <w:sz w:val="24"/>
          <w:lang w:eastAsia="zh-CN"/>
        </w:rPr>
        <w:t>事故树分析是一种自上而下的逻辑分析方法，通常从不希望发生的顶事件出发，逐层追溯导致事故发生的中间事件和基本事件。该方法能够帮助识别事故形成的关键路径和薄弱环节，使事故原因分析不再停留于单一操作失误层面。本文以“实验室事故发生”为顶事件构建简化事故树，具体如图3-3所示。 为了使事故树中的基本事件不只是图形符号，表3-3对B1至B9所代表的事件含义和可采取的控制措施进行了说明，便于将事故路径分析转化为管理改进措施。</w:t>
      </w:r>
    </w:p>
    <w:p w14:paraId="6802F925">
      <w:pPr>
        <w:spacing w:after="0" w:line="360" w:lineRule="auto"/>
        <w:jc w:val="left"/>
      </w:pPr>
      <w:r>
        <w:drawing>
          <wp:inline distT="0" distB="0" distL="114300" distR="114300">
            <wp:extent cx="6103620" cy="4105275"/>
            <wp:effectExtent l="0" t="0" r="1143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rcRect t="3597" b="6742"/>
                    <a:stretch>
                      <a:fillRect/>
                    </a:stretch>
                  </pic:blipFill>
                  <pic:spPr>
                    <a:xfrm>
                      <a:off x="0" y="0"/>
                      <a:ext cx="6103620" cy="4105275"/>
                    </a:xfrm>
                    <a:prstGeom prst="rect">
                      <a:avLst/>
                    </a:prstGeom>
                  </pic:spPr>
                </pic:pic>
              </a:graphicData>
            </a:graphic>
          </wp:inline>
        </w:drawing>
      </w:r>
    </w:p>
    <w:p w14:paraId="1452B417">
      <w:pPr>
        <w:spacing w:after="0" w:line="360" w:lineRule="auto"/>
        <w:ind w:firstLine="480"/>
        <w:jc w:val="center"/>
        <w:rPr>
          <w:lang w:eastAsia="zh-CN"/>
        </w:rPr>
      </w:pPr>
      <w:r>
        <w:rPr>
          <w:rFonts w:ascii="黑体" w:hAnsi="黑体" w:eastAsia="黑体" w:cs="Times New Roman"/>
          <w:sz w:val="21"/>
          <w:lang w:eastAsia="zh-CN"/>
        </w:rPr>
        <w:t>图3-3 生物实验室事故树分析图</w:t>
      </w:r>
    </w:p>
    <w:p w14:paraId="43D3A076">
      <w:pPr>
        <w:spacing w:after="0" w:line="360" w:lineRule="auto"/>
        <w:ind w:firstLine="480"/>
        <w:jc w:val="both"/>
        <w:rPr>
          <w:lang w:eastAsia="zh-CN"/>
        </w:rPr>
      </w:pPr>
    </w:p>
    <w:p w14:paraId="33D94525">
      <w:pPr>
        <w:keepNext/>
        <w:spacing w:before="60" w:after="60" w:line="360" w:lineRule="auto"/>
        <w:jc w:val="center"/>
        <w:rPr>
          <w:rFonts w:ascii="黑体" w:hAnsi="黑体" w:eastAsia="黑体" w:cs="Times New Roman"/>
          <w:sz w:val="21"/>
          <w:szCs w:val="21"/>
          <w:lang w:eastAsia="zh-CN"/>
        </w:rPr>
      </w:pPr>
    </w:p>
    <w:p w14:paraId="28BF9AFF">
      <w:pPr>
        <w:keepNext/>
        <w:spacing w:before="60" w:after="60" w:line="360" w:lineRule="auto"/>
        <w:jc w:val="center"/>
        <w:rPr>
          <w:lang w:eastAsia="zh-CN"/>
        </w:rPr>
      </w:pPr>
      <w:r>
        <w:rPr>
          <w:rFonts w:ascii="黑体" w:hAnsi="黑体" w:eastAsia="黑体" w:cs="Times New Roman"/>
          <w:sz w:val="21"/>
          <w:szCs w:val="21"/>
          <w:lang w:eastAsia="zh-CN"/>
        </w:rPr>
        <w:t>表3-3 事故树基本事件说明表</w:t>
      </w:r>
    </w:p>
    <w:tbl>
      <w:tblPr>
        <w:tblStyle w:val="36"/>
        <w:tblW w:w="940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0"/>
        <w:gridCol w:w="2635"/>
        <w:gridCol w:w="4919"/>
      </w:tblGrid>
      <w:tr w14:paraId="2DD3E8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50" w:type="dxa"/>
            <w:tcBorders>
              <w:top w:val="single" w:color="auto" w:sz="12" w:space="0"/>
              <w:left w:val="nil"/>
              <w:bottom w:val="single" w:color="auto" w:sz="4" w:space="0"/>
              <w:right w:val="nil"/>
              <w:insideH w:val="nil"/>
              <w:insideV w:val="nil"/>
            </w:tcBorders>
            <w:vAlign w:val="center"/>
          </w:tcPr>
          <w:p w14:paraId="59A9F117">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基本事件编号</w:t>
            </w:r>
          </w:p>
        </w:tc>
        <w:tc>
          <w:tcPr>
            <w:tcW w:w="2635" w:type="dxa"/>
            <w:tcBorders>
              <w:top w:val="single" w:color="auto" w:sz="12" w:space="0"/>
              <w:left w:val="nil"/>
              <w:bottom w:val="single" w:color="auto" w:sz="4" w:space="0"/>
              <w:right w:val="nil"/>
              <w:insideH w:val="nil"/>
              <w:insideV w:val="nil"/>
            </w:tcBorders>
            <w:vAlign w:val="center"/>
          </w:tcPr>
          <w:p w14:paraId="6792F1FE">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事件含义</w:t>
            </w:r>
          </w:p>
        </w:tc>
        <w:tc>
          <w:tcPr>
            <w:tcW w:w="4919" w:type="dxa"/>
            <w:tcBorders>
              <w:top w:val="single" w:color="auto" w:sz="12" w:space="0"/>
              <w:left w:val="nil"/>
              <w:bottom w:val="single" w:color="auto" w:sz="4" w:space="0"/>
              <w:right w:val="nil"/>
              <w:insideH w:val="nil"/>
              <w:insideV w:val="nil"/>
            </w:tcBorders>
            <w:vAlign w:val="center"/>
          </w:tcPr>
          <w:p w14:paraId="0B5A9A08">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可采取的控制措施</w:t>
            </w:r>
          </w:p>
        </w:tc>
      </w:tr>
      <w:tr w14:paraId="6C7151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50" w:type="dxa"/>
            <w:tcBorders>
              <w:top w:val="single" w:color="auto" w:sz="4" w:space="0"/>
              <w:left w:val="nil"/>
              <w:bottom w:val="nil"/>
              <w:right w:val="nil"/>
              <w:insideH w:val="nil"/>
              <w:insideV w:val="nil"/>
            </w:tcBorders>
            <w:vAlign w:val="center"/>
          </w:tcPr>
          <w:p w14:paraId="359C3CB1">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B1</w:t>
            </w:r>
          </w:p>
        </w:tc>
        <w:tc>
          <w:tcPr>
            <w:tcW w:w="2635" w:type="dxa"/>
            <w:tcBorders>
              <w:top w:val="single" w:color="auto" w:sz="4" w:space="0"/>
              <w:left w:val="nil"/>
              <w:bottom w:val="nil"/>
              <w:right w:val="nil"/>
              <w:insideH w:val="nil"/>
              <w:insideV w:val="nil"/>
            </w:tcBorders>
            <w:vAlign w:val="center"/>
          </w:tcPr>
          <w:p w14:paraId="45D135A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培训不足</w:t>
            </w:r>
          </w:p>
        </w:tc>
        <w:tc>
          <w:tcPr>
            <w:tcW w:w="4919" w:type="dxa"/>
            <w:tcBorders>
              <w:top w:val="single" w:color="auto" w:sz="4" w:space="0"/>
              <w:left w:val="nil"/>
              <w:bottom w:val="nil"/>
              <w:right w:val="nil"/>
              <w:insideH w:val="nil"/>
              <w:insideV w:val="nil"/>
            </w:tcBorders>
            <w:vAlign w:val="center"/>
          </w:tcPr>
          <w:p w14:paraId="06044254">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实施分层分类培训、现场演示和复训</w:t>
            </w:r>
          </w:p>
        </w:tc>
      </w:tr>
      <w:tr w14:paraId="0D6355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50" w:type="dxa"/>
            <w:tcBorders>
              <w:top w:val="nil"/>
              <w:left w:val="nil"/>
              <w:bottom w:val="nil"/>
              <w:right w:val="nil"/>
              <w:insideH w:val="nil"/>
              <w:insideV w:val="nil"/>
            </w:tcBorders>
            <w:vAlign w:val="center"/>
          </w:tcPr>
          <w:p w14:paraId="5247020E">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B2</w:t>
            </w:r>
          </w:p>
        </w:tc>
        <w:tc>
          <w:tcPr>
            <w:tcW w:w="2635" w:type="dxa"/>
            <w:tcBorders>
              <w:top w:val="nil"/>
              <w:left w:val="nil"/>
              <w:bottom w:val="nil"/>
              <w:right w:val="nil"/>
              <w:insideH w:val="nil"/>
              <w:insideV w:val="nil"/>
            </w:tcBorders>
            <w:vAlign w:val="center"/>
          </w:tcPr>
          <w:p w14:paraId="0926AC0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违规操作</w:t>
            </w:r>
          </w:p>
        </w:tc>
        <w:tc>
          <w:tcPr>
            <w:tcW w:w="4919" w:type="dxa"/>
            <w:tcBorders>
              <w:top w:val="nil"/>
              <w:left w:val="nil"/>
              <w:bottom w:val="nil"/>
              <w:right w:val="nil"/>
              <w:insideH w:val="nil"/>
              <w:insideV w:val="nil"/>
            </w:tcBorders>
            <w:vAlign w:val="center"/>
          </w:tcPr>
          <w:p w14:paraId="2BA25353">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细化SOP、强化抽查与责任追踪</w:t>
            </w:r>
          </w:p>
        </w:tc>
      </w:tr>
      <w:tr w14:paraId="6B4279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50" w:type="dxa"/>
            <w:tcBorders>
              <w:top w:val="nil"/>
              <w:left w:val="nil"/>
              <w:bottom w:val="nil"/>
              <w:right w:val="nil"/>
              <w:insideH w:val="nil"/>
              <w:insideV w:val="nil"/>
            </w:tcBorders>
            <w:vAlign w:val="center"/>
          </w:tcPr>
          <w:p w14:paraId="36CB01CC">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B3</w:t>
            </w:r>
          </w:p>
        </w:tc>
        <w:tc>
          <w:tcPr>
            <w:tcW w:w="2635" w:type="dxa"/>
            <w:tcBorders>
              <w:top w:val="nil"/>
              <w:left w:val="nil"/>
              <w:bottom w:val="nil"/>
              <w:right w:val="nil"/>
              <w:insideH w:val="nil"/>
              <w:insideV w:val="nil"/>
            </w:tcBorders>
            <w:vAlign w:val="center"/>
          </w:tcPr>
          <w:p w14:paraId="2510BEC3">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应急处置能力弱</w:t>
            </w:r>
          </w:p>
        </w:tc>
        <w:tc>
          <w:tcPr>
            <w:tcW w:w="4919" w:type="dxa"/>
            <w:tcBorders>
              <w:top w:val="nil"/>
              <w:left w:val="nil"/>
              <w:bottom w:val="nil"/>
              <w:right w:val="nil"/>
              <w:insideH w:val="nil"/>
              <w:insideV w:val="nil"/>
            </w:tcBorders>
            <w:vAlign w:val="center"/>
          </w:tcPr>
          <w:p w14:paraId="0E72F58A">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定期开展情景演练和应急考核</w:t>
            </w:r>
          </w:p>
        </w:tc>
      </w:tr>
      <w:tr w14:paraId="14F7E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50" w:type="dxa"/>
            <w:tcBorders>
              <w:top w:val="nil"/>
              <w:left w:val="nil"/>
              <w:bottom w:val="nil"/>
              <w:right w:val="nil"/>
              <w:insideH w:val="nil"/>
              <w:insideV w:val="nil"/>
            </w:tcBorders>
            <w:vAlign w:val="center"/>
          </w:tcPr>
          <w:p w14:paraId="703D64C4">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B4</w:t>
            </w:r>
          </w:p>
        </w:tc>
        <w:tc>
          <w:tcPr>
            <w:tcW w:w="2635" w:type="dxa"/>
            <w:tcBorders>
              <w:top w:val="nil"/>
              <w:left w:val="nil"/>
              <w:bottom w:val="nil"/>
              <w:right w:val="nil"/>
              <w:insideH w:val="nil"/>
              <w:insideV w:val="nil"/>
            </w:tcBorders>
            <w:vAlign w:val="center"/>
          </w:tcPr>
          <w:p w14:paraId="7E4FB7E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生物安全柜性能异常</w:t>
            </w:r>
          </w:p>
        </w:tc>
        <w:tc>
          <w:tcPr>
            <w:tcW w:w="4919" w:type="dxa"/>
            <w:tcBorders>
              <w:top w:val="nil"/>
              <w:left w:val="nil"/>
              <w:bottom w:val="nil"/>
              <w:right w:val="nil"/>
              <w:insideH w:val="nil"/>
              <w:insideV w:val="nil"/>
            </w:tcBorders>
            <w:vAlign w:val="center"/>
          </w:tcPr>
          <w:p w14:paraId="534EE6C5">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建立定期检测和使用前自查机制</w:t>
            </w:r>
          </w:p>
        </w:tc>
      </w:tr>
      <w:tr w14:paraId="004C30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50" w:type="dxa"/>
            <w:tcBorders>
              <w:top w:val="nil"/>
              <w:left w:val="nil"/>
              <w:bottom w:val="nil"/>
              <w:right w:val="nil"/>
              <w:insideH w:val="nil"/>
              <w:insideV w:val="nil"/>
            </w:tcBorders>
            <w:vAlign w:val="center"/>
          </w:tcPr>
          <w:p w14:paraId="04C91290">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B5</w:t>
            </w:r>
          </w:p>
        </w:tc>
        <w:tc>
          <w:tcPr>
            <w:tcW w:w="2635" w:type="dxa"/>
            <w:tcBorders>
              <w:top w:val="nil"/>
              <w:left w:val="nil"/>
              <w:bottom w:val="nil"/>
              <w:right w:val="nil"/>
              <w:insideH w:val="nil"/>
              <w:insideV w:val="nil"/>
            </w:tcBorders>
            <w:vAlign w:val="center"/>
          </w:tcPr>
          <w:p w14:paraId="30D9D2D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灭菌设备失效</w:t>
            </w:r>
          </w:p>
        </w:tc>
        <w:tc>
          <w:tcPr>
            <w:tcW w:w="4919" w:type="dxa"/>
            <w:tcBorders>
              <w:top w:val="nil"/>
              <w:left w:val="nil"/>
              <w:bottom w:val="nil"/>
              <w:right w:val="nil"/>
              <w:insideH w:val="nil"/>
              <w:insideV w:val="nil"/>
            </w:tcBorders>
            <w:vAlign w:val="center"/>
          </w:tcPr>
          <w:p w14:paraId="2F7A423F">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加强维护校准与灭菌效果验证</w:t>
            </w:r>
          </w:p>
        </w:tc>
      </w:tr>
      <w:tr w14:paraId="1EC884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50" w:type="dxa"/>
            <w:tcBorders>
              <w:top w:val="nil"/>
              <w:left w:val="nil"/>
              <w:bottom w:val="nil"/>
              <w:right w:val="nil"/>
              <w:insideH w:val="nil"/>
              <w:insideV w:val="nil"/>
            </w:tcBorders>
            <w:vAlign w:val="center"/>
          </w:tcPr>
          <w:p w14:paraId="05FE8763">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B6</w:t>
            </w:r>
          </w:p>
        </w:tc>
        <w:tc>
          <w:tcPr>
            <w:tcW w:w="2635" w:type="dxa"/>
            <w:tcBorders>
              <w:top w:val="nil"/>
              <w:left w:val="nil"/>
              <w:bottom w:val="nil"/>
              <w:right w:val="nil"/>
              <w:insideH w:val="nil"/>
              <w:insideV w:val="nil"/>
            </w:tcBorders>
            <w:vAlign w:val="center"/>
          </w:tcPr>
          <w:p w14:paraId="109CA1C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防护用品配置不足</w:t>
            </w:r>
          </w:p>
        </w:tc>
        <w:tc>
          <w:tcPr>
            <w:tcW w:w="4919" w:type="dxa"/>
            <w:tcBorders>
              <w:top w:val="nil"/>
              <w:left w:val="nil"/>
              <w:bottom w:val="nil"/>
              <w:right w:val="nil"/>
              <w:insideH w:val="nil"/>
              <w:insideV w:val="nil"/>
            </w:tcBorders>
            <w:vAlign w:val="center"/>
          </w:tcPr>
          <w:p w14:paraId="63F73C13">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完善个人防护用品配置和领用管理</w:t>
            </w:r>
          </w:p>
        </w:tc>
      </w:tr>
      <w:tr w14:paraId="1FEABE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50" w:type="dxa"/>
            <w:tcBorders>
              <w:top w:val="nil"/>
              <w:left w:val="nil"/>
              <w:bottom w:val="nil"/>
              <w:right w:val="nil"/>
              <w:insideH w:val="nil"/>
              <w:insideV w:val="nil"/>
            </w:tcBorders>
            <w:vAlign w:val="center"/>
          </w:tcPr>
          <w:p w14:paraId="0D893707">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B7</w:t>
            </w:r>
          </w:p>
        </w:tc>
        <w:tc>
          <w:tcPr>
            <w:tcW w:w="2635" w:type="dxa"/>
            <w:tcBorders>
              <w:top w:val="nil"/>
              <w:left w:val="nil"/>
              <w:bottom w:val="nil"/>
              <w:right w:val="nil"/>
              <w:insideH w:val="nil"/>
              <w:insideV w:val="nil"/>
            </w:tcBorders>
            <w:vAlign w:val="center"/>
          </w:tcPr>
          <w:p w14:paraId="6410B6F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SOP不细</w:t>
            </w:r>
          </w:p>
        </w:tc>
        <w:tc>
          <w:tcPr>
            <w:tcW w:w="4919" w:type="dxa"/>
            <w:tcBorders>
              <w:top w:val="nil"/>
              <w:left w:val="nil"/>
              <w:bottom w:val="nil"/>
              <w:right w:val="nil"/>
              <w:insideH w:val="nil"/>
              <w:insideV w:val="nil"/>
            </w:tcBorders>
            <w:vAlign w:val="center"/>
          </w:tcPr>
          <w:p w14:paraId="70484778">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按实验场景细化流程卡和作业指导书</w:t>
            </w:r>
          </w:p>
        </w:tc>
      </w:tr>
      <w:tr w14:paraId="3BEE23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50" w:type="dxa"/>
            <w:tcBorders>
              <w:top w:val="nil"/>
              <w:left w:val="nil"/>
              <w:bottom w:val="nil"/>
              <w:right w:val="nil"/>
              <w:insideH w:val="nil"/>
              <w:insideV w:val="nil"/>
            </w:tcBorders>
            <w:vAlign w:val="center"/>
          </w:tcPr>
          <w:p w14:paraId="0BA2DFD4">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B8</w:t>
            </w:r>
          </w:p>
        </w:tc>
        <w:tc>
          <w:tcPr>
            <w:tcW w:w="2635" w:type="dxa"/>
            <w:tcBorders>
              <w:top w:val="nil"/>
              <w:left w:val="nil"/>
              <w:bottom w:val="nil"/>
              <w:right w:val="nil"/>
              <w:insideH w:val="nil"/>
              <w:insideV w:val="nil"/>
            </w:tcBorders>
            <w:vAlign w:val="center"/>
          </w:tcPr>
          <w:p w14:paraId="027172B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检查整改不反馈</w:t>
            </w:r>
          </w:p>
        </w:tc>
        <w:tc>
          <w:tcPr>
            <w:tcW w:w="4919" w:type="dxa"/>
            <w:tcBorders>
              <w:top w:val="nil"/>
              <w:left w:val="nil"/>
              <w:bottom w:val="nil"/>
              <w:right w:val="nil"/>
              <w:insideH w:val="nil"/>
              <w:insideV w:val="nil"/>
            </w:tcBorders>
            <w:vAlign w:val="center"/>
          </w:tcPr>
          <w:p w14:paraId="554B1193">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明确整改责任、期限与复查要求</w:t>
            </w:r>
          </w:p>
        </w:tc>
      </w:tr>
      <w:tr w14:paraId="61BCD3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50" w:type="dxa"/>
            <w:tcBorders>
              <w:top w:val="nil"/>
              <w:left w:val="nil"/>
              <w:bottom w:val="single" w:color="auto" w:sz="12" w:space="0"/>
              <w:right w:val="nil"/>
              <w:insideH w:val="nil"/>
              <w:insideV w:val="nil"/>
            </w:tcBorders>
            <w:vAlign w:val="center"/>
          </w:tcPr>
          <w:p w14:paraId="39D88457">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B9</w:t>
            </w:r>
          </w:p>
        </w:tc>
        <w:tc>
          <w:tcPr>
            <w:tcW w:w="2635" w:type="dxa"/>
            <w:tcBorders>
              <w:top w:val="nil"/>
              <w:left w:val="nil"/>
              <w:bottom w:val="single" w:color="auto" w:sz="12" w:space="0"/>
              <w:right w:val="nil"/>
              <w:insideH w:val="nil"/>
              <w:insideV w:val="nil"/>
            </w:tcBorders>
            <w:vAlign w:val="center"/>
          </w:tcPr>
          <w:p w14:paraId="4259DCB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监测预警不足</w:t>
            </w:r>
          </w:p>
        </w:tc>
        <w:tc>
          <w:tcPr>
            <w:tcW w:w="4919" w:type="dxa"/>
            <w:tcBorders>
              <w:top w:val="nil"/>
              <w:left w:val="nil"/>
              <w:bottom w:val="single" w:color="auto" w:sz="12" w:space="0"/>
              <w:right w:val="nil"/>
              <w:insideH w:val="nil"/>
              <w:insideV w:val="nil"/>
            </w:tcBorders>
            <w:vAlign w:val="center"/>
          </w:tcPr>
          <w:p w14:paraId="0C743909">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建设电子台账、预警提醒和统计分析机制</w:t>
            </w:r>
          </w:p>
        </w:tc>
      </w:tr>
    </w:tbl>
    <w:p w14:paraId="24136F06">
      <w:pPr>
        <w:spacing w:after="0" w:line="360" w:lineRule="auto"/>
        <w:ind w:firstLine="480"/>
        <w:jc w:val="both"/>
        <w:rPr>
          <w:lang w:eastAsia="zh-CN"/>
        </w:rPr>
      </w:pPr>
    </w:p>
    <w:p w14:paraId="00F61800">
      <w:pPr>
        <w:spacing w:after="0" w:line="360" w:lineRule="auto"/>
        <w:ind w:firstLine="480" w:firstLineChars="0"/>
        <w:outlineLvl w:val="1"/>
      </w:pPr>
      <w:bookmarkStart w:id="54" w:name="_Toc12752"/>
      <w:r>
        <w:rPr>
          <w:rFonts w:ascii="Times New Roman" w:hAnsi="Times New Roman" w:eastAsia="黑体"/>
          <w:sz w:val="24"/>
        </w:rPr>
        <w:t>3.9　生物实验室安全事故案例分析</w:t>
      </w:r>
      <w:bookmarkEnd w:id="54"/>
    </w:p>
    <w:p w14:paraId="03172F63">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为使前述成因分析更加具体，本文选取高校生物实验室中较为常见的样本泄漏与人员暴露情景作为案例进行分析。该案例为情景化案例，主要用于说明人机料法环、鱼骨图、事故树和风险矩阵等方法在实验室安全管理中的具体运用。与前文一般性成因分析不同，本节重点把同一事故情景拆分到人、机、料、法、环五个角度分别考察，以突出“人机料法环”作为论文标题和分析主线的作用。</w:t>
      </w:r>
    </w:p>
    <w:p w14:paraId="149CC827">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某高校生物实验室在进行细胞培养样本转运时，一名研究生将待处理样本从操作区转移至灭菌区。由于样本管封口检查不充分，外层未设置二次承载容器，转运路线又经过人员较多的公共通道，途中样本管从托盘边缘滑落并破裂，少量培养液洒落在地面和操作者手套上。现场人员最初选择自行擦拭处理，未立即划定污染范围，也未在第一时间向实验室负责人报告。后续复查发现，相关样本台账中缺少完整来源信息，废弃物封装和消毒记录也不够连续，导致事故追溯和风险判断受到影响。</w:t>
      </w:r>
    </w:p>
    <w:p w14:paraId="2F029721">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1）人：人员因素主要体现在风险识别不足、操作确认不充分和事故报告意识不强。案例中，操作者在样本转运前没有对封口状态、二次包装和转运路线进行充分确认，说明其对样本转运风险的预判不足；事故发生后，现场人员选择自行擦拭处理，而不是立即报告并按照泄漏处置流程划定污染区域，也反映出应急报告意识和规范处置能力不足。因此，从“人”的角度看，事故控制重点应放在分层培训、现场带教、转运前确认和异常情况报告习惯培养上。</w:t>
      </w:r>
    </w:p>
    <w:p w14:paraId="461F694B">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2）机：设备与工具因素主要体现在转运容器、防护工具和应急处置物资配置不足。样本转运并不只依赖人员小心操作，还需要合适的托盘、密封容器、二次承载容器、吸附材料和消毒用品等支撑。案例中样本管从托盘边缘滑落并破裂，说明转运工具的稳定性和防护冗余不足；如果泄漏处置包、警戒标识和消毒用品不能在现场快速取得，也会延误初期控制。因此，从“机”的角度看，应把转运工具、个人防护用品和应急物资纳入日常点检范围。</w:t>
      </w:r>
    </w:p>
    <w:p w14:paraId="75294380">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3）料：材料因素主要体现在样本标签、来源记录、风险属性和废弃物流向不完整。生物样本本身具有来源、浓度、培养状态、保存条件和潜在污染风险等信息，如果标签或台账不完整，事故发生后就难以判断样本危险性和处置等级。案例中复查发现样本台账缺少完整来源信息，废弃物封装和消毒记录也不连续，说明材料管理并未形成完整闭环。因此，从“料”的角度看，应强化样本统一编码、标签模板、领用记录、废弃物分类收集和交接追溯。</w:t>
      </w:r>
    </w:p>
    <w:p w14:paraId="631D4443">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4）法：方法因素主要体现在样本转运SOP不细、泄漏处置流程不清和复查机制不足。若制度只笼统要求“规范转运、及时处置”，而没有明确封口检查、二次包装、路线选择、污染范围划定、报告对象、处置记录和复查责任，现场人员就容易依靠个人经验处理。案例中事故发生后的先期处置不规范，根本原因之一就是流程没有转化为可执行的步骤卡。因此，从“法”的角度看，需要把样本转运和泄漏处置细化为检查清单、流程卡和演练脚本。</w:t>
      </w:r>
    </w:p>
    <w:p w14:paraId="5843CE29">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5）环：环境因素主要体现在转运路径、空间分区、现场标识和人员流线安排不合理。样本转运路线经过人员较多的公共通道，使小范围泄漏可能扩大为更多人员暴露风险；现场缺少醒目的泄漏处置提示，也会影响操作者在紧急情况下快速判断。实验室环境不仅是物理空间，还包括标识系统、通道管理和安全文化氛围。因此，从“环”的角度看，应优化样本转运路线，明确污染区、清洁区和公共通道边界，并在关键位置设置应急提示。</w:t>
      </w:r>
    </w:p>
    <w:p w14:paraId="611A7604">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综合上述分析可以看出，该事故并不是单一操作失误造成的，而是人员培训、转运工具、样本台账、制度流程和现场环境共同作用的结果。人机料法环分析的价值在于把一个看似简单的样本泄漏事件拆解为多个可管理环节，使改进措施能够对应到具体对象和具体责任。若进一步将“测”作为补充，还应关注转运记录、事故报告、整改复查和隐患统计是否连续，以保证事故复盘能够转化为后续改进。</w:t>
      </w:r>
    </w:p>
    <w:p w14:paraId="42B2EA2A">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采用鱼骨图思路分析时，可将事故原因归纳为人员培训、设备容器、样本管理、操作流程、现场环境和监测记录六类。人员培训不足使操作者对样本转运风险认识不足；容器和托盘选择不当增加破损概率；样本台账不完整影响事故追溯；操作流程未细化导致现场处置依赖个人经验；转运路线与人员通行区域交叉扩大了暴露可能；监测记录缺失则使事后整改缺少依据。这些原因相互叠加，使小范围泄漏事件转化为需要系统复盘的安全管理问题。</w:t>
      </w:r>
    </w:p>
    <w:p w14:paraId="2328BCF6">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采用事故树分析时，可以将顶事件设定为样本泄漏并造成人员暴露风险，中间事件包括样本容器破损、人员防护不到位、现场处置延迟和追溯信息不完整。其基本事件可进一步分解为封口未检查、无二次包装、转运路径不合理、人员未按要求报告、泄漏处置物资不易获取、台账记录缺失等。若要降低顶事件发生概率，就应优先切断这些基本事件之间的连接关系，例如在转运前设置双人核验、强制使用二次承载容器、固定转运路线、明确泄漏报告流程，并定期检查台账完整性。</w:t>
      </w:r>
    </w:p>
    <w:p w14:paraId="30C04CF3">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采用风险矩阵分析时，该类样本泄漏事件的发生概率可判断为中等，后果严重度取决于样本性质、暴露范围和处置及时性。若样本风险等级不高且能够迅速隔离消毒，可判定为Ⅲ级重点控制风险；若样本来源不明、人员出现暴露或泄漏区域涉及公共空间，则风险等级应提高到Ⅳ级高风险。风险等级升高后，管理措施也应同步加强，包括暂停相关区域使用、组织医学评估、开展事故复盘、补充专项培训，并对转运流程和应急物资配置进行复核。</w:t>
      </w:r>
    </w:p>
    <w:p w14:paraId="2D99FAFA">
      <w:pPr>
        <w:spacing w:after="0" w:line="360" w:lineRule="auto"/>
        <w:ind w:firstLine="480"/>
        <w:jc w:val="both"/>
      </w:pPr>
      <w:r>
        <w:rPr>
          <w:rFonts w:ascii="Times New Roman" w:hAnsi="Times New Roman" w:eastAsia="宋体" w:cs="Times New Roman"/>
          <w:sz w:val="24"/>
          <w:lang w:eastAsia="zh-CN"/>
        </w:rPr>
        <w:t>通过该案例可以看出，生物实验室事故分析不能只停留在责怪操作者不细心，而应从人员培训、设备配置、材料追溯、制度流程、现场环境和监测记录等方面共同分析。人机料法环用于明确问题来源，鱼骨图用于梳理成因结构，事故树用于识别事故路径，风险矩阵用于判断控制优先级。将这些方法结合起来，有助于把事故复盘转化为后续管理改进依据。</w:t>
      </w:r>
    </w:p>
    <w:p w14:paraId="1896F49A">
      <w:pPr>
        <w:keepNext/>
        <w:spacing w:after="0" w:line="360" w:lineRule="auto"/>
        <w:ind w:firstLine="480" w:firstLineChars="200"/>
        <w:outlineLvl w:val="1"/>
        <w:rPr>
          <w:lang w:eastAsia="zh-CN"/>
        </w:rPr>
      </w:pPr>
      <w:bookmarkStart w:id="55" w:name="_Toc22216"/>
      <w:bookmarkStart w:id="56" w:name="_Toc16794"/>
      <w:bookmarkStart w:id="57" w:name="_Toc15802"/>
      <w:r>
        <w:rPr>
          <w:rFonts w:ascii="Times New Roman" w:hAnsi="Times New Roman" w:eastAsia="黑体" w:cs="黑体"/>
          <w:sz w:val="24"/>
          <w:lang w:eastAsia="zh-CN"/>
        </w:rPr>
        <w:t>3.10　本章小结</w:t>
      </w:r>
      <w:bookmarkEnd w:id="55"/>
      <w:bookmarkEnd w:id="56"/>
      <w:bookmarkEnd w:id="57"/>
    </w:p>
    <w:p w14:paraId="72326CFE">
      <w:pPr>
        <w:spacing w:after="0" w:line="360" w:lineRule="auto"/>
        <w:ind w:firstLine="480"/>
        <w:jc w:val="both"/>
        <w:rPr>
          <w:lang w:eastAsia="zh-CN"/>
        </w:rPr>
      </w:pPr>
      <w:r>
        <w:rPr>
          <w:rFonts w:ascii="Times New Roman" w:hAnsi="Times New Roman" w:eastAsia="宋体" w:cs="Times New Roman"/>
          <w:sz w:val="24"/>
          <w:lang w:eastAsia="zh-CN"/>
        </w:rPr>
        <w:t>本章围绕高校生物实验室安全管理中存在的主要问题，从人员、设备、材料、方法、环境和监测六个方面进行了成因分析，并结合鱼骨图、风险矩阵和事故树等安全工程方法对问题结构和事故形成逻辑进行了进一步说明。同时，本章通过样本泄漏与人员暴露情景案例，对人机料法环、鱼骨图、事故树和风险矩阵的综合运用进行了示范。分析结果表明，高校生物实验室安全管理问题具有明显的系统性：人员培训不足会影响设备和材料的规范使用，设备维护和防护设施失效会放大操作风险，制度流程不细会削弱检查整改效果，环境和文化支撑不足又会影响制度实施，而监测评价不足则使问题难以及时被发现和纠正。</w:t>
      </w:r>
    </w:p>
    <w:p w14:paraId="138C3D32">
      <w:pPr>
        <w:spacing w:after="0" w:line="360" w:lineRule="auto"/>
        <w:ind w:firstLine="480"/>
        <w:jc w:val="both"/>
        <w:rPr>
          <w:lang w:eastAsia="zh-CN"/>
        </w:rPr>
      </w:pPr>
      <w:r>
        <w:rPr>
          <w:rFonts w:ascii="Times New Roman" w:hAnsi="Times New Roman" w:eastAsia="宋体" w:cs="Times New Roman"/>
          <w:sz w:val="24"/>
          <w:lang w:eastAsia="zh-CN"/>
        </w:rPr>
        <w:t>因此，后续优化不能只停留在某一方面加强管理的笼统表述上，而应围绕责任体系、培训准入、设备设施、样本试剂、制度流程、实验环境和监测追溯等关键环节提出对应措施，形成更加完整的安全管理反馈。</w:t>
      </w:r>
    </w:p>
    <w:p w14:paraId="06145074">
      <w:pPr>
        <w:spacing w:after="0" w:line="360" w:lineRule="auto"/>
        <w:ind w:firstLine="480"/>
        <w:jc w:val="both"/>
        <w:rPr>
          <w:lang w:eastAsia="zh-CN"/>
        </w:rPr>
      </w:pPr>
    </w:p>
    <w:p w14:paraId="545F28D6">
      <w:pPr>
        <w:pageBreakBefore/>
        <w:spacing w:after="0" w:line="360" w:lineRule="auto"/>
        <w:rPr>
          <w:lang w:eastAsia="zh-CN"/>
        </w:rPr>
      </w:pPr>
      <w:r>
        <w:rPr>
          <w:szCs w:val="24"/>
          <w:lang w:eastAsia="zh-CN"/>
        </w:rPr>
        <w:t xml:space="preserve"> </w:t>
      </w:r>
    </w:p>
    <w:p w14:paraId="61AE8A82">
      <w:pPr>
        <w:keepNext/>
        <w:spacing w:after="360" w:line="360" w:lineRule="auto"/>
        <w:jc w:val="center"/>
        <w:outlineLvl w:val="0"/>
        <w:rPr>
          <w:lang w:eastAsia="zh-CN"/>
        </w:rPr>
      </w:pPr>
      <w:bookmarkStart w:id="58" w:name="_Toc8898"/>
      <w:bookmarkStart w:id="59" w:name="_Toc11804"/>
      <w:bookmarkStart w:id="60" w:name="_Toc14436"/>
      <w:bookmarkStart w:id="61" w:name="_Toc2425"/>
      <w:r>
        <w:rPr>
          <w:rFonts w:ascii="Times New Roman" w:hAnsi="Times New Roman" w:eastAsia="黑体" w:cs="黑体"/>
          <w:sz w:val="32"/>
          <w:lang w:eastAsia="zh-CN"/>
        </w:rPr>
        <w:t>第4章　高校生物实验室安全管理优化策略</w:t>
      </w:r>
      <w:bookmarkEnd w:id="58"/>
      <w:bookmarkEnd w:id="59"/>
      <w:bookmarkEnd w:id="60"/>
      <w:bookmarkEnd w:id="61"/>
    </w:p>
    <w:p w14:paraId="0004853B">
      <w:pPr>
        <w:spacing w:after="0" w:line="360" w:lineRule="auto"/>
        <w:ind w:firstLine="480"/>
        <w:jc w:val="both"/>
        <w:rPr>
          <w:lang w:eastAsia="zh-CN"/>
        </w:rPr>
      </w:pPr>
      <w:r>
        <w:t>第三章已经说明，高校生物实验室安全管理问题具有明显的系统性。相应地，第四章的对策也不能只停留在加强管理提高意识这类笼统表述上，而应尽量对应到具体环节。本文在借鉴实验室安全体系建设、人机料法环分维管理和反馈改进思路的基础上</w:t>
      </w:r>
      <w:r>
        <w:rPr>
          <w:vertAlign w:val="superscript"/>
        </w:rPr>
        <w:t>[4][5][8]</w:t>
      </w:r>
      <w:r>
        <w:t>，提出以责任明晰、流程可执行、过程可追溯、整改能反馈为核心的优化策略。</w:t>
      </w:r>
    </w:p>
    <w:p w14:paraId="4877E068">
      <w:pPr>
        <w:spacing w:after="0" w:line="360" w:lineRule="auto"/>
        <w:ind w:firstLine="480"/>
        <w:jc w:val="both"/>
        <w:rPr>
          <w:lang w:eastAsia="zh-CN"/>
        </w:rPr>
      </w:pPr>
      <w:r>
        <w:t>按照这一思路，本章的优化策略围绕执行、追溯、检查和改进展开。执行强调制度和流程落实到具体岗位与具体步骤；追溯强调样本、试剂、设备和废弃物等关键对象有记录、有去向；检查强调通过台账、复核和评价发现问题；改进则要求在问题出现后及时反馈、复盘并修订管理要求。 围绕第三章提出的成因维度，表4-1将主要不足、对应优化策略和预期效果进行对应，体现第四章对策与前文问题诊断之间的衔接关系。</w:t>
      </w:r>
    </w:p>
    <w:p w14:paraId="39E8C38F">
      <w:pPr>
        <w:keepNext/>
        <w:spacing w:before="60" w:after="60" w:line="360" w:lineRule="auto"/>
        <w:jc w:val="center"/>
        <w:rPr>
          <w:lang w:eastAsia="zh-CN"/>
        </w:rPr>
      </w:pPr>
      <w:r>
        <w:rPr>
          <w:rFonts w:ascii="黑体" w:hAnsi="黑体" w:eastAsia="黑体" w:cs="Times New Roman"/>
          <w:sz w:val="21"/>
          <w:szCs w:val="21"/>
          <w:lang w:eastAsia="zh-CN"/>
        </w:rPr>
        <w:t>表4-1 高校生物实验室安全管理优化策略对应表</w:t>
      </w:r>
    </w:p>
    <w:tbl>
      <w:tblPr>
        <w:tblStyle w:val="36"/>
        <w:tblW w:w="940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1"/>
        <w:gridCol w:w="3307"/>
        <w:gridCol w:w="3278"/>
        <w:gridCol w:w="1398"/>
      </w:tblGrid>
      <w:tr w14:paraId="315A7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421" w:type="dxa"/>
            <w:tcBorders>
              <w:top w:val="single" w:color="auto" w:sz="12" w:space="0"/>
              <w:left w:val="nil"/>
              <w:bottom w:val="single" w:color="auto" w:sz="4" w:space="0"/>
              <w:right w:val="nil"/>
              <w:insideH w:val="nil"/>
              <w:insideV w:val="nil"/>
            </w:tcBorders>
            <w:vAlign w:val="center"/>
          </w:tcPr>
          <w:p w14:paraId="31A31B1E">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成因维度</w:t>
            </w:r>
          </w:p>
        </w:tc>
        <w:tc>
          <w:tcPr>
            <w:tcW w:w="3307" w:type="dxa"/>
            <w:tcBorders>
              <w:top w:val="single" w:color="auto" w:sz="12" w:space="0"/>
              <w:left w:val="nil"/>
              <w:bottom w:val="single" w:color="auto" w:sz="4" w:space="0"/>
              <w:right w:val="nil"/>
              <w:insideH w:val="nil"/>
              <w:insideV w:val="nil"/>
            </w:tcBorders>
            <w:vAlign w:val="center"/>
          </w:tcPr>
          <w:p w14:paraId="59542364">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主要不足</w:t>
            </w:r>
          </w:p>
        </w:tc>
        <w:tc>
          <w:tcPr>
            <w:tcW w:w="3278" w:type="dxa"/>
            <w:tcBorders>
              <w:top w:val="single" w:color="auto" w:sz="12" w:space="0"/>
              <w:left w:val="nil"/>
              <w:bottom w:val="single" w:color="auto" w:sz="4" w:space="0"/>
              <w:right w:val="nil"/>
              <w:insideH w:val="nil"/>
              <w:insideV w:val="nil"/>
            </w:tcBorders>
            <w:vAlign w:val="center"/>
          </w:tcPr>
          <w:p w14:paraId="0BDE96D6">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对应优化策略</w:t>
            </w:r>
          </w:p>
        </w:tc>
        <w:tc>
          <w:tcPr>
            <w:tcW w:w="1398" w:type="dxa"/>
            <w:tcBorders>
              <w:top w:val="single" w:color="auto" w:sz="12" w:space="0"/>
              <w:left w:val="nil"/>
              <w:bottom w:val="single" w:color="auto" w:sz="4" w:space="0"/>
              <w:right w:val="nil"/>
              <w:insideH w:val="nil"/>
              <w:insideV w:val="nil"/>
            </w:tcBorders>
            <w:vAlign w:val="center"/>
          </w:tcPr>
          <w:p w14:paraId="754D4B9B">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预期效果</w:t>
            </w:r>
          </w:p>
        </w:tc>
      </w:tr>
      <w:tr w14:paraId="35F98C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1" w:type="dxa"/>
            <w:tcBorders>
              <w:top w:val="single" w:color="auto" w:sz="4" w:space="0"/>
              <w:left w:val="nil"/>
              <w:bottom w:val="nil"/>
              <w:right w:val="nil"/>
              <w:insideH w:val="nil"/>
              <w:insideV w:val="nil"/>
            </w:tcBorders>
            <w:vAlign w:val="center"/>
          </w:tcPr>
          <w:p w14:paraId="77B4FFBE">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人员</w:t>
            </w:r>
          </w:p>
        </w:tc>
        <w:tc>
          <w:tcPr>
            <w:tcW w:w="3307" w:type="dxa"/>
            <w:tcBorders>
              <w:top w:val="single" w:color="auto" w:sz="4" w:space="0"/>
              <w:left w:val="nil"/>
              <w:bottom w:val="nil"/>
              <w:right w:val="nil"/>
              <w:insideH w:val="nil"/>
              <w:insideV w:val="nil"/>
            </w:tcBorders>
            <w:vAlign w:val="center"/>
          </w:tcPr>
          <w:p w14:paraId="75C42224">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培训泛化、责任不清、应急能力弱</w:t>
            </w:r>
          </w:p>
        </w:tc>
        <w:tc>
          <w:tcPr>
            <w:tcW w:w="3278" w:type="dxa"/>
            <w:tcBorders>
              <w:top w:val="single" w:color="auto" w:sz="4" w:space="0"/>
              <w:left w:val="nil"/>
              <w:bottom w:val="nil"/>
              <w:right w:val="nil"/>
              <w:insideH w:val="nil"/>
              <w:insideV w:val="nil"/>
            </w:tcBorders>
            <w:vAlign w:val="center"/>
          </w:tcPr>
          <w:p w14:paraId="005EC4AE">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建立分层培训、准入考核与复训制度</w:t>
            </w:r>
          </w:p>
        </w:tc>
        <w:tc>
          <w:tcPr>
            <w:tcW w:w="1398" w:type="dxa"/>
            <w:tcBorders>
              <w:top w:val="single" w:color="auto" w:sz="4" w:space="0"/>
              <w:left w:val="nil"/>
              <w:bottom w:val="nil"/>
              <w:right w:val="nil"/>
              <w:insideH w:val="nil"/>
              <w:insideV w:val="nil"/>
            </w:tcBorders>
            <w:vAlign w:val="center"/>
          </w:tcPr>
          <w:p w14:paraId="4EABF597">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提升规范操作能力</w:t>
            </w:r>
          </w:p>
        </w:tc>
      </w:tr>
      <w:tr w14:paraId="5ADBFF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1" w:type="dxa"/>
            <w:tcBorders>
              <w:top w:val="nil"/>
              <w:left w:val="nil"/>
              <w:bottom w:val="nil"/>
              <w:right w:val="nil"/>
              <w:insideH w:val="nil"/>
              <w:insideV w:val="nil"/>
            </w:tcBorders>
            <w:vAlign w:val="center"/>
          </w:tcPr>
          <w:p w14:paraId="418C3EE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设备</w:t>
            </w:r>
          </w:p>
        </w:tc>
        <w:tc>
          <w:tcPr>
            <w:tcW w:w="3307" w:type="dxa"/>
            <w:tcBorders>
              <w:top w:val="nil"/>
              <w:left w:val="nil"/>
              <w:bottom w:val="nil"/>
              <w:right w:val="nil"/>
              <w:insideH w:val="nil"/>
              <w:insideV w:val="nil"/>
            </w:tcBorders>
            <w:vAlign w:val="center"/>
          </w:tcPr>
          <w:p w14:paraId="3C553A6B">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维护不连续、共享管理薄弱、防护功能检测不足</w:t>
            </w:r>
          </w:p>
        </w:tc>
        <w:tc>
          <w:tcPr>
            <w:tcW w:w="3278" w:type="dxa"/>
            <w:tcBorders>
              <w:top w:val="nil"/>
              <w:left w:val="nil"/>
              <w:bottom w:val="nil"/>
              <w:right w:val="nil"/>
              <w:insideH w:val="nil"/>
              <w:insideV w:val="nil"/>
            </w:tcBorders>
            <w:vAlign w:val="center"/>
          </w:tcPr>
          <w:p w14:paraId="2CAEFE4D">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实行分级管理、台账管理和性能验证</w:t>
            </w:r>
          </w:p>
        </w:tc>
        <w:tc>
          <w:tcPr>
            <w:tcW w:w="1398" w:type="dxa"/>
            <w:tcBorders>
              <w:top w:val="nil"/>
              <w:left w:val="nil"/>
              <w:bottom w:val="nil"/>
              <w:right w:val="nil"/>
              <w:insideH w:val="nil"/>
              <w:insideV w:val="nil"/>
            </w:tcBorders>
            <w:vAlign w:val="center"/>
          </w:tcPr>
          <w:p w14:paraId="505EAB3C">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保持设备可靠状态</w:t>
            </w:r>
          </w:p>
        </w:tc>
      </w:tr>
      <w:tr w14:paraId="0AA4E0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1" w:type="dxa"/>
            <w:tcBorders>
              <w:top w:val="nil"/>
              <w:left w:val="nil"/>
              <w:bottom w:val="nil"/>
              <w:right w:val="nil"/>
              <w:insideH w:val="nil"/>
              <w:insideV w:val="nil"/>
            </w:tcBorders>
            <w:vAlign w:val="center"/>
          </w:tcPr>
          <w:p w14:paraId="44F04D1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材料</w:t>
            </w:r>
          </w:p>
        </w:tc>
        <w:tc>
          <w:tcPr>
            <w:tcW w:w="3307" w:type="dxa"/>
            <w:tcBorders>
              <w:top w:val="nil"/>
              <w:left w:val="nil"/>
              <w:bottom w:val="nil"/>
              <w:right w:val="nil"/>
              <w:insideH w:val="nil"/>
              <w:insideV w:val="nil"/>
            </w:tcBorders>
            <w:vAlign w:val="center"/>
          </w:tcPr>
          <w:p w14:paraId="51CB0084">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全过程控制弱、追溯过程不完整</w:t>
            </w:r>
          </w:p>
        </w:tc>
        <w:tc>
          <w:tcPr>
            <w:tcW w:w="3278" w:type="dxa"/>
            <w:tcBorders>
              <w:top w:val="nil"/>
              <w:left w:val="nil"/>
              <w:bottom w:val="nil"/>
              <w:right w:val="nil"/>
              <w:insideH w:val="nil"/>
              <w:insideV w:val="nil"/>
            </w:tcBorders>
            <w:vAlign w:val="center"/>
          </w:tcPr>
          <w:p w14:paraId="73DF9D85">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规范样本试剂台账和废弃物流转</w:t>
            </w:r>
          </w:p>
        </w:tc>
        <w:tc>
          <w:tcPr>
            <w:tcW w:w="1398" w:type="dxa"/>
            <w:tcBorders>
              <w:top w:val="nil"/>
              <w:left w:val="nil"/>
              <w:bottom w:val="nil"/>
              <w:right w:val="nil"/>
              <w:insideH w:val="nil"/>
              <w:insideV w:val="nil"/>
            </w:tcBorders>
            <w:vAlign w:val="center"/>
          </w:tcPr>
          <w:p w14:paraId="64AAE1CA">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降低污染与泄漏风险</w:t>
            </w:r>
          </w:p>
        </w:tc>
      </w:tr>
      <w:tr w14:paraId="46E544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1" w:type="dxa"/>
            <w:tcBorders>
              <w:top w:val="nil"/>
              <w:left w:val="nil"/>
              <w:bottom w:val="nil"/>
              <w:right w:val="nil"/>
              <w:insideH w:val="nil"/>
              <w:insideV w:val="nil"/>
            </w:tcBorders>
            <w:vAlign w:val="center"/>
          </w:tcPr>
          <w:p w14:paraId="724800E0">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制度</w:t>
            </w:r>
          </w:p>
        </w:tc>
        <w:tc>
          <w:tcPr>
            <w:tcW w:w="3307" w:type="dxa"/>
            <w:tcBorders>
              <w:top w:val="nil"/>
              <w:left w:val="nil"/>
              <w:bottom w:val="nil"/>
              <w:right w:val="nil"/>
              <w:insideH w:val="nil"/>
              <w:insideV w:val="nil"/>
            </w:tcBorders>
            <w:vAlign w:val="center"/>
          </w:tcPr>
          <w:p w14:paraId="4F568849">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SOP不细、整改复查不足、预案不贴近场景</w:t>
            </w:r>
          </w:p>
        </w:tc>
        <w:tc>
          <w:tcPr>
            <w:tcW w:w="3278" w:type="dxa"/>
            <w:tcBorders>
              <w:top w:val="nil"/>
              <w:left w:val="nil"/>
              <w:bottom w:val="nil"/>
              <w:right w:val="nil"/>
              <w:insideH w:val="nil"/>
              <w:insideV w:val="nil"/>
            </w:tcBorders>
            <w:vAlign w:val="center"/>
          </w:tcPr>
          <w:p w14:paraId="45B73C8C">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细化操作流程并建立反馈整改机制</w:t>
            </w:r>
          </w:p>
        </w:tc>
        <w:tc>
          <w:tcPr>
            <w:tcW w:w="1398" w:type="dxa"/>
            <w:tcBorders>
              <w:top w:val="nil"/>
              <w:left w:val="nil"/>
              <w:bottom w:val="nil"/>
              <w:right w:val="nil"/>
              <w:insideH w:val="nil"/>
              <w:insideV w:val="nil"/>
            </w:tcBorders>
            <w:vAlign w:val="center"/>
          </w:tcPr>
          <w:p w14:paraId="219AB382">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增强制度执行力</w:t>
            </w:r>
          </w:p>
        </w:tc>
      </w:tr>
      <w:tr w14:paraId="64D590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1" w:type="dxa"/>
            <w:tcBorders>
              <w:top w:val="nil"/>
              <w:left w:val="nil"/>
              <w:bottom w:val="single" w:color="auto" w:sz="12" w:space="0"/>
              <w:right w:val="nil"/>
              <w:insideH w:val="nil"/>
              <w:insideV w:val="nil"/>
            </w:tcBorders>
            <w:vAlign w:val="center"/>
          </w:tcPr>
          <w:p w14:paraId="6477B2F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环境与监测</w:t>
            </w:r>
          </w:p>
        </w:tc>
        <w:tc>
          <w:tcPr>
            <w:tcW w:w="3307" w:type="dxa"/>
            <w:tcBorders>
              <w:top w:val="nil"/>
              <w:left w:val="nil"/>
              <w:bottom w:val="single" w:color="auto" w:sz="12" w:space="0"/>
              <w:right w:val="nil"/>
              <w:insideH w:val="nil"/>
              <w:insideV w:val="nil"/>
            </w:tcBorders>
            <w:vAlign w:val="center"/>
          </w:tcPr>
          <w:p w14:paraId="5F19D9FD">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现场秩序弱、文化薄弱、数据分散</w:t>
            </w:r>
          </w:p>
        </w:tc>
        <w:tc>
          <w:tcPr>
            <w:tcW w:w="3278" w:type="dxa"/>
            <w:tcBorders>
              <w:top w:val="nil"/>
              <w:left w:val="nil"/>
              <w:bottom w:val="single" w:color="auto" w:sz="12" w:space="0"/>
              <w:right w:val="nil"/>
              <w:insideH w:val="nil"/>
              <w:insideV w:val="nil"/>
            </w:tcBorders>
            <w:vAlign w:val="center"/>
          </w:tcPr>
          <w:p w14:paraId="7DCCAF73">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改善现场环境并引入信息化追溯与PDCA管理</w:t>
            </w:r>
          </w:p>
        </w:tc>
        <w:tc>
          <w:tcPr>
            <w:tcW w:w="1398" w:type="dxa"/>
            <w:tcBorders>
              <w:top w:val="nil"/>
              <w:left w:val="nil"/>
              <w:bottom w:val="single" w:color="auto" w:sz="12" w:space="0"/>
              <w:right w:val="nil"/>
              <w:insideH w:val="nil"/>
              <w:insideV w:val="nil"/>
            </w:tcBorders>
            <w:vAlign w:val="center"/>
          </w:tcPr>
          <w:p w14:paraId="3073C83D">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形成长效改进机制</w:t>
            </w:r>
          </w:p>
        </w:tc>
      </w:tr>
    </w:tbl>
    <w:p w14:paraId="701804A8">
      <w:pPr>
        <w:spacing w:after="0" w:line="360" w:lineRule="auto"/>
        <w:ind w:firstLine="480"/>
        <w:jc w:val="both"/>
      </w:pPr>
    </w:p>
    <w:p w14:paraId="64779624">
      <w:pPr>
        <w:keepNext/>
        <w:spacing w:after="0" w:line="360" w:lineRule="auto"/>
        <w:ind w:firstLine="480" w:firstLineChars="200"/>
        <w:outlineLvl w:val="1"/>
        <w:rPr>
          <w:lang w:eastAsia="zh-CN"/>
        </w:rPr>
      </w:pPr>
      <w:bookmarkStart w:id="62" w:name="_Toc14549"/>
      <w:bookmarkStart w:id="63" w:name="_Toc23753"/>
      <w:bookmarkStart w:id="64" w:name="_Toc968"/>
      <w:bookmarkStart w:id="65" w:name="_Toc22003"/>
      <w:r>
        <w:rPr>
          <w:rFonts w:ascii="Times New Roman" w:hAnsi="Times New Roman" w:eastAsia="黑体"/>
          <w:sz w:val="24"/>
          <w:lang w:eastAsia="zh-CN"/>
        </w:rPr>
        <w:t>4.1　管理责任与人员能力建设</w:t>
      </w:r>
      <w:bookmarkEnd w:id="62"/>
      <w:bookmarkEnd w:id="63"/>
      <w:bookmarkEnd w:id="64"/>
      <w:bookmarkEnd w:id="65"/>
    </w:p>
    <w:p w14:paraId="5AC7DFAF">
      <w:pPr>
        <w:spacing w:after="0" w:line="360" w:lineRule="auto"/>
        <w:ind w:firstLine="480"/>
        <w:jc w:val="both"/>
        <w:rPr>
          <w:lang w:eastAsia="zh-CN"/>
        </w:rPr>
      </w:pPr>
      <w:r>
        <w:rPr>
          <w:rFonts w:ascii="Times New Roman" w:hAnsi="Times New Roman" w:eastAsia="宋体"/>
          <w:sz w:val="24"/>
          <w:lang w:eastAsia="zh-CN"/>
        </w:rPr>
        <w:t>在高校生物实验室中，人员是安全管理中最活跃的因素。学生、教师、实验技术人员和管理人员都直接参与实验室运行，其安全意识、专业能力和责任履行情况，会影响设备使用、材料管理、流程执行和环境维护等多个方面。</w:t>
      </w:r>
    </w:p>
    <w:p w14:paraId="40DD1909">
      <w:pPr>
        <w:spacing w:after="0" w:line="360" w:lineRule="auto"/>
        <w:ind w:firstLine="480"/>
        <w:jc w:val="both"/>
        <w:rPr>
          <w:lang w:eastAsia="zh-CN"/>
        </w:rPr>
      </w:pPr>
      <w:r>
        <w:rPr>
          <w:rFonts w:ascii="Times New Roman" w:hAnsi="Times New Roman" w:eastAsia="宋体" w:cs="Times New Roman"/>
          <w:sz w:val="24"/>
          <w:lang w:eastAsia="zh-CN"/>
        </w:rPr>
        <w:t>部分学生进入实验室前接受过基础安全教育，但在具体实验过程中，对生物材料风险、设备操作限制和废弃物分类要求掌握不够充分。尤其是在初次接触细胞培养、微生物操作或动物组织处理时，若缺少现场指导，容易出现操作随意、记录不完整和防护不到位等情况。</w:t>
      </w:r>
    </w:p>
    <w:p w14:paraId="7D164DA6">
      <w:pPr>
        <w:spacing w:after="0" w:line="360" w:lineRule="auto"/>
        <w:ind w:firstLine="480"/>
        <w:jc w:val="both"/>
        <w:rPr>
          <w:lang w:eastAsia="zh-CN"/>
        </w:rPr>
      </w:pPr>
      <w:r>
        <w:rPr>
          <w:rFonts w:ascii="Times New Roman" w:hAnsi="Times New Roman" w:eastAsia="宋体" w:cs="Times New Roman"/>
          <w:sz w:val="24"/>
          <w:lang w:eastAsia="zh-CN"/>
        </w:rPr>
        <w:t>教师和实验技术人员承担着指导、监督和管理职责。如果教师主要关注实验结果和教学进度，而对安全细节提醒不足，学生就可能形成重操作、轻规范的习惯。实验技术人员若工作量较大，也可能出现台账更新不及时、设备点检不充分等问题。</w:t>
      </w:r>
    </w:p>
    <w:p w14:paraId="5BADE246">
      <w:pPr>
        <w:spacing w:after="0" w:line="360" w:lineRule="auto"/>
        <w:ind w:firstLine="480"/>
        <w:jc w:val="both"/>
        <w:rPr>
          <w:lang w:eastAsia="zh-CN"/>
        </w:rPr>
      </w:pPr>
      <w:r>
        <w:rPr>
          <w:rFonts w:ascii="Times New Roman" w:hAnsi="Times New Roman" w:eastAsia="宋体" w:cs="Times New Roman"/>
          <w:sz w:val="24"/>
          <w:lang w:eastAsia="zh-CN"/>
        </w:rPr>
        <w:t>管理人员的责任落实同样重要。高校实验室安全管理涉及多个部门，如果职责边界不清，容易出现检查要求多、整改跟踪弱，或者问题发现后责任传导不顺畅的情况。安全管理需要将学校制度、学院要求和实验室日常操作连接起来。</w:t>
      </w:r>
    </w:p>
    <w:p w14:paraId="05B003EB">
      <w:pPr>
        <w:spacing w:after="0" w:line="360" w:lineRule="auto"/>
        <w:ind w:firstLine="480"/>
        <w:jc w:val="both"/>
        <w:rPr>
          <w:lang w:eastAsia="zh-CN"/>
        </w:rPr>
      </w:pPr>
      <w:r>
        <w:rPr>
          <w:lang w:eastAsia="zh-CN"/>
        </w:rPr>
        <w:t>人员因素在高校生物实验室安全管理中具有基础性影响，其中学生群体是最主要、最直接的行为主体。高校生物实验室承担教学实验、科研训练和课题研究等多重任务，参与人员以本科生、研究生为主。相比专职教师和实验技术人员，学生进入实验室的时间相对集中，流动性较强，实验经验和风险识别能力参差不齐，部分学生对生物实验室潜在风险的认识不足，容易将安全要求理解为形式化规定，而没有真正转化为稳定的操作习惯。</w:t>
      </w:r>
    </w:p>
    <w:p w14:paraId="6E81265E">
      <w:pPr>
        <w:spacing w:after="0" w:line="360" w:lineRule="auto"/>
        <w:ind w:firstLine="480"/>
        <w:jc w:val="both"/>
        <w:rPr>
          <w:lang w:eastAsia="zh-CN"/>
        </w:rPr>
      </w:pPr>
      <w:r>
        <w:rPr>
          <w:lang w:eastAsia="zh-CN"/>
        </w:rPr>
        <w:t>从学生安全行为来看，实验室成员是否按要求穿戴实验服、手套、口罩、护目镜等防护用品，是否在实验前检查设备和试剂状态，是否在实验后及时清理台面、消毒操作区域，是否规范记录试剂领用、样品流转和废弃物处置情况，都会直接影响实验室整体安全状态。尤其是在高校生物实验室中，实验材料可能涉及微生物样品、细胞样品、生物试剂和污染性废弃物，如果学生在操作过程中存在随意摆放样品、未及时标识容器、废弃物分类不清、实验记录不完整等问题，就可能增加交叉污染、样品误用、废弃物处置不当等风险。</w:t>
      </w:r>
    </w:p>
    <w:p w14:paraId="305B1115">
      <w:pPr>
        <w:spacing w:after="0" w:line="360" w:lineRule="auto"/>
        <w:ind w:firstLine="480"/>
        <w:jc w:val="both"/>
        <w:rPr>
          <w:lang w:eastAsia="zh-CN"/>
        </w:rPr>
      </w:pPr>
      <w:r>
        <w:rPr>
          <w:lang w:eastAsia="zh-CN"/>
        </w:rPr>
        <w:t>学生安全行为问题的形成，并不只是因为缺少安全培训，还与培训内容针对性不足、实践考核不充分、导师和实验室负责人日常监督不到位等因素有关。部分高校虽然设置了实验室安全准入考试，但考核内容多停留在线上答题和制度知识层面，学生可能通过短期记忆完成考试，却未必真正掌握具体操作要求。例如，对于生物安全柜的使用，学生不仅要知道“使用前后应消毒”，还应掌握实验前紫外或表面消毒要求、气流窗口高度、操作物品摆放位置、实验结束后的污染物处置流程等具体内容；对于离心机的使用，学生不仅要知道“需要配平”，还应掌握样品密封、转子检查、异常振动或停机后的处理方式。</w:t>
      </w:r>
    </w:p>
    <w:p w14:paraId="367965DA">
      <w:pPr>
        <w:spacing w:after="0" w:line="360" w:lineRule="auto"/>
        <w:ind w:firstLine="480"/>
        <w:jc w:val="both"/>
        <w:rPr>
          <w:lang w:eastAsia="zh-CN"/>
        </w:rPr>
      </w:pPr>
      <w:r>
        <w:rPr>
          <w:lang w:eastAsia="zh-CN"/>
        </w:rPr>
        <w:t>因此，人员方面的成因应重点关注学生安全意识、安全知识和安全行为习惯之间的转化过程。高校生物实验室安全管理不能只依靠一次性培训或线上考试，而应将安全教育嵌入学生日常实验全过程。对于操作性较强的内容，可采用现场演示、带教确认、情景提问和随机抽查等方式进行评价；对于新进入实验室的学生，应由导师、实验技术人员或高年级学生进行操作带教，确认其具备独立实验能力后再允许开展相关实验。通过理论考核与操作考核相结合、集中培训与日常提醒相结合、责任约束与行为监督相结合，才能逐步提升学生的风险识别能力和规范操作能力，减少因学生操作不当、习惯不良和责任意识不足引发的实验室安全隐患。</w:t>
      </w:r>
    </w:p>
    <w:p w14:paraId="0E695280">
      <w:pPr>
        <w:spacing w:after="0" w:line="360" w:lineRule="auto"/>
        <w:ind w:firstLine="480"/>
        <w:jc w:val="both"/>
        <w:rPr>
          <w:lang w:eastAsia="zh-CN"/>
        </w:rPr>
      </w:pPr>
      <w:r>
        <w:rPr>
          <w:lang w:eastAsia="zh-CN"/>
        </w:rPr>
        <w:t>设备因素是影响高校生物实验室安全的重要方面。生物安全柜、离心机、高压灭菌锅、培养箱、冰箱、超净工作台等设备与实验过程密切相关，其运行状态和使用方式直接关系到实验安全。 人员能力建设需要落实到具体培训内容和考核方式中，表4-2从基础、专业、设备、应急和复训模块进行设计，使培训要求更便于执行。</w:t>
      </w:r>
    </w:p>
    <w:p w14:paraId="58225E69">
      <w:pPr>
        <w:keepNext/>
        <w:spacing w:before="60" w:after="60" w:line="360" w:lineRule="auto"/>
        <w:jc w:val="center"/>
        <w:rPr>
          <w:lang w:eastAsia="zh-CN"/>
        </w:rPr>
      </w:pPr>
      <w:r>
        <w:rPr>
          <w:rFonts w:ascii="黑体" w:hAnsi="黑体" w:eastAsia="黑体" w:cs="Times New Roman"/>
          <w:sz w:val="21"/>
          <w:szCs w:val="21"/>
          <w:lang w:eastAsia="zh-CN"/>
        </w:rPr>
        <w:t>表4-2 高校生物实验室安全培训与考核模块设计</w:t>
      </w:r>
    </w:p>
    <w:tbl>
      <w:tblPr>
        <w:tblStyle w:val="36"/>
        <w:tblW w:w="940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8"/>
        <w:gridCol w:w="3979"/>
        <w:gridCol w:w="2327"/>
        <w:gridCol w:w="1840"/>
      </w:tblGrid>
      <w:tr w14:paraId="7A0F94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58" w:type="dxa"/>
            <w:tcBorders>
              <w:top w:val="single" w:color="auto" w:sz="12" w:space="0"/>
              <w:left w:val="nil"/>
              <w:bottom w:val="single" w:color="auto" w:sz="4" w:space="0"/>
              <w:right w:val="nil"/>
              <w:insideH w:val="nil"/>
              <w:insideV w:val="nil"/>
            </w:tcBorders>
            <w:vAlign w:val="center"/>
          </w:tcPr>
          <w:p w14:paraId="398CB803">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模块</w:t>
            </w:r>
          </w:p>
        </w:tc>
        <w:tc>
          <w:tcPr>
            <w:tcW w:w="3979" w:type="dxa"/>
            <w:tcBorders>
              <w:top w:val="single" w:color="auto" w:sz="12" w:space="0"/>
              <w:left w:val="nil"/>
              <w:bottom w:val="single" w:color="auto" w:sz="4" w:space="0"/>
              <w:right w:val="nil"/>
              <w:insideH w:val="nil"/>
              <w:insideV w:val="nil"/>
            </w:tcBorders>
            <w:vAlign w:val="center"/>
          </w:tcPr>
          <w:p w14:paraId="667C2B12">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主要内容</w:t>
            </w:r>
          </w:p>
        </w:tc>
        <w:tc>
          <w:tcPr>
            <w:tcW w:w="2327" w:type="dxa"/>
            <w:tcBorders>
              <w:top w:val="single" w:color="auto" w:sz="12" w:space="0"/>
              <w:left w:val="nil"/>
              <w:bottom w:val="single" w:color="auto" w:sz="4" w:space="0"/>
              <w:right w:val="nil"/>
              <w:insideH w:val="nil"/>
              <w:insideV w:val="nil"/>
            </w:tcBorders>
            <w:vAlign w:val="center"/>
          </w:tcPr>
          <w:p w14:paraId="448D4587">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对象</w:t>
            </w:r>
          </w:p>
        </w:tc>
        <w:tc>
          <w:tcPr>
            <w:tcW w:w="1840" w:type="dxa"/>
            <w:tcBorders>
              <w:top w:val="single" w:color="auto" w:sz="12" w:space="0"/>
              <w:left w:val="nil"/>
              <w:bottom w:val="single" w:color="auto" w:sz="4" w:space="0"/>
              <w:right w:val="nil"/>
              <w:insideH w:val="nil"/>
              <w:insideV w:val="nil"/>
            </w:tcBorders>
            <w:vAlign w:val="center"/>
          </w:tcPr>
          <w:p w14:paraId="7AB12CC6">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考核方式</w:t>
            </w:r>
          </w:p>
        </w:tc>
      </w:tr>
      <w:tr w14:paraId="285468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8" w:type="dxa"/>
            <w:tcBorders>
              <w:top w:val="single" w:color="auto" w:sz="4" w:space="0"/>
              <w:left w:val="nil"/>
              <w:bottom w:val="nil"/>
              <w:right w:val="nil"/>
              <w:insideH w:val="nil"/>
              <w:insideV w:val="nil"/>
            </w:tcBorders>
            <w:vAlign w:val="center"/>
          </w:tcPr>
          <w:p w14:paraId="42CF3369">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基础模块</w:t>
            </w:r>
          </w:p>
        </w:tc>
        <w:tc>
          <w:tcPr>
            <w:tcW w:w="3979" w:type="dxa"/>
            <w:tcBorders>
              <w:top w:val="single" w:color="auto" w:sz="4" w:space="0"/>
              <w:left w:val="nil"/>
              <w:bottom w:val="nil"/>
              <w:right w:val="nil"/>
              <w:insideH w:val="nil"/>
              <w:insideV w:val="nil"/>
            </w:tcBorders>
            <w:vAlign w:val="center"/>
          </w:tcPr>
          <w:p w14:paraId="21F41B7D">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消防、用电、个体防护、实验纪律</w:t>
            </w:r>
          </w:p>
        </w:tc>
        <w:tc>
          <w:tcPr>
            <w:tcW w:w="2327" w:type="dxa"/>
            <w:tcBorders>
              <w:top w:val="single" w:color="auto" w:sz="4" w:space="0"/>
              <w:left w:val="nil"/>
              <w:bottom w:val="nil"/>
              <w:right w:val="nil"/>
              <w:insideH w:val="nil"/>
              <w:insideV w:val="nil"/>
            </w:tcBorders>
            <w:vAlign w:val="center"/>
          </w:tcPr>
          <w:p w14:paraId="2CCF43C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所有进入实验室人员</w:t>
            </w:r>
          </w:p>
        </w:tc>
        <w:tc>
          <w:tcPr>
            <w:tcW w:w="1840" w:type="dxa"/>
            <w:tcBorders>
              <w:top w:val="single" w:color="auto" w:sz="4" w:space="0"/>
              <w:left w:val="nil"/>
              <w:bottom w:val="nil"/>
              <w:right w:val="nil"/>
              <w:insideH w:val="nil"/>
              <w:insideV w:val="nil"/>
            </w:tcBorders>
            <w:vAlign w:val="center"/>
          </w:tcPr>
          <w:p w14:paraId="266914E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线上测试+签到</w:t>
            </w:r>
          </w:p>
        </w:tc>
      </w:tr>
      <w:tr w14:paraId="715FAA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8" w:type="dxa"/>
            <w:tcBorders>
              <w:top w:val="nil"/>
              <w:left w:val="nil"/>
              <w:bottom w:val="nil"/>
              <w:right w:val="nil"/>
              <w:insideH w:val="nil"/>
              <w:insideV w:val="nil"/>
            </w:tcBorders>
            <w:vAlign w:val="center"/>
          </w:tcPr>
          <w:p w14:paraId="4938890D">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专业模块</w:t>
            </w:r>
          </w:p>
        </w:tc>
        <w:tc>
          <w:tcPr>
            <w:tcW w:w="3979" w:type="dxa"/>
            <w:tcBorders>
              <w:top w:val="nil"/>
              <w:left w:val="nil"/>
              <w:bottom w:val="nil"/>
              <w:right w:val="nil"/>
              <w:insideH w:val="nil"/>
              <w:insideV w:val="nil"/>
            </w:tcBorders>
            <w:vAlign w:val="center"/>
          </w:tcPr>
          <w:p w14:paraId="18EEA02D">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生物样本操作、消毒灭菌、废弃物分类</w:t>
            </w:r>
          </w:p>
        </w:tc>
        <w:tc>
          <w:tcPr>
            <w:tcW w:w="2327" w:type="dxa"/>
            <w:tcBorders>
              <w:top w:val="nil"/>
              <w:left w:val="nil"/>
              <w:bottom w:val="nil"/>
              <w:right w:val="nil"/>
              <w:insideH w:val="nil"/>
              <w:insideV w:val="nil"/>
            </w:tcBorders>
            <w:vAlign w:val="center"/>
          </w:tcPr>
          <w:p w14:paraId="158399C5">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生物实验相关人员</w:t>
            </w:r>
          </w:p>
        </w:tc>
        <w:tc>
          <w:tcPr>
            <w:tcW w:w="1840" w:type="dxa"/>
            <w:tcBorders>
              <w:top w:val="nil"/>
              <w:left w:val="nil"/>
              <w:bottom w:val="nil"/>
              <w:right w:val="nil"/>
              <w:insideH w:val="nil"/>
              <w:insideV w:val="nil"/>
            </w:tcBorders>
            <w:vAlign w:val="center"/>
          </w:tcPr>
          <w:p w14:paraId="74AECF9D">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笔试+情景问答</w:t>
            </w:r>
          </w:p>
        </w:tc>
      </w:tr>
      <w:tr w14:paraId="78EC6C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8" w:type="dxa"/>
            <w:tcBorders>
              <w:top w:val="nil"/>
              <w:left w:val="nil"/>
              <w:bottom w:val="nil"/>
              <w:right w:val="nil"/>
              <w:insideH w:val="nil"/>
              <w:insideV w:val="nil"/>
            </w:tcBorders>
            <w:vAlign w:val="center"/>
          </w:tcPr>
          <w:p w14:paraId="7E2E2249">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设备模块</w:t>
            </w:r>
          </w:p>
        </w:tc>
        <w:tc>
          <w:tcPr>
            <w:tcW w:w="3979" w:type="dxa"/>
            <w:tcBorders>
              <w:top w:val="nil"/>
              <w:left w:val="nil"/>
              <w:bottom w:val="nil"/>
              <w:right w:val="nil"/>
              <w:insideH w:val="nil"/>
              <w:insideV w:val="nil"/>
            </w:tcBorders>
            <w:vAlign w:val="center"/>
          </w:tcPr>
          <w:p w14:paraId="4AE64E05">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生物安全柜、离心机、高压灭菌锅使用规范</w:t>
            </w:r>
          </w:p>
        </w:tc>
        <w:tc>
          <w:tcPr>
            <w:tcW w:w="2327" w:type="dxa"/>
            <w:tcBorders>
              <w:top w:val="nil"/>
              <w:left w:val="nil"/>
              <w:bottom w:val="nil"/>
              <w:right w:val="nil"/>
              <w:insideH w:val="nil"/>
              <w:insideV w:val="nil"/>
            </w:tcBorders>
            <w:vAlign w:val="center"/>
          </w:tcPr>
          <w:p w14:paraId="004BE745">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设备使用人员</w:t>
            </w:r>
          </w:p>
        </w:tc>
        <w:tc>
          <w:tcPr>
            <w:tcW w:w="1840" w:type="dxa"/>
            <w:tcBorders>
              <w:top w:val="nil"/>
              <w:left w:val="nil"/>
              <w:bottom w:val="nil"/>
              <w:right w:val="nil"/>
              <w:insideH w:val="nil"/>
              <w:insideV w:val="nil"/>
            </w:tcBorders>
            <w:vAlign w:val="center"/>
          </w:tcPr>
          <w:p w14:paraId="7AF3E02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现场演示+带教确认</w:t>
            </w:r>
          </w:p>
        </w:tc>
      </w:tr>
      <w:tr w14:paraId="36D2B5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8" w:type="dxa"/>
            <w:tcBorders>
              <w:top w:val="nil"/>
              <w:left w:val="nil"/>
              <w:bottom w:val="nil"/>
              <w:right w:val="nil"/>
              <w:insideH w:val="nil"/>
              <w:insideV w:val="nil"/>
            </w:tcBorders>
            <w:vAlign w:val="center"/>
          </w:tcPr>
          <w:p w14:paraId="20F921A3">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应急模块</w:t>
            </w:r>
          </w:p>
        </w:tc>
        <w:tc>
          <w:tcPr>
            <w:tcW w:w="3979" w:type="dxa"/>
            <w:tcBorders>
              <w:top w:val="nil"/>
              <w:left w:val="nil"/>
              <w:bottom w:val="nil"/>
              <w:right w:val="nil"/>
              <w:insideH w:val="nil"/>
              <w:insideV w:val="nil"/>
            </w:tcBorders>
            <w:vAlign w:val="center"/>
          </w:tcPr>
          <w:p w14:paraId="108C1CA5">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样本泄漏、锐器伤、暴露处置、停电和火灾应对</w:t>
            </w:r>
          </w:p>
        </w:tc>
        <w:tc>
          <w:tcPr>
            <w:tcW w:w="2327" w:type="dxa"/>
            <w:tcBorders>
              <w:top w:val="nil"/>
              <w:left w:val="nil"/>
              <w:bottom w:val="nil"/>
              <w:right w:val="nil"/>
              <w:insideH w:val="nil"/>
              <w:insideV w:val="nil"/>
            </w:tcBorders>
            <w:vAlign w:val="center"/>
          </w:tcPr>
          <w:p w14:paraId="6A33A2C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全体人员</w:t>
            </w:r>
          </w:p>
        </w:tc>
        <w:tc>
          <w:tcPr>
            <w:tcW w:w="1840" w:type="dxa"/>
            <w:tcBorders>
              <w:top w:val="nil"/>
              <w:left w:val="nil"/>
              <w:bottom w:val="nil"/>
              <w:right w:val="nil"/>
              <w:insideH w:val="nil"/>
              <w:insideV w:val="nil"/>
            </w:tcBorders>
            <w:vAlign w:val="center"/>
          </w:tcPr>
          <w:p w14:paraId="59F8BF60">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应急演练+复盘记录</w:t>
            </w:r>
          </w:p>
        </w:tc>
      </w:tr>
      <w:tr w14:paraId="7BAB37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8" w:type="dxa"/>
            <w:tcBorders>
              <w:top w:val="nil"/>
              <w:left w:val="nil"/>
              <w:bottom w:val="single" w:color="auto" w:sz="12" w:space="0"/>
              <w:right w:val="nil"/>
              <w:insideH w:val="nil"/>
              <w:insideV w:val="nil"/>
            </w:tcBorders>
            <w:vAlign w:val="center"/>
          </w:tcPr>
          <w:p w14:paraId="4C7EFC09">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复训模块</w:t>
            </w:r>
          </w:p>
        </w:tc>
        <w:tc>
          <w:tcPr>
            <w:tcW w:w="3979" w:type="dxa"/>
            <w:tcBorders>
              <w:top w:val="nil"/>
              <w:left w:val="nil"/>
              <w:bottom w:val="single" w:color="auto" w:sz="12" w:space="0"/>
              <w:right w:val="nil"/>
              <w:insideH w:val="nil"/>
              <w:insideV w:val="nil"/>
            </w:tcBorders>
            <w:vAlign w:val="center"/>
          </w:tcPr>
          <w:p w14:paraId="3E97C52E">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年度复训、专项整改后再培训</w:t>
            </w:r>
          </w:p>
        </w:tc>
        <w:tc>
          <w:tcPr>
            <w:tcW w:w="2327" w:type="dxa"/>
            <w:tcBorders>
              <w:top w:val="nil"/>
              <w:left w:val="nil"/>
              <w:bottom w:val="single" w:color="auto" w:sz="12" w:space="0"/>
              <w:right w:val="nil"/>
              <w:insideH w:val="nil"/>
              <w:insideV w:val="nil"/>
            </w:tcBorders>
            <w:vAlign w:val="center"/>
          </w:tcPr>
          <w:p w14:paraId="5F743C5E">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长期在岗人员和问题人员</w:t>
            </w:r>
          </w:p>
        </w:tc>
        <w:tc>
          <w:tcPr>
            <w:tcW w:w="1840" w:type="dxa"/>
            <w:tcBorders>
              <w:top w:val="nil"/>
              <w:left w:val="nil"/>
              <w:bottom w:val="single" w:color="auto" w:sz="12" w:space="0"/>
              <w:right w:val="nil"/>
              <w:insideH w:val="nil"/>
              <w:insideV w:val="nil"/>
            </w:tcBorders>
            <w:vAlign w:val="center"/>
          </w:tcPr>
          <w:p w14:paraId="093CC70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抽查+复评</w:t>
            </w:r>
          </w:p>
        </w:tc>
      </w:tr>
    </w:tbl>
    <w:p w14:paraId="727FBD71">
      <w:pPr>
        <w:spacing w:after="0" w:line="360" w:lineRule="auto"/>
        <w:ind w:firstLine="480"/>
        <w:jc w:val="both"/>
      </w:pPr>
    </w:p>
    <w:p w14:paraId="29939D5A">
      <w:pPr>
        <w:keepNext/>
        <w:spacing w:after="0" w:line="360" w:lineRule="auto"/>
        <w:ind w:firstLine="480" w:firstLineChars="200"/>
        <w:outlineLvl w:val="1"/>
        <w:rPr>
          <w:lang w:eastAsia="zh-CN"/>
        </w:rPr>
      </w:pPr>
      <w:bookmarkStart w:id="66" w:name="_Toc9405"/>
      <w:bookmarkStart w:id="67" w:name="_Toc31841"/>
      <w:bookmarkStart w:id="68" w:name="_Toc18692"/>
      <w:bookmarkStart w:id="69" w:name="_Toc24952"/>
      <w:r>
        <w:rPr>
          <w:rFonts w:ascii="Times New Roman" w:hAnsi="Times New Roman" w:eastAsia="黑体"/>
          <w:sz w:val="24"/>
          <w:lang w:eastAsia="zh-CN"/>
        </w:rPr>
        <w:t>4.2　实验运行关键要素管理</w:t>
      </w:r>
      <w:bookmarkEnd w:id="66"/>
      <w:bookmarkEnd w:id="67"/>
      <w:bookmarkEnd w:id="68"/>
      <w:bookmarkEnd w:id="69"/>
    </w:p>
    <w:p w14:paraId="1F083E91">
      <w:pPr>
        <w:spacing w:after="0" w:line="360" w:lineRule="auto"/>
        <w:ind w:firstLine="480"/>
        <w:jc w:val="both"/>
        <w:rPr>
          <w:lang w:eastAsia="zh-CN"/>
        </w:rPr>
      </w:pPr>
      <w:r>
        <w:rPr>
          <w:rFonts w:ascii="Times New Roman" w:hAnsi="Times New Roman" w:eastAsia="宋体"/>
          <w:sz w:val="24"/>
          <w:lang w:eastAsia="zh-CN"/>
        </w:rPr>
        <w:t>部分实验室设备使用频率较高，但维护保养计划执行不够稳定。设备长期运行后，若未及时校准、清洁或检修，可能出现性能下降、报警失灵或安全保护功能异常等问题。</w:t>
      </w:r>
    </w:p>
    <w:p w14:paraId="1A551559">
      <w:pPr>
        <w:spacing w:after="0" w:line="360" w:lineRule="auto"/>
        <w:ind w:firstLine="480"/>
        <w:jc w:val="both"/>
        <w:rPr>
          <w:lang w:eastAsia="zh-CN"/>
        </w:rPr>
      </w:pPr>
      <w:r>
        <w:rPr>
          <w:rFonts w:ascii="Times New Roman" w:hAnsi="Times New Roman" w:eastAsia="宋体" w:cs="Times New Roman"/>
          <w:sz w:val="24"/>
          <w:lang w:eastAsia="zh-CN"/>
        </w:rPr>
        <w:t>设备使用记录不完整也会影响管理效果。一些实验室只在设备出现故障时才进行登记，平时缺少连续的点检记录和使用追踪，导致管理人员难以及时判断设备状态变化。</w:t>
      </w:r>
    </w:p>
    <w:p w14:paraId="4D20B48C">
      <w:pPr>
        <w:spacing w:after="0" w:line="360" w:lineRule="auto"/>
        <w:ind w:firstLine="480"/>
        <w:jc w:val="both"/>
        <w:rPr>
          <w:lang w:eastAsia="zh-CN"/>
        </w:rPr>
      </w:pPr>
      <w:r>
        <w:rPr>
          <w:rFonts w:ascii="Times New Roman" w:hAnsi="Times New Roman" w:eastAsia="宋体" w:cs="Times New Roman"/>
          <w:sz w:val="24"/>
          <w:lang w:eastAsia="zh-CN"/>
        </w:rPr>
        <w:t>此外，设备操作规程和警示标识不够清晰，也可能增加误用风险。学生在使用离心机、高压灭菌锅等设备时，如果不能快速看到关键注意事项，就容易忽略平衡、压力、温度和灭菌时间等安全要求。</w:t>
      </w:r>
    </w:p>
    <w:p w14:paraId="7ABB480E">
      <w:pPr>
        <w:spacing w:after="0" w:line="360" w:lineRule="auto"/>
        <w:ind w:firstLine="480"/>
        <w:jc w:val="both"/>
        <w:rPr>
          <w:lang w:eastAsia="zh-CN"/>
        </w:rPr>
      </w:pPr>
      <w:r>
        <w:t>设备方面问题的成因，既包括经费投入和维护资源不足，也包括管理流程不细、责任人不明确和使用培训不到位。只有将设备采购、验收、使用、维护和报废纳入连续管理，才能减少设备风险。 设备设施管理应体现分级分类思路，表4-3按照关键防护、灭菌消毒、过程设备、储存设备和普通设备列出管理要求，突出不同设备的风险差异。</w:t>
      </w:r>
    </w:p>
    <w:p w14:paraId="7DC8422F">
      <w:pPr>
        <w:keepNext/>
        <w:spacing w:before="60" w:after="60" w:line="360" w:lineRule="auto"/>
        <w:jc w:val="center"/>
        <w:rPr>
          <w:lang w:eastAsia="zh-CN"/>
        </w:rPr>
      </w:pPr>
      <w:r>
        <w:rPr>
          <w:rFonts w:ascii="黑体" w:hAnsi="黑体" w:eastAsia="黑体" w:cs="Times New Roman"/>
          <w:sz w:val="21"/>
          <w:szCs w:val="21"/>
          <w:lang w:eastAsia="zh-CN"/>
        </w:rPr>
        <w:t>表4-3 高校生物实验室重点设备设施分级管理要求</w:t>
      </w:r>
    </w:p>
    <w:tbl>
      <w:tblPr>
        <w:tblStyle w:val="36"/>
        <w:tblW w:w="940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2008"/>
        <w:gridCol w:w="1902"/>
        <w:gridCol w:w="2517"/>
        <w:gridCol w:w="1562"/>
      </w:tblGrid>
      <w:tr w14:paraId="20DFA4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416" w:type="dxa"/>
            <w:tcBorders>
              <w:top w:val="single" w:color="auto" w:sz="12" w:space="0"/>
              <w:left w:val="nil"/>
              <w:bottom w:val="single" w:color="auto" w:sz="4" w:space="0"/>
              <w:right w:val="nil"/>
              <w:insideH w:val="nil"/>
              <w:insideV w:val="nil"/>
            </w:tcBorders>
            <w:vAlign w:val="center"/>
          </w:tcPr>
          <w:p w14:paraId="06A00415">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设备类别</w:t>
            </w:r>
          </w:p>
        </w:tc>
        <w:tc>
          <w:tcPr>
            <w:tcW w:w="2008" w:type="dxa"/>
            <w:tcBorders>
              <w:top w:val="single" w:color="auto" w:sz="12" w:space="0"/>
              <w:left w:val="nil"/>
              <w:bottom w:val="single" w:color="auto" w:sz="4" w:space="0"/>
              <w:right w:val="nil"/>
              <w:insideH w:val="nil"/>
              <w:insideV w:val="nil"/>
            </w:tcBorders>
            <w:vAlign w:val="center"/>
          </w:tcPr>
          <w:p w14:paraId="43C9489C">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典型设备</w:t>
            </w:r>
          </w:p>
        </w:tc>
        <w:tc>
          <w:tcPr>
            <w:tcW w:w="1902" w:type="dxa"/>
            <w:tcBorders>
              <w:top w:val="single" w:color="auto" w:sz="12" w:space="0"/>
              <w:left w:val="nil"/>
              <w:bottom w:val="single" w:color="auto" w:sz="4" w:space="0"/>
              <w:right w:val="nil"/>
              <w:insideH w:val="nil"/>
              <w:insideV w:val="nil"/>
            </w:tcBorders>
            <w:vAlign w:val="center"/>
          </w:tcPr>
          <w:p w14:paraId="1BF35E3E">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主要风险</w:t>
            </w:r>
          </w:p>
        </w:tc>
        <w:tc>
          <w:tcPr>
            <w:tcW w:w="2517" w:type="dxa"/>
            <w:tcBorders>
              <w:top w:val="single" w:color="auto" w:sz="12" w:space="0"/>
              <w:left w:val="nil"/>
              <w:bottom w:val="single" w:color="auto" w:sz="4" w:space="0"/>
              <w:right w:val="nil"/>
              <w:insideH w:val="nil"/>
              <w:insideV w:val="nil"/>
            </w:tcBorders>
            <w:vAlign w:val="center"/>
          </w:tcPr>
          <w:p w14:paraId="627334A2">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管理要求</w:t>
            </w:r>
          </w:p>
        </w:tc>
        <w:tc>
          <w:tcPr>
            <w:tcW w:w="1562" w:type="dxa"/>
            <w:tcBorders>
              <w:top w:val="single" w:color="auto" w:sz="12" w:space="0"/>
              <w:left w:val="nil"/>
              <w:bottom w:val="single" w:color="auto" w:sz="4" w:space="0"/>
              <w:right w:val="nil"/>
              <w:insideH w:val="nil"/>
              <w:insideV w:val="nil"/>
            </w:tcBorders>
            <w:vAlign w:val="center"/>
          </w:tcPr>
          <w:p w14:paraId="78B708F5">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建议责任主体</w:t>
            </w:r>
          </w:p>
        </w:tc>
      </w:tr>
      <w:tr w14:paraId="6BC9F2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16" w:type="dxa"/>
            <w:tcBorders>
              <w:top w:val="single" w:color="auto" w:sz="4" w:space="0"/>
              <w:left w:val="nil"/>
              <w:bottom w:val="nil"/>
              <w:right w:val="nil"/>
              <w:insideH w:val="nil"/>
              <w:insideV w:val="nil"/>
            </w:tcBorders>
            <w:vAlign w:val="center"/>
          </w:tcPr>
          <w:p w14:paraId="3EBA7CB1">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A类（关键防护）</w:t>
            </w:r>
          </w:p>
        </w:tc>
        <w:tc>
          <w:tcPr>
            <w:tcW w:w="2008" w:type="dxa"/>
            <w:tcBorders>
              <w:top w:val="single" w:color="auto" w:sz="4" w:space="0"/>
              <w:left w:val="nil"/>
              <w:bottom w:val="nil"/>
              <w:right w:val="nil"/>
              <w:insideH w:val="nil"/>
              <w:insideV w:val="nil"/>
            </w:tcBorders>
            <w:vAlign w:val="center"/>
          </w:tcPr>
          <w:p w14:paraId="134E567D">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生物安全柜、通风系统</w:t>
            </w:r>
          </w:p>
        </w:tc>
        <w:tc>
          <w:tcPr>
            <w:tcW w:w="1902" w:type="dxa"/>
            <w:tcBorders>
              <w:top w:val="single" w:color="auto" w:sz="4" w:space="0"/>
              <w:left w:val="nil"/>
              <w:bottom w:val="nil"/>
              <w:right w:val="nil"/>
              <w:insideH w:val="nil"/>
              <w:insideV w:val="nil"/>
            </w:tcBorders>
            <w:vAlign w:val="center"/>
          </w:tcPr>
          <w:p w14:paraId="3F58B820">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防护失效、气溶胶暴露</w:t>
            </w:r>
          </w:p>
        </w:tc>
        <w:tc>
          <w:tcPr>
            <w:tcW w:w="2517" w:type="dxa"/>
            <w:tcBorders>
              <w:top w:val="single" w:color="auto" w:sz="4" w:space="0"/>
              <w:left w:val="nil"/>
              <w:bottom w:val="nil"/>
              <w:right w:val="nil"/>
              <w:insideH w:val="nil"/>
              <w:insideV w:val="nil"/>
            </w:tcBorders>
            <w:vAlign w:val="center"/>
          </w:tcPr>
          <w:p w14:paraId="499C7EBD">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定期性能检测、专人管理、使用记录</w:t>
            </w:r>
          </w:p>
        </w:tc>
        <w:tc>
          <w:tcPr>
            <w:tcW w:w="1562" w:type="dxa"/>
            <w:tcBorders>
              <w:top w:val="single" w:color="auto" w:sz="4" w:space="0"/>
              <w:left w:val="nil"/>
              <w:bottom w:val="nil"/>
              <w:right w:val="nil"/>
              <w:insideH w:val="nil"/>
              <w:insideV w:val="nil"/>
            </w:tcBorders>
            <w:vAlign w:val="center"/>
          </w:tcPr>
          <w:p w14:paraId="13B6EDB5">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实验室负责人/管理员</w:t>
            </w:r>
          </w:p>
        </w:tc>
      </w:tr>
      <w:tr w14:paraId="6F7D2E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insideH w:val="nil"/>
              <w:insideV w:val="nil"/>
            </w:tcBorders>
            <w:vAlign w:val="center"/>
          </w:tcPr>
          <w:p w14:paraId="3D66FA5F">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A类（灭菌消毒）</w:t>
            </w:r>
          </w:p>
        </w:tc>
        <w:tc>
          <w:tcPr>
            <w:tcW w:w="2008" w:type="dxa"/>
            <w:tcBorders>
              <w:top w:val="nil"/>
              <w:left w:val="nil"/>
              <w:bottom w:val="nil"/>
              <w:right w:val="nil"/>
              <w:insideH w:val="nil"/>
              <w:insideV w:val="nil"/>
            </w:tcBorders>
            <w:vAlign w:val="center"/>
          </w:tcPr>
          <w:p w14:paraId="329FEB33">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高压灭菌锅、消毒设施</w:t>
            </w:r>
          </w:p>
        </w:tc>
        <w:tc>
          <w:tcPr>
            <w:tcW w:w="1902" w:type="dxa"/>
            <w:tcBorders>
              <w:top w:val="nil"/>
              <w:left w:val="nil"/>
              <w:bottom w:val="nil"/>
              <w:right w:val="nil"/>
              <w:insideH w:val="nil"/>
              <w:insideV w:val="nil"/>
            </w:tcBorders>
            <w:vAlign w:val="center"/>
          </w:tcPr>
          <w:p w14:paraId="3C0ED174">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灭菌失败、烫伤、压力风险</w:t>
            </w:r>
          </w:p>
        </w:tc>
        <w:tc>
          <w:tcPr>
            <w:tcW w:w="2517" w:type="dxa"/>
            <w:tcBorders>
              <w:top w:val="nil"/>
              <w:left w:val="nil"/>
              <w:bottom w:val="nil"/>
              <w:right w:val="nil"/>
              <w:insideH w:val="nil"/>
              <w:insideV w:val="nil"/>
            </w:tcBorders>
            <w:vAlign w:val="center"/>
          </w:tcPr>
          <w:p w14:paraId="1F862563">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维护校准、效果验证、持证/培训上岗</w:t>
            </w:r>
          </w:p>
        </w:tc>
        <w:tc>
          <w:tcPr>
            <w:tcW w:w="1562" w:type="dxa"/>
            <w:tcBorders>
              <w:top w:val="nil"/>
              <w:left w:val="nil"/>
              <w:bottom w:val="nil"/>
              <w:right w:val="nil"/>
              <w:insideH w:val="nil"/>
              <w:insideV w:val="nil"/>
            </w:tcBorders>
            <w:vAlign w:val="center"/>
          </w:tcPr>
          <w:p w14:paraId="7854FD0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管理员/设备责任人</w:t>
            </w:r>
          </w:p>
        </w:tc>
      </w:tr>
      <w:tr w14:paraId="55DD56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insideH w:val="nil"/>
              <w:insideV w:val="nil"/>
            </w:tcBorders>
            <w:vAlign w:val="center"/>
          </w:tcPr>
          <w:p w14:paraId="306216D9">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B类（过程设备）</w:t>
            </w:r>
          </w:p>
        </w:tc>
        <w:tc>
          <w:tcPr>
            <w:tcW w:w="2008" w:type="dxa"/>
            <w:tcBorders>
              <w:top w:val="nil"/>
              <w:left w:val="nil"/>
              <w:bottom w:val="nil"/>
              <w:right w:val="nil"/>
              <w:insideH w:val="nil"/>
              <w:insideV w:val="nil"/>
            </w:tcBorders>
            <w:vAlign w:val="center"/>
          </w:tcPr>
          <w:p w14:paraId="3E133EDA">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离心机、培养箱、恒温设备</w:t>
            </w:r>
          </w:p>
        </w:tc>
        <w:tc>
          <w:tcPr>
            <w:tcW w:w="1902" w:type="dxa"/>
            <w:tcBorders>
              <w:top w:val="nil"/>
              <w:left w:val="nil"/>
              <w:bottom w:val="nil"/>
              <w:right w:val="nil"/>
              <w:insideH w:val="nil"/>
              <w:insideV w:val="nil"/>
            </w:tcBorders>
            <w:vAlign w:val="center"/>
          </w:tcPr>
          <w:p w14:paraId="035EF7A2">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泄漏、配平不当、状态异常</w:t>
            </w:r>
          </w:p>
        </w:tc>
        <w:tc>
          <w:tcPr>
            <w:tcW w:w="2517" w:type="dxa"/>
            <w:tcBorders>
              <w:top w:val="nil"/>
              <w:left w:val="nil"/>
              <w:bottom w:val="nil"/>
              <w:right w:val="nil"/>
              <w:insideH w:val="nil"/>
              <w:insideV w:val="nil"/>
            </w:tcBorders>
            <w:vAlign w:val="center"/>
          </w:tcPr>
          <w:p w14:paraId="6D4EAB6F">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使用前检查、共享预约、故障停用</w:t>
            </w:r>
          </w:p>
        </w:tc>
        <w:tc>
          <w:tcPr>
            <w:tcW w:w="1562" w:type="dxa"/>
            <w:tcBorders>
              <w:top w:val="nil"/>
              <w:left w:val="nil"/>
              <w:bottom w:val="nil"/>
              <w:right w:val="nil"/>
              <w:insideH w:val="nil"/>
              <w:insideV w:val="nil"/>
            </w:tcBorders>
            <w:vAlign w:val="center"/>
          </w:tcPr>
          <w:p w14:paraId="7E13BA4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使用人+管理员</w:t>
            </w:r>
          </w:p>
        </w:tc>
      </w:tr>
      <w:tr w14:paraId="7A66F4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insideH w:val="nil"/>
              <w:insideV w:val="nil"/>
            </w:tcBorders>
            <w:vAlign w:val="center"/>
          </w:tcPr>
          <w:p w14:paraId="2748CB4B">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B类（储存设备）</w:t>
            </w:r>
          </w:p>
        </w:tc>
        <w:tc>
          <w:tcPr>
            <w:tcW w:w="2008" w:type="dxa"/>
            <w:tcBorders>
              <w:top w:val="nil"/>
              <w:left w:val="nil"/>
              <w:bottom w:val="nil"/>
              <w:right w:val="nil"/>
              <w:insideH w:val="nil"/>
              <w:insideV w:val="nil"/>
            </w:tcBorders>
            <w:vAlign w:val="center"/>
          </w:tcPr>
          <w:p w14:paraId="2EABCB3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冰箱、低温冰柜</w:t>
            </w:r>
          </w:p>
        </w:tc>
        <w:tc>
          <w:tcPr>
            <w:tcW w:w="1902" w:type="dxa"/>
            <w:tcBorders>
              <w:top w:val="nil"/>
              <w:left w:val="nil"/>
              <w:bottom w:val="nil"/>
              <w:right w:val="nil"/>
              <w:insideH w:val="nil"/>
              <w:insideV w:val="nil"/>
            </w:tcBorders>
            <w:vAlign w:val="center"/>
          </w:tcPr>
          <w:p w14:paraId="0FA00E6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样本混放、温度异常</w:t>
            </w:r>
          </w:p>
        </w:tc>
        <w:tc>
          <w:tcPr>
            <w:tcW w:w="2517" w:type="dxa"/>
            <w:tcBorders>
              <w:top w:val="nil"/>
              <w:left w:val="nil"/>
              <w:bottom w:val="nil"/>
              <w:right w:val="nil"/>
              <w:insideH w:val="nil"/>
              <w:insideV w:val="nil"/>
            </w:tcBorders>
            <w:vAlign w:val="center"/>
          </w:tcPr>
          <w:p w14:paraId="0A55E801">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分类标识、温度记录、清理机制</w:t>
            </w:r>
          </w:p>
        </w:tc>
        <w:tc>
          <w:tcPr>
            <w:tcW w:w="1562" w:type="dxa"/>
            <w:tcBorders>
              <w:top w:val="nil"/>
              <w:left w:val="nil"/>
              <w:bottom w:val="nil"/>
              <w:right w:val="nil"/>
              <w:insideH w:val="nil"/>
              <w:insideV w:val="nil"/>
            </w:tcBorders>
            <w:vAlign w:val="center"/>
          </w:tcPr>
          <w:p w14:paraId="1CB22CA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样本责任人</w:t>
            </w:r>
          </w:p>
        </w:tc>
      </w:tr>
      <w:tr w14:paraId="46F069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16" w:type="dxa"/>
            <w:tcBorders>
              <w:top w:val="nil"/>
              <w:left w:val="nil"/>
              <w:bottom w:val="single" w:color="auto" w:sz="12" w:space="0"/>
              <w:right w:val="nil"/>
              <w:insideH w:val="nil"/>
              <w:insideV w:val="nil"/>
            </w:tcBorders>
            <w:vAlign w:val="center"/>
          </w:tcPr>
          <w:p w14:paraId="5AB169F0">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C类（普通设备）</w:t>
            </w:r>
          </w:p>
        </w:tc>
        <w:tc>
          <w:tcPr>
            <w:tcW w:w="2008" w:type="dxa"/>
            <w:tcBorders>
              <w:top w:val="nil"/>
              <w:left w:val="nil"/>
              <w:bottom w:val="single" w:color="auto" w:sz="12" w:space="0"/>
              <w:right w:val="nil"/>
              <w:insideH w:val="nil"/>
              <w:insideV w:val="nil"/>
            </w:tcBorders>
            <w:vAlign w:val="center"/>
          </w:tcPr>
          <w:p w14:paraId="6339FA1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移液器、普通仪器</w:t>
            </w:r>
          </w:p>
        </w:tc>
        <w:tc>
          <w:tcPr>
            <w:tcW w:w="1902" w:type="dxa"/>
            <w:tcBorders>
              <w:top w:val="nil"/>
              <w:left w:val="nil"/>
              <w:bottom w:val="single" w:color="auto" w:sz="12" w:space="0"/>
              <w:right w:val="nil"/>
              <w:insideH w:val="nil"/>
              <w:insideV w:val="nil"/>
            </w:tcBorders>
            <w:vAlign w:val="center"/>
          </w:tcPr>
          <w:p w14:paraId="423B753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精度偏差、交叉污染</w:t>
            </w:r>
          </w:p>
        </w:tc>
        <w:tc>
          <w:tcPr>
            <w:tcW w:w="2517" w:type="dxa"/>
            <w:tcBorders>
              <w:top w:val="nil"/>
              <w:left w:val="nil"/>
              <w:bottom w:val="single" w:color="auto" w:sz="12" w:space="0"/>
              <w:right w:val="nil"/>
              <w:insideH w:val="nil"/>
              <w:insideV w:val="nil"/>
            </w:tcBorders>
            <w:vAlign w:val="center"/>
          </w:tcPr>
          <w:p w14:paraId="7E0D397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常规维护、定期校准</w:t>
            </w:r>
          </w:p>
        </w:tc>
        <w:tc>
          <w:tcPr>
            <w:tcW w:w="1562" w:type="dxa"/>
            <w:tcBorders>
              <w:top w:val="nil"/>
              <w:left w:val="nil"/>
              <w:bottom w:val="single" w:color="auto" w:sz="12" w:space="0"/>
              <w:right w:val="nil"/>
              <w:insideH w:val="nil"/>
              <w:insideV w:val="nil"/>
            </w:tcBorders>
            <w:vAlign w:val="center"/>
          </w:tcPr>
          <w:p w14:paraId="5C626CA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使用人</w:t>
            </w:r>
          </w:p>
        </w:tc>
      </w:tr>
    </w:tbl>
    <w:p w14:paraId="100BBA2D">
      <w:pPr>
        <w:spacing w:after="0" w:line="360" w:lineRule="auto"/>
        <w:ind w:firstLine="480"/>
        <w:jc w:val="both"/>
      </w:pPr>
    </w:p>
    <w:p w14:paraId="5F049F3B">
      <w:pPr>
        <w:spacing w:after="0" w:line="360" w:lineRule="auto"/>
        <w:ind w:firstLine="480"/>
        <w:jc w:val="both"/>
        <w:rPr>
          <w:lang w:eastAsia="zh-CN"/>
        </w:rPr>
      </w:pPr>
      <w:r>
        <w:rPr>
          <w:rFonts w:ascii="Times New Roman" w:hAnsi="Times New Roman" w:eastAsia="宋体"/>
          <w:sz w:val="24"/>
          <w:lang w:eastAsia="zh-CN"/>
        </w:rPr>
        <w:t>材料因素在生物实验室安全管理中具有特殊性。与一般实验室相比，生物实验室涉及的材料不仅包括常规化学试剂和耗材，还包括菌株、细胞、动物组织、血清、培养基以及实验废弃物等。不同材料的保存条件、使用要求和处置方式差异较大。</w:t>
      </w:r>
    </w:p>
    <w:p w14:paraId="4F5D8EA6">
      <w:pPr>
        <w:spacing w:after="0" w:line="360" w:lineRule="auto"/>
        <w:ind w:firstLine="480"/>
        <w:jc w:val="both"/>
        <w:rPr>
          <w:lang w:eastAsia="zh-CN"/>
        </w:rPr>
      </w:pPr>
      <w:r>
        <w:rPr>
          <w:rFonts w:ascii="Times New Roman" w:hAnsi="Times New Roman" w:eastAsia="宋体" w:cs="Times New Roman"/>
          <w:sz w:val="24"/>
          <w:lang w:eastAsia="zh-CN"/>
        </w:rPr>
        <w:t>如果材料管理不规范，容易产生多方面风险。例如，试剂标签模糊会影响识别，样本来源记录不完整会影响追溯，低温保存材料若盘点不及时可能长期滞留，感染性废弃物若分类不清则会增加处置风险。</w:t>
      </w:r>
    </w:p>
    <w:p w14:paraId="53364594">
      <w:pPr>
        <w:spacing w:after="0" w:line="360" w:lineRule="auto"/>
        <w:ind w:firstLine="480"/>
        <w:jc w:val="both"/>
        <w:rPr>
          <w:lang w:eastAsia="zh-CN"/>
        </w:rPr>
      </w:pPr>
      <w:r>
        <w:rPr>
          <w:rFonts w:ascii="Times New Roman" w:hAnsi="Times New Roman" w:eastAsia="宋体" w:cs="Times New Roman"/>
          <w:sz w:val="24"/>
          <w:lang w:eastAsia="zh-CN"/>
        </w:rPr>
        <w:t>实验废弃物管理要从末端处置前移到全过程控制。感染性废弃物、锐器废弃物、培养基废弃物和化学试剂废液等，应使用不同收集容器和不同处置流程。需要灭菌的废弃物，应在实验室内部完成有效灭菌后再转运；废弃物交接时应记录种类、数量、交接人和时间。对高风险废弃物，还应保留必要的封装和流转记录。</w:t>
      </w:r>
    </w:p>
    <w:p w14:paraId="64181F59">
      <w:pPr>
        <w:spacing w:after="0" w:line="360" w:lineRule="auto"/>
        <w:ind w:firstLine="480"/>
        <w:jc w:val="both"/>
        <w:rPr>
          <w:lang w:eastAsia="zh-CN"/>
        </w:rPr>
      </w:pPr>
      <w:r>
        <w:rPr>
          <w:rFonts w:ascii="Times New Roman" w:hAnsi="Times New Roman" w:eastAsia="宋体" w:cs="Times New Roman"/>
          <w:sz w:val="24"/>
          <w:lang w:eastAsia="zh-CN"/>
        </w:rPr>
        <w:t>为了提高材料管理的可执行性，高校可以通过流程卡、颜色标识和电子台账等方式降低管理复杂度。例如，对不同类型废弃物采用不同颜色容器和不同标签模板；对样本和重点试剂设置二维码追踪；对危废转运设置固定时间和固定交接点。通过这些措施，可以把全过程管理从原则要求转化为可操作流程。</w:t>
      </w:r>
    </w:p>
    <w:p w14:paraId="2ADDAA7C">
      <w:r>
        <w:t>流程图适合用于表现管理对象在不同环节之间的先后关系、责任节点和关键控制点。对于样本、试剂与废弃物管理而言，单独强调某一环节往往难以实现全过程追溯，必须将审批、接收、登记、储存、领用、使用、回收、处置和复核等步骤连续起来。样本、试剂与废弃物全过程控制流程如图4-1所示。 为配合图4-1所示流程，表4-4从采购接收、储存暂存、使用领用、废弃转运和复核追溯等环节列出控制要点，使全过程管理更具可操作性。</w:t>
      </w:r>
    </w:p>
    <w:p w14:paraId="559F6A17">
      <w:pPr>
        <w:spacing w:after="0" w:line="360" w:lineRule="auto"/>
        <w:ind w:firstLine="480"/>
        <w:jc w:val="center"/>
      </w:pPr>
      <w:r>
        <w:drawing>
          <wp:inline distT="0" distB="0" distL="114300" distR="114300">
            <wp:extent cx="4907915" cy="2761615"/>
            <wp:effectExtent l="0" t="0" r="698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4907915" cy="2761615"/>
                    </a:xfrm>
                    <a:prstGeom prst="rect">
                      <a:avLst/>
                    </a:prstGeom>
                  </pic:spPr>
                </pic:pic>
              </a:graphicData>
            </a:graphic>
          </wp:inline>
        </w:drawing>
      </w:r>
    </w:p>
    <w:p w14:paraId="5E5087BB">
      <w:pPr>
        <w:spacing w:after="0" w:line="360" w:lineRule="auto"/>
        <w:ind w:firstLine="480"/>
        <w:jc w:val="center"/>
        <w:rPr>
          <w:lang w:eastAsia="zh-CN"/>
        </w:rPr>
      </w:pPr>
      <w:r>
        <w:rPr>
          <w:rFonts w:ascii="黑体" w:hAnsi="黑体" w:eastAsia="黑体" w:cs="Times New Roman"/>
          <w:sz w:val="21"/>
          <w:lang w:eastAsia="zh-CN"/>
        </w:rPr>
        <w:t>图4-</w:t>
      </w:r>
      <w:r>
        <w:rPr>
          <w:rFonts w:hint="eastAsia" w:ascii="黑体" w:hAnsi="黑体" w:eastAsia="黑体" w:cs="Times New Roman"/>
          <w:sz w:val="21"/>
          <w:lang w:val="en-US" w:eastAsia="zh-CN"/>
        </w:rPr>
        <w:t xml:space="preserve">1 </w:t>
      </w:r>
      <w:r>
        <w:rPr>
          <w:rFonts w:ascii="黑体" w:hAnsi="黑体" w:eastAsia="黑体" w:cs="Times New Roman"/>
          <w:sz w:val="21"/>
          <w:lang w:eastAsia="zh-CN"/>
        </w:rPr>
        <w:t>试剂与废弃物全过程控制流程图</w:t>
      </w:r>
    </w:p>
    <w:p w14:paraId="527400E0">
      <w:pPr>
        <w:spacing w:after="0" w:line="360" w:lineRule="auto"/>
        <w:ind w:firstLine="480"/>
        <w:jc w:val="both"/>
        <w:rPr>
          <w:lang w:eastAsia="zh-CN"/>
        </w:rPr>
      </w:pPr>
    </w:p>
    <w:p w14:paraId="47527973">
      <w:pPr>
        <w:keepNext/>
        <w:spacing w:before="60" w:after="60" w:line="360" w:lineRule="auto"/>
        <w:jc w:val="center"/>
        <w:rPr>
          <w:lang w:eastAsia="zh-CN"/>
        </w:rPr>
      </w:pPr>
      <w:r>
        <w:rPr>
          <w:rFonts w:ascii="黑体" w:hAnsi="黑体" w:eastAsia="黑体" w:cs="Times New Roman"/>
          <w:sz w:val="21"/>
          <w:szCs w:val="21"/>
          <w:lang w:eastAsia="zh-CN"/>
        </w:rPr>
        <w:t>表4-4 样本、试剂与废弃物全过程控制要点</w:t>
      </w:r>
    </w:p>
    <w:tbl>
      <w:tblPr>
        <w:tblStyle w:val="36"/>
        <w:tblW w:w="940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9"/>
        <w:gridCol w:w="3068"/>
        <w:gridCol w:w="2648"/>
        <w:gridCol w:w="2448"/>
      </w:tblGrid>
      <w:tr w14:paraId="7DAD43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39" w:type="dxa"/>
            <w:tcBorders>
              <w:top w:val="single" w:color="auto" w:sz="12" w:space="0"/>
              <w:left w:val="nil"/>
              <w:bottom w:val="single" w:color="auto" w:sz="4" w:space="0"/>
              <w:right w:val="nil"/>
              <w:insideH w:val="nil"/>
              <w:insideV w:val="nil"/>
            </w:tcBorders>
            <w:vAlign w:val="center"/>
          </w:tcPr>
          <w:p w14:paraId="420A1615">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环节</w:t>
            </w:r>
          </w:p>
        </w:tc>
        <w:tc>
          <w:tcPr>
            <w:tcW w:w="3068" w:type="dxa"/>
            <w:tcBorders>
              <w:top w:val="single" w:color="auto" w:sz="12" w:space="0"/>
              <w:left w:val="nil"/>
              <w:bottom w:val="single" w:color="auto" w:sz="4" w:space="0"/>
              <w:right w:val="nil"/>
              <w:insideH w:val="nil"/>
              <w:insideV w:val="nil"/>
            </w:tcBorders>
            <w:vAlign w:val="center"/>
          </w:tcPr>
          <w:p w14:paraId="17FDED49">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控制重点</w:t>
            </w:r>
          </w:p>
        </w:tc>
        <w:tc>
          <w:tcPr>
            <w:tcW w:w="2648" w:type="dxa"/>
            <w:tcBorders>
              <w:top w:val="single" w:color="auto" w:sz="12" w:space="0"/>
              <w:left w:val="nil"/>
              <w:bottom w:val="single" w:color="auto" w:sz="4" w:space="0"/>
              <w:right w:val="nil"/>
              <w:insideH w:val="nil"/>
              <w:insideV w:val="nil"/>
            </w:tcBorders>
            <w:vAlign w:val="center"/>
          </w:tcPr>
          <w:p w14:paraId="0384D234">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常见问题</w:t>
            </w:r>
          </w:p>
        </w:tc>
        <w:tc>
          <w:tcPr>
            <w:tcW w:w="2448" w:type="dxa"/>
            <w:tcBorders>
              <w:top w:val="single" w:color="auto" w:sz="12" w:space="0"/>
              <w:left w:val="nil"/>
              <w:bottom w:val="single" w:color="auto" w:sz="4" w:space="0"/>
              <w:right w:val="nil"/>
              <w:insideH w:val="nil"/>
              <w:insideV w:val="nil"/>
            </w:tcBorders>
            <w:vAlign w:val="center"/>
          </w:tcPr>
          <w:p w14:paraId="1980CFB6">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建议措施</w:t>
            </w:r>
          </w:p>
        </w:tc>
      </w:tr>
      <w:tr w14:paraId="5C8D42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39" w:type="dxa"/>
            <w:tcBorders>
              <w:top w:val="single" w:color="auto" w:sz="4" w:space="0"/>
              <w:left w:val="nil"/>
              <w:bottom w:val="nil"/>
              <w:right w:val="nil"/>
              <w:insideH w:val="nil"/>
              <w:insideV w:val="nil"/>
            </w:tcBorders>
            <w:vAlign w:val="center"/>
          </w:tcPr>
          <w:p w14:paraId="7AF5CDF6">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采购/接收</w:t>
            </w:r>
          </w:p>
        </w:tc>
        <w:tc>
          <w:tcPr>
            <w:tcW w:w="3068" w:type="dxa"/>
            <w:tcBorders>
              <w:top w:val="single" w:color="auto" w:sz="4" w:space="0"/>
              <w:left w:val="nil"/>
              <w:bottom w:val="nil"/>
              <w:right w:val="nil"/>
              <w:insideH w:val="nil"/>
              <w:insideV w:val="nil"/>
            </w:tcBorders>
            <w:vAlign w:val="center"/>
          </w:tcPr>
          <w:p w14:paraId="42EB4962">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审批、合规来源、入库登记</w:t>
            </w:r>
          </w:p>
        </w:tc>
        <w:tc>
          <w:tcPr>
            <w:tcW w:w="2648" w:type="dxa"/>
            <w:tcBorders>
              <w:top w:val="single" w:color="auto" w:sz="4" w:space="0"/>
              <w:left w:val="nil"/>
              <w:bottom w:val="nil"/>
              <w:right w:val="nil"/>
              <w:insideH w:val="nil"/>
              <w:insideV w:val="nil"/>
            </w:tcBorders>
            <w:vAlign w:val="center"/>
          </w:tcPr>
          <w:p w14:paraId="576B078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来源不清、标签缺失</w:t>
            </w:r>
          </w:p>
        </w:tc>
        <w:tc>
          <w:tcPr>
            <w:tcW w:w="2448" w:type="dxa"/>
            <w:tcBorders>
              <w:top w:val="single" w:color="auto" w:sz="4" w:space="0"/>
              <w:left w:val="nil"/>
              <w:bottom w:val="nil"/>
              <w:right w:val="nil"/>
              <w:insideH w:val="nil"/>
              <w:insideV w:val="nil"/>
            </w:tcBorders>
            <w:vAlign w:val="center"/>
          </w:tcPr>
          <w:p w14:paraId="400D629F">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统一接收、模板化标签</w:t>
            </w:r>
          </w:p>
        </w:tc>
      </w:tr>
      <w:tr w14:paraId="670B16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39" w:type="dxa"/>
            <w:tcBorders>
              <w:top w:val="nil"/>
              <w:left w:val="nil"/>
              <w:bottom w:val="nil"/>
              <w:right w:val="nil"/>
              <w:insideH w:val="nil"/>
              <w:insideV w:val="nil"/>
            </w:tcBorders>
            <w:vAlign w:val="center"/>
          </w:tcPr>
          <w:p w14:paraId="3242F927">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储存/暂存</w:t>
            </w:r>
          </w:p>
        </w:tc>
        <w:tc>
          <w:tcPr>
            <w:tcW w:w="3068" w:type="dxa"/>
            <w:tcBorders>
              <w:top w:val="nil"/>
              <w:left w:val="nil"/>
              <w:bottom w:val="nil"/>
              <w:right w:val="nil"/>
              <w:insideH w:val="nil"/>
              <w:insideV w:val="nil"/>
            </w:tcBorders>
            <w:vAlign w:val="center"/>
          </w:tcPr>
          <w:p w14:paraId="4E5D2A01">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分类分区、限量存放、温控监测</w:t>
            </w:r>
          </w:p>
        </w:tc>
        <w:tc>
          <w:tcPr>
            <w:tcW w:w="2648" w:type="dxa"/>
            <w:tcBorders>
              <w:top w:val="nil"/>
              <w:left w:val="nil"/>
              <w:bottom w:val="nil"/>
              <w:right w:val="nil"/>
              <w:insideH w:val="nil"/>
              <w:insideV w:val="nil"/>
            </w:tcBorders>
            <w:vAlign w:val="center"/>
          </w:tcPr>
          <w:p w14:paraId="67214439">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混放、超量、条件不达标</w:t>
            </w:r>
          </w:p>
        </w:tc>
        <w:tc>
          <w:tcPr>
            <w:tcW w:w="2448" w:type="dxa"/>
            <w:tcBorders>
              <w:top w:val="nil"/>
              <w:left w:val="nil"/>
              <w:bottom w:val="nil"/>
              <w:right w:val="nil"/>
              <w:insideH w:val="nil"/>
              <w:insideV w:val="nil"/>
            </w:tcBorders>
            <w:vAlign w:val="center"/>
          </w:tcPr>
          <w:p w14:paraId="02433313">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专区存放、定期盘点</w:t>
            </w:r>
          </w:p>
        </w:tc>
      </w:tr>
      <w:tr w14:paraId="604412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39" w:type="dxa"/>
            <w:tcBorders>
              <w:top w:val="nil"/>
              <w:left w:val="nil"/>
              <w:bottom w:val="nil"/>
              <w:right w:val="nil"/>
              <w:insideH w:val="nil"/>
              <w:insideV w:val="nil"/>
            </w:tcBorders>
            <w:vAlign w:val="center"/>
          </w:tcPr>
          <w:p w14:paraId="2F749C18">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使用/领用</w:t>
            </w:r>
          </w:p>
        </w:tc>
        <w:tc>
          <w:tcPr>
            <w:tcW w:w="3068" w:type="dxa"/>
            <w:tcBorders>
              <w:top w:val="nil"/>
              <w:left w:val="nil"/>
              <w:bottom w:val="nil"/>
              <w:right w:val="nil"/>
              <w:insideH w:val="nil"/>
              <w:insideV w:val="nil"/>
            </w:tcBorders>
            <w:vAlign w:val="center"/>
          </w:tcPr>
          <w:p w14:paraId="2795151E">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责任到人、用途记录、风险提示</w:t>
            </w:r>
          </w:p>
        </w:tc>
        <w:tc>
          <w:tcPr>
            <w:tcW w:w="2648" w:type="dxa"/>
            <w:tcBorders>
              <w:top w:val="nil"/>
              <w:left w:val="nil"/>
              <w:bottom w:val="nil"/>
              <w:right w:val="nil"/>
              <w:insideH w:val="nil"/>
              <w:insideV w:val="nil"/>
            </w:tcBorders>
            <w:vAlign w:val="center"/>
          </w:tcPr>
          <w:p w14:paraId="1D57F5EB">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领用不记、剩余量不清</w:t>
            </w:r>
          </w:p>
        </w:tc>
        <w:tc>
          <w:tcPr>
            <w:tcW w:w="2448" w:type="dxa"/>
            <w:tcBorders>
              <w:top w:val="nil"/>
              <w:left w:val="nil"/>
              <w:bottom w:val="nil"/>
              <w:right w:val="nil"/>
              <w:insideH w:val="nil"/>
              <w:insideV w:val="nil"/>
            </w:tcBorders>
            <w:vAlign w:val="center"/>
          </w:tcPr>
          <w:p w14:paraId="5281FFED">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台账管理、双人核验</w:t>
            </w:r>
          </w:p>
        </w:tc>
      </w:tr>
      <w:tr w14:paraId="179C69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39" w:type="dxa"/>
            <w:tcBorders>
              <w:top w:val="nil"/>
              <w:left w:val="nil"/>
              <w:bottom w:val="nil"/>
              <w:right w:val="nil"/>
              <w:insideH w:val="nil"/>
              <w:insideV w:val="nil"/>
            </w:tcBorders>
            <w:vAlign w:val="center"/>
          </w:tcPr>
          <w:p w14:paraId="2E93C9F4">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废弃/转运</w:t>
            </w:r>
          </w:p>
        </w:tc>
        <w:tc>
          <w:tcPr>
            <w:tcW w:w="3068" w:type="dxa"/>
            <w:tcBorders>
              <w:top w:val="nil"/>
              <w:left w:val="nil"/>
              <w:bottom w:val="nil"/>
              <w:right w:val="nil"/>
              <w:insideH w:val="nil"/>
              <w:insideV w:val="nil"/>
            </w:tcBorders>
            <w:vAlign w:val="center"/>
          </w:tcPr>
          <w:p w14:paraId="76B7552D">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分类收集、灭菌、包装、交接</w:t>
            </w:r>
          </w:p>
        </w:tc>
        <w:tc>
          <w:tcPr>
            <w:tcW w:w="2648" w:type="dxa"/>
            <w:tcBorders>
              <w:top w:val="nil"/>
              <w:left w:val="nil"/>
              <w:bottom w:val="nil"/>
              <w:right w:val="nil"/>
              <w:insideH w:val="nil"/>
              <w:insideV w:val="nil"/>
            </w:tcBorders>
            <w:vAlign w:val="center"/>
          </w:tcPr>
          <w:p w14:paraId="724BA0BF">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混装、超期暂存、交接漏签</w:t>
            </w:r>
          </w:p>
        </w:tc>
        <w:tc>
          <w:tcPr>
            <w:tcW w:w="2448" w:type="dxa"/>
            <w:tcBorders>
              <w:top w:val="nil"/>
              <w:left w:val="nil"/>
              <w:bottom w:val="nil"/>
              <w:right w:val="nil"/>
              <w:insideH w:val="nil"/>
              <w:insideV w:val="nil"/>
            </w:tcBorders>
            <w:vAlign w:val="center"/>
          </w:tcPr>
          <w:p w14:paraId="5A62B3E6">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专容器、专线转运、交接单</w:t>
            </w:r>
          </w:p>
        </w:tc>
      </w:tr>
      <w:tr w14:paraId="605698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39" w:type="dxa"/>
            <w:tcBorders>
              <w:top w:val="nil"/>
              <w:left w:val="nil"/>
              <w:bottom w:val="single" w:color="auto" w:sz="12" w:space="0"/>
              <w:right w:val="nil"/>
              <w:insideH w:val="nil"/>
              <w:insideV w:val="nil"/>
            </w:tcBorders>
            <w:vAlign w:val="center"/>
          </w:tcPr>
          <w:p w14:paraId="6692CE5C">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复核/追溯</w:t>
            </w:r>
          </w:p>
        </w:tc>
        <w:tc>
          <w:tcPr>
            <w:tcW w:w="3068" w:type="dxa"/>
            <w:tcBorders>
              <w:top w:val="nil"/>
              <w:left w:val="nil"/>
              <w:bottom w:val="single" w:color="auto" w:sz="12" w:space="0"/>
              <w:right w:val="nil"/>
              <w:insideH w:val="nil"/>
              <w:insideV w:val="nil"/>
            </w:tcBorders>
            <w:vAlign w:val="center"/>
          </w:tcPr>
          <w:p w14:paraId="29037BCF">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记录保存、异常复盘、账物一致</w:t>
            </w:r>
          </w:p>
        </w:tc>
        <w:tc>
          <w:tcPr>
            <w:tcW w:w="2648" w:type="dxa"/>
            <w:tcBorders>
              <w:top w:val="nil"/>
              <w:left w:val="nil"/>
              <w:bottom w:val="single" w:color="auto" w:sz="12" w:space="0"/>
              <w:right w:val="nil"/>
              <w:insideH w:val="nil"/>
              <w:insideV w:val="nil"/>
            </w:tcBorders>
            <w:vAlign w:val="center"/>
          </w:tcPr>
          <w:p w14:paraId="05B18C9E">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资料分散、追溯困难</w:t>
            </w:r>
          </w:p>
        </w:tc>
        <w:tc>
          <w:tcPr>
            <w:tcW w:w="2448" w:type="dxa"/>
            <w:tcBorders>
              <w:top w:val="nil"/>
              <w:left w:val="nil"/>
              <w:bottom w:val="single" w:color="auto" w:sz="12" w:space="0"/>
              <w:right w:val="nil"/>
              <w:insideH w:val="nil"/>
              <w:insideV w:val="nil"/>
            </w:tcBorders>
            <w:vAlign w:val="center"/>
          </w:tcPr>
          <w:p w14:paraId="076C49C4">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电子台账、定期复核</w:t>
            </w:r>
          </w:p>
        </w:tc>
      </w:tr>
    </w:tbl>
    <w:p w14:paraId="7530DDF1">
      <w:pPr>
        <w:spacing w:after="0" w:line="360" w:lineRule="auto"/>
        <w:ind w:firstLine="480"/>
        <w:jc w:val="both"/>
      </w:pPr>
    </w:p>
    <w:p w14:paraId="6EBF4ED9">
      <w:pPr>
        <w:keepNext/>
        <w:spacing w:after="0" w:line="360" w:lineRule="auto"/>
        <w:ind w:firstLine="480" w:firstLineChars="200"/>
        <w:outlineLvl w:val="1"/>
        <w:rPr>
          <w:lang w:eastAsia="zh-CN"/>
        </w:rPr>
      </w:pPr>
      <w:bookmarkStart w:id="70" w:name="_Toc25632"/>
      <w:bookmarkStart w:id="71" w:name="_Toc22695"/>
      <w:bookmarkStart w:id="72" w:name="_Toc32244"/>
      <w:bookmarkStart w:id="73" w:name="_Toc32271"/>
      <w:r>
        <w:rPr>
          <w:rFonts w:ascii="Times New Roman" w:hAnsi="Times New Roman" w:eastAsia="黑体"/>
          <w:sz w:val="24"/>
          <w:lang w:eastAsia="zh-CN"/>
        </w:rPr>
        <w:t>4.3　制度流程与现场环境改进</w:t>
      </w:r>
      <w:bookmarkEnd w:id="70"/>
      <w:bookmarkEnd w:id="71"/>
      <w:bookmarkEnd w:id="72"/>
      <w:bookmarkEnd w:id="73"/>
    </w:p>
    <w:p w14:paraId="3C40D50A">
      <w:pPr>
        <w:spacing w:after="0" w:line="360" w:lineRule="auto"/>
        <w:ind w:firstLine="480"/>
        <w:jc w:val="both"/>
        <w:rPr>
          <w:lang w:eastAsia="zh-CN"/>
        </w:rPr>
      </w:pPr>
      <w:r>
        <w:rPr>
          <w:rFonts w:ascii="Times New Roman" w:hAnsi="Times New Roman" w:eastAsia="宋体"/>
          <w:sz w:val="24"/>
          <w:lang w:eastAsia="zh-CN"/>
        </w:rPr>
        <w:t>材料流转环节较多，是管理难度较大的原因之一。从采购、入库、领用、保存、使用到废弃物处置，每一个环节都需要记录和责任人确认。任何环节记录缺失，都可能影响后续管理。</w:t>
      </w:r>
    </w:p>
    <w:p w14:paraId="1E39C45D">
      <w:pPr>
        <w:spacing w:after="0" w:line="360" w:lineRule="auto"/>
        <w:ind w:firstLine="480"/>
        <w:jc w:val="both"/>
        <w:rPr>
          <w:lang w:eastAsia="zh-CN"/>
        </w:rPr>
      </w:pPr>
      <w:r>
        <w:rPr>
          <w:rFonts w:ascii="Times New Roman" w:hAnsi="Times New Roman" w:eastAsia="宋体"/>
          <w:sz w:val="24"/>
          <w:lang w:eastAsia="zh-CN"/>
        </w:rPr>
        <w:t>在一些实验室中，试剂和样本台账仍以纸质记录或分散表格为主，更新不够及时，难以准确反映库存和使用状态。材料保存位置变化后，如果未同步更新记录，也会造成查找困难或重复采购。</w:t>
      </w:r>
    </w:p>
    <w:p w14:paraId="292EF48F">
      <w:pPr>
        <w:spacing w:after="0" w:line="360" w:lineRule="auto"/>
        <w:ind w:firstLine="480"/>
        <w:jc w:val="both"/>
        <w:rPr>
          <w:lang w:eastAsia="zh-CN"/>
        </w:rPr>
      </w:pPr>
      <w:r>
        <w:rPr>
          <w:rFonts w:ascii="Times New Roman" w:hAnsi="Times New Roman" w:eastAsia="宋体" w:cs="Times New Roman"/>
          <w:sz w:val="24"/>
          <w:lang w:eastAsia="zh-CN"/>
        </w:rPr>
        <w:t>生物废弃物管理同样需要重视。实验过程中产生的培养物、移液枪头、离心管、动物组织和污染耗材等，需要按照风险类别进行收集、暂存和转运。如果分类容器、标识和交接记录不清楚，可能影响后续处理。</w:t>
      </w:r>
    </w:p>
    <w:p w14:paraId="0968E473">
      <w:pPr>
        <w:spacing w:after="0" w:line="360" w:lineRule="auto"/>
        <w:ind w:firstLine="480"/>
        <w:jc w:val="both"/>
        <w:rPr>
          <w:rFonts w:ascii="Times New Roman" w:hAnsi="Times New Roman" w:eastAsia="宋体"/>
          <w:sz w:val="24"/>
          <w:lang w:eastAsia="zh-CN"/>
        </w:rPr>
      </w:pPr>
      <w:r>
        <w:rPr>
          <w:rFonts w:ascii="Times New Roman" w:hAnsi="Times New Roman" w:eastAsia="宋体"/>
          <w:sz w:val="24"/>
          <w:lang w:eastAsia="zh-CN"/>
        </w:rPr>
        <w:t>材料方面问题的形成，既与材料种类多、保存要求复杂有关，也与台账管理、现场标识和人员责任意识有关。改进材料管理，应当突出全过程记录和可追溯要求。</w:t>
      </w:r>
    </w:p>
    <w:p w14:paraId="39EC6068">
      <w:pPr>
        <w:spacing w:after="0" w:line="360" w:lineRule="auto"/>
        <w:ind w:firstLine="480"/>
        <w:jc w:val="both"/>
        <w:rPr>
          <w:rFonts w:ascii="Times New Roman" w:hAnsi="Times New Roman" w:eastAsia="宋体"/>
          <w:sz w:val="24"/>
          <w:lang w:eastAsia="zh-CN"/>
        </w:rPr>
      </w:pPr>
      <w:r>
        <w:rPr>
          <w:rFonts w:ascii="Times New Roman" w:hAnsi="Times New Roman" w:eastAsia="宋体"/>
          <w:sz w:val="24"/>
          <w:lang w:eastAsia="zh-CN"/>
        </w:rPr>
        <w:t>管理改进图主要用于展示安全管理措施之间的循环推进关系。本文借鉴PDCA思路，将风险识别、制度设计、培训准入、过程控制、检查监测、整改反馈和持续改进等内容联系起来，强调安全管理不是一次性整改，而是持续完善的过程。高校生物实验室安全管理改进思路如图4-2所示。 检查整改不能停留在发现问题，表4-5按照检查发现、整改落实、复查评价和反馈改进四个阶段列出实施要点，强调隐患治理的连续性。</w:t>
      </w:r>
    </w:p>
    <w:p w14:paraId="0253598D">
      <w:pPr>
        <w:spacing w:after="0" w:line="360" w:lineRule="auto"/>
        <w:jc w:val="center"/>
      </w:pPr>
      <w:r>
        <w:drawing>
          <wp:inline distT="0" distB="0" distL="114300" distR="114300">
            <wp:extent cx="3522345" cy="2641600"/>
            <wp:effectExtent l="0" t="0" r="190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3522345" cy="2641600"/>
                    </a:xfrm>
                    <a:prstGeom prst="rect">
                      <a:avLst/>
                    </a:prstGeom>
                  </pic:spPr>
                </pic:pic>
              </a:graphicData>
            </a:graphic>
          </wp:inline>
        </w:drawing>
      </w:r>
    </w:p>
    <w:p w14:paraId="57577AB6">
      <w:pPr>
        <w:spacing w:after="0" w:line="360" w:lineRule="auto"/>
        <w:jc w:val="center"/>
        <w:rPr>
          <w:rFonts w:ascii="黑体" w:hAnsi="黑体" w:eastAsia="黑体" w:cs="Times New Roman"/>
          <w:sz w:val="21"/>
          <w:szCs w:val="21"/>
          <w:lang w:eastAsia="zh-CN"/>
        </w:rPr>
      </w:pPr>
      <w:r>
        <w:rPr>
          <w:rFonts w:ascii="黑体" w:hAnsi="黑体" w:eastAsia="黑体" w:cs="Times New Roman"/>
          <w:sz w:val="21"/>
          <w:lang w:eastAsia="zh-CN"/>
        </w:rPr>
        <w:t>图4-2 高校生物实验室安全管理改进图</w:t>
      </w:r>
    </w:p>
    <w:p w14:paraId="008DD047">
      <w:pPr>
        <w:keepNext/>
        <w:spacing w:before="60" w:after="60" w:line="360" w:lineRule="auto"/>
        <w:jc w:val="center"/>
        <w:rPr>
          <w:rFonts w:ascii="黑体" w:hAnsi="黑体" w:eastAsia="黑体" w:cs="Times New Roman"/>
          <w:sz w:val="21"/>
          <w:szCs w:val="21"/>
          <w:lang w:eastAsia="zh-CN"/>
        </w:rPr>
      </w:pPr>
    </w:p>
    <w:p w14:paraId="4A88A273">
      <w:pPr>
        <w:keepNext/>
        <w:spacing w:before="60" w:after="60" w:line="360" w:lineRule="auto"/>
        <w:jc w:val="center"/>
        <w:rPr>
          <w:b w:val="0"/>
          <w:bCs w:val="0"/>
          <w:lang w:eastAsia="zh-CN"/>
        </w:rPr>
      </w:pPr>
      <w:r>
        <w:rPr>
          <w:rFonts w:ascii="黑体" w:hAnsi="黑体" w:eastAsia="黑体" w:cs="Times New Roman"/>
          <w:sz w:val="21"/>
          <w:szCs w:val="21"/>
          <w:lang w:eastAsia="zh-CN"/>
        </w:rPr>
        <w:t>表4-5 安全检查整改复查实施要点</w:t>
      </w:r>
    </w:p>
    <w:tbl>
      <w:tblPr>
        <w:tblStyle w:val="36"/>
        <w:tblW w:w="940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2"/>
        <w:gridCol w:w="3585"/>
        <w:gridCol w:w="3335"/>
        <w:gridCol w:w="1243"/>
      </w:tblGrid>
      <w:tr w14:paraId="39A989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42" w:type="dxa"/>
            <w:tcBorders>
              <w:top w:val="single" w:color="auto" w:sz="12" w:space="0"/>
              <w:left w:val="nil"/>
              <w:bottom w:val="single" w:color="auto" w:sz="4" w:space="0"/>
              <w:right w:val="nil"/>
              <w:insideH w:val="nil"/>
              <w:insideV w:val="nil"/>
            </w:tcBorders>
            <w:vAlign w:val="center"/>
          </w:tcPr>
          <w:p w14:paraId="76CCFA2E">
            <w:pPr>
              <w:keepNext/>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阶段</w:t>
            </w:r>
          </w:p>
        </w:tc>
        <w:tc>
          <w:tcPr>
            <w:tcW w:w="3585" w:type="dxa"/>
            <w:tcBorders>
              <w:top w:val="single" w:color="auto" w:sz="12" w:space="0"/>
              <w:left w:val="nil"/>
              <w:bottom w:val="single" w:color="auto" w:sz="4" w:space="0"/>
              <w:right w:val="nil"/>
              <w:insideH w:val="nil"/>
              <w:insideV w:val="nil"/>
            </w:tcBorders>
            <w:vAlign w:val="center"/>
          </w:tcPr>
          <w:p w14:paraId="30A69FD6">
            <w:pPr>
              <w:keepNext/>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核心任务</w:t>
            </w:r>
          </w:p>
        </w:tc>
        <w:tc>
          <w:tcPr>
            <w:tcW w:w="3335" w:type="dxa"/>
            <w:tcBorders>
              <w:top w:val="single" w:color="auto" w:sz="12" w:space="0"/>
              <w:left w:val="nil"/>
              <w:bottom w:val="single" w:color="auto" w:sz="4" w:space="0"/>
              <w:right w:val="nil"/>
              <w:insideH w:val="nil"/>
              <w:insideV w:val="nil"/>
            </w:tcBorders>
            <w:vAlign w:val="center"/>
          </w:tcPr>
          <w:p w14:paraId="034EA897">
            <w:pPr>
              <w:keepNext/>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落实方式</w:t>
            </w:r>
          </w:p>
        </w:tc>
        <w:tc>
          <w:tcPr>
            <w:tcW w:w="1243" w:type="dxa"/>
            <w:tcBorders>
              <w:top w:val="single" w:color="auto" w:sz="12" w:space="0"/>
              <w:left w:val="nil"/>
              <w:bottom w:val="single" w:color="auto" w:sz="4" w:space="0"/>
              <w:right w:val="nil"/>
              <w:insideH w:val="nil"/>
              <w:insideV w:val="nil"/>
            </w:tcBorders>
            <w:vAlign w:val="center"/>
          </w:tcPr>
          <w:p w14:paraId="7BA66625">
            <w:pPr>
              <w:keepNext/>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输出结果</w:t>
            </w:r>
          </w:p>
        </w:tc>
      </w:tr>
      <w:tr w14:paraId="0CC0CE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42" w:type="dxa"/>
            <w:tcBorders>
              <w:top w:val="single" w:color="auto" w:sz="4" w:space="0"/>
              <w:left w:val="nil"/>
              <w:bottom w:val="nil"/>
              <w:right w:val="nil"/>
              <w:insideH w:val="nil"/>
              <w:insideV w:val="nil"/>
            </w:tcBorders>
            <w:vAlign w:val="center"/>
          </w:tcPr>
          <w:p w14:paraId="3811134B">
            <w:pPr>
              <w:keepNext/>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检查发现</w:t>
            </w:r>
          </w:p>
        </w:tc>
        <w:tc>
          <w:tcPr>
            <w:tcW w:w="3585" w:type="dxa"/>
            <w:tcBorders>
              <w:top w:val="single" w:color="auto" w:sz="4" w:space="0"/>
              <w:left w:val="nil"/>
              <w:bottom w:val="nil"/>
              <w:right w:val="nil"/>
              <w:insideH w:val="nil"/>
              <w:insideV w:val="nil"/>
            </w:tcBorders>
            <w:vAlign w:val="center"/>
          </w:tcPr>
          <w:p w14:paraId="021DF420">
            <w:pPr>
              <w:keepNext/>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发现隐患、收集证据、分类定级</w:t>
            </w:r>
          </w:p>
        </w:tc>
        <w:tc>
          <w:tcPr>
            <w:tcW w:w="3335" w:type="dxa"/>
            <w:tcBorders>
              <w:top w:val="single" w:color="auto" w:sz="4" w:space="0"/>
              <w:left w:val="nil"/>
              <w:bottom w:val="nil"/>
              <w:right w:val="nil"/>
              <w:insideH w:val="nil"/>
              <w:insideV w:val="nil"/>
            </w:tcBorders>
            <w:vAlign w:val="center"/>
          </w:tcPr>
          <w:p w14:paraId="522B14DD">
            <w:pPr>
              <w:keepNext/>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日常巡查、专项检查、抽查</w:t>
            </w:r>
          </w:p>
        </w:tc>
        <w:tc>
          <w:tcPr>
            <w:tcW w:w="1243" w:type="dxa"/>
            <w:tcBorders>
              <w:top w:val="single" w:color="auto" w:sz="4" w:space="0"/>
              <w:left w:val="nil"/>
              <w:bottom w:val="nil"/>
              <w:right w:val="nil"/>
              <w:insideH w:val="nil"/>
              <w:insideV w:val="nil"/>
            </w:tcBorders>
            <w:vAlign w:val="center"/>
          </w:tcPr>
          <w:p w14:paraId="59CC46B1">
            <w:pPr>
              <w:keepNext/>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隐患清单</w:t>
            </w:r>
          </w:p>
        </w:tc>
      </w:tr>
      <w:tr w14:paraId="3B4EF9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42" w:type="dxa"/>
            <w:tcBorders>
              <w:top w:val="nil"/>
              <w:left w:val="nil"/>
              <w:bottom w:val="nil"/>
              <w:right w:val="nil"/>
              <w:insideH w:val="nil"/>
              <w:insideV w:val="nil"/>
            </w:tcBorders>
            <w:vAlign w:val="center"/>
          </w:tcPr>
          <w:p w14:paraId="5BAE2CE1">
            <w:pPr>
              <w:keepNext/>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整改落实</w:t>
            </w:r>
          </w:p>
        </w:tc>
        <w:tc>
          <w:tcPr>
            <w:tcW w:w="3585" w:type="dxa"/>
            <w:tcBorders>
              <w:top w:val="nil"/>
              <w:left w:val="nil"/>
              <w:bottom w:val="nil"/>
              <w:right w:val="nil"/>
              <w:insideH w:val="nil"/>
              <w:insideV w:val="nil"/>
            </w:tcBorders>
            <w:vAlign w:val="center"/>
          </w:tcPr>
          <w:p w14:paraId="43FC9140">
            <w:pPr>
              <w:keepNext/>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明确责任、措施和时限</w:t>
            </w:r>
          </w:p>
        </w:tc>
        <w:tc>
          <w:tcPr>
            <w:tcW w:w="3335" w:type="dxa"/>
            <w:tcBorders>
              <w:top w:val="nil"/>
              <w:left w:val="nil"/>
              <w:bottom w:val="nil"/>
              <w:right w:val="nil"/>
              <w:insideH w:val="nil"/>
              <w:insideV w:val="nil"/>
            </w:tcBorders>
            <w:vAlign w:val="center"/>
          </w:tcPr>
          <w:p w14:paraId="4B5D121A">
            <w:pPr>
              <w:keepNext/>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问题派单、现场整改、过程跟踪</w:t>
            </w:r>
          </w:p>
        </w:tc>
        <w:tc>
          <w:tcPr>
            <w:tcW w:w="1243" w:type="dxa"/>
            <w:tcBorders>
              <w:top w:val="nil"/>
              <w:left w:val="nil"/>
              <w:bottom w:val="nil"/>
              <w:right w:val="nil"/>
              <w:insideH w:val="nil"/>
              <w:insideV w:val="nil"/>
            </w:tcBorders>
            <w:vAlign w:val="center"/>
          </w:tcPr>
          <w:p w14:paraId="4C8C3EB8">
            <w:pPr>
              <w:keepNext/>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整改记录</w:t>
            </w:r>
          </w:p>
        </w:tc>
      </w:tr>
      <w:tr w14:paraId="15966A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42" w:type="dxa"/>
            <w:tcBorders>
              <w:top w:val="nil"/>
              <w:left w:val="nil"/>
              <w:bottom w:val="nil"/>
              <w:right w:val="nil"/>
              <w:insideH w:val="nil"/>
              <w:insideV w:val="nil"/>
            </w:tcBorders>
            <w:vAlign w:val="center"/>
          </w:tcPr>
          <w:p w14:paraId="5FC3A99B">
            <w:pPr>
              <w:keepNext/>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复查评价</w:t>
            </w:r>
          </w:p>
        </w:tc>
        <w:tc>
          <w:tcPr>
            <w:tcW w:w="3585" w:type="dxa"/>
            <w:tcBorders>
              <w:top w:val="nil"/>
              <w:left w:val="nil"/>
              <w:bottom w:val="nil"/>
              <w:right w:val="nil"/>
              <w:insideH w:val="nil"/>
              <w:insideV w:val="nil"/>
            </w:tcBorders>
            <w:vAlign w:val="center"/>
          </w:tcPr>
          <w:p w14:paraId="704E856F">
            <w:pPr>
              <w:keepNext/>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核实整改是否到位、评估效果</w:t>
            </w:r>
          </w:p>
        </w:tc>
        <w:tc>
          <w:tcPr>
            <w:tcW w:w="3335" w:type="dxa"/>
            <w:tcBorders>
              <w:top w:val="nil"/>
              <w:left w:val="nil"/>
              <w:bottom w:val="nil"/>
              <w:right w:val="nil"/>
              <w:insideH w:val="nil"/>
              <w:insideV w:val="nil"/>
            </w:tcBorders>
            <w:vAlign w:val="center"/>
          </w:tcPr>
          <w:p w14:paraId="0F61E345">
            <w:pPr>
              <w:keepNext/>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复查验收、必要时再培训</w:t>
            </w:r>
          </w:p>
        </w:tc>
        <w:tc>
          <w:tcPr>
            <w:tcW w:w="1243" w:type="dxa"/>
            <w:tcBorders>
              <w:top w:val="nil"/>
              <w:left w:val="nil"/>
              <w:bottom w:val="nil"/>
              <w:right w:val="nil"/>
              <w:insideH w:val="nil"/>
              <w:insideV w:val="nil"/>
            </w:tcBorders>
            <w:vAlign w:val="center"/>
          </w:tcPr>
          <w:p w14:paraId="39588FEE">
            <w:pPr>
              <w:keepNext/>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复查结论</w:t>
            </w:r>
          </w:p>
        </w:tc>
      </w:tr>
      <w:tr w14:paraId="0F7FBC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42" w:type="dxa"/>
            <w:tcBorders>
              <w:top w:val="nil"/>
              <w:left w:val="nil"/>
              <w:bottom w:val="single" w:color="auto" w:sz="12" w:space="0"/>
              <w:right w:val="nil"/>
              <w:insideH w:val="nil"/>
              <w:insideV w:val="nil"/>
            </w:tcBorders>
            <w:vAlign w:val="center"/>
          </w:tcPr>
          <w:p w14:paraId="467A4D05">
            <w:pPr>
              <w:keepNext/>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反馈改进</w:t>
            </w:r>
          </w:p>
        </w:tc>
        <w:tc>
          <w:tcPr>
            <w:tcW w:w="3585" w:type="dxa"/>
            <w:tcBorders>
              <w:top w:val="nil"/>
              <w:left w:val="nil"/>
              <w:bottom w:val="single" w:color="auto" w:sz="12" w:space="0"/>
              <w:right w:val="nil"/>
              <w:insideH w:val="nil"/>
              <w:insideV w:val="nil"/>
            </w:tcBorders>
            <w:vAlign w:val="center"/>
          </w:tcPr>
          <w:p w14:paraId="5CE9823F">
            <w:pPr>
              <w:keepNext/>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总结共性问题、修订制度和培训内容</w:t>
            </w:r>
          </w:p>
        </w:tc>
        <w:tc>
          <w:tcPr>
            <w:tcW w:w="3335" w:type="dxa"/>
            <w:tcBorders>
              <w:top w:val="nil"/>
              <w:left w:val="nil"/>
              <w:bottom w:val="single" w:color="auto" w:sz="12" w:space="0"/>
              <w:right w:val="nil"/>
              <w:insideH w:val="nil"/>
              <w:insideV w:val="nil"/>
            </w:tcBorders>
            <w:vAlign w:val="center"/>
          </w:tcPr>
          <w:p w14:paraId="05368508">
            <w:pPr>
              <w:keepNext/>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月度分析、案例通报、制度更新</w:t>
            </w:r>
          </w:p>
        </w:tc>
        <w:tc>
          <w:tcPr>
            <w:tcW w:w="1243" w:type="dxa"/>
            <w:tcBorders>
              <w:top w:val="nil"/>
              <w:left w:val="nil"/>
              <w:bottom w:val="single" w:color="auto" w:sz="12" w:space="0"/>
              <w:right w:val="nil"/>
              <w:insideH w:val="nil"/>
              <w:insideV w:val="nil"/>
            </w:tcBorders>
            <w:vAlign w:val="center"/>
          </w:tcPr>
          <w:p w14:paraId="179A24BA">
            <w:pPr>
              <w:keepNext/>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改进方案</w:t>
            </w:r>
          </w:p>
        </w:tc>
      </w:tr>
    </w:tbl>
    <w:p w14:paraId="326E640C">
      <w:pPr>
        <w:spacing w:after="0" w:line="360" w:lineRule="auto"/>
        <w:ind w:firstLine="480"/>
        <w:jc w:val="both"/>
      </w:pPr>
    </w:p>
    <w:p w14:paraId="4C5278D3">
      <w:pPr>
        <w:spacing w:after="0" w:line="360" w:lineRule="auto"/>
        <w:ind w:firstLine="480"/>
        <w:jc w:val="both"/>
        <w:rPr>
          <w:lang w:eastAsia="zh-CN"/>
        </w:rPr>
      </w:pPr>
      <w:r>
        <w:rPr>
          <w:rFonts w:ascii="Times New Roman" w:hAnsi="Times New Roman" w:eastAsia="宋体"/>
          <w:sz w:val="24"/>
          <w:lang w:eastAsia="zh-CN"/>
        </w:rPr>
        <w:t>制度和方法是连接各项安全要求与日常操作的关键。高校通常已经制定实验室安全管理制度，但制度能否转化为具体行为，还取决于流程是否清楚、执行是否持续、监督是否有效。</w:t>
      </w:r>
    </w:p>
    <w:p w14:paraId="12F21F08">
      <w:pPr>
        <w:spacing w:after="0" w:line="360" w:lineRule="auto"/>
        <w:ind w:firstLine="480"/>
        <w:jc w:val="both"/>
        <w:rPr>
          <w:lang w:eastAsia="zh-CN"/>
        </w:rPr>
      </w:pPr>
      <w:r>
        <w:rPr>
          <w:rFonts w:ascii="Times New Roman" w:hAnsi="Times New Roman" w:eastAsia="宋体" w:cs="Times New Roman"/>
          <w:sz w:val="24"/>
          <w:lang w:eastAsia="zh-CN"/>
        </w:rPr>
        <w:t>在部分实验室中，制度文本较为完整，但具体操作指引不够细。例如，准入培训、设备预约、试剂领用、废弃物转运和异常情况报告等事项，如果缺少清晰流程，执行时容易依赖个人经验。</w:t>
      </w:r>
    </w:p>
    <w:p w14:paraId="6D9D2A5B">
      <w:pPr>
        <w:spacing w:after="0" w:line="360" w:lineRule="auto"/>
        <w:ind w:firstLine="480"/>
        <w:jc w:val="both"/>
        <w:rPr>
          <w:lang w:eastAsia="zh-CN"/>
        </w:rPr>
      </w:pPr>
      <w:r>
        <w:rPr>
          <w:rFonts w:ascii="Times New Roman" w:hAnsi="Times New Roman" w:eastAsia="宋体" w:cs="Times New Roman"/>
          <w:sz w:val="24"/>
          <w:lang w:eastAsia="zh-CN"/>
        </w:rPr>
        <w:t>检查整改环节也影响制度效果。有些安全检查能够发现问题，但整改要求不够具体，复查时间和责任人不明确，导致同类问题反复出现。安全管理不能停留在发现问题，还需要形成持续跟踪。</w:t>
      </w:r>
    </w:p>
    <w:p w14:paraId="416EC498">
      <w:pPr>
        <w:spacing w:after="0" w:line="360" w:lineRule="auto"/>
        <w:ind w:firstLine="480"/>
        <w:jc w:val="both"/>
        <w:rPr>
          <w:lang w:eastAsia="zh-CN"/>
        </w:rPr>
      </w:pPr>
      <w:r>
        <w:rPr>
          <w:rFonts w:ascii="Times New Roman" w:hAnsi="Times New Roman" w:eastAsia="宋体" w:cs="Times New Roman"/>
          <w:sz w:val="24"/>
          <w:lang w:eastAsia="zh-CN"/>
        </w:rPr>
        <w:t>应急预案的可操作性同样重要。生物实验室可能发生样本泄漏、割伤刺伤、设备故障、试剂泼洒和废弃物外溢等情况，如果预案内容过于原则化，实验人员在现场可能难以及时采取合适措施。</w:t>
      </w:r>
    </w:p>
    <w:p w14:paraId="5178C579">
      <w:pPr>
        <w:keepNext/>
        <w:spacing w:after="0" w:line="360" w:lineRule="auto"/>
        <w:ind w:firstLine="480" w:firstLineChars="200"/>
        <w:outlineLvl w:val="1"/>
        <w:rPr>
          <w:lang w:eastAsia="zh-CN"/>
        </w:rPr>
      </w:pPr>
      <w:bookmarkStart w:id="74" w:name="_Toc4437"/>
      <w:bookmarkStart w:id="75" w:name="_Toc17020"/>
      <w:bookmarkStart w:id="76" w:name="_Toc28482"/>
      <w:bookmarkStart w:id="77" w:name="_Toc8074"/>
      <w:r>
        <w:rPr>
          <w:rFonts w:ascii="Times New Roman" w:hAnsi="Times New Roman" w:eastAsia="黑体"/>
          <w:sz w:val="24"/>
          <w:lang w:eastAsia="zh-CN"/>
        </w:rPr>
        <w:t>4.4　风险预防与信息化支撑</w:t>
      </w:r>
      <w:bookmarkEnd w:id="74"/>
      <w:bookmarkEnd w:id="75"/>
      <w:bookmarkEnd w:id="76"/>
      <w:bookmarkEnd w:id="77"/>
    </w:p>
    <w:p w14:paraId="213C8D06">
      <w:pPr>
        <w:spacing w:after="0" w:line="360" w:lineRule="auto"/>
        <w:ind w:firstLine="480"/>
        <w:jc w:val="both"/>
        <w:rPr>
          <w:lang w:eastAsia="zh-CN"/>
        </w:rPr>
      </w:pPr>
      <w:r>
        <w:rPr>
          <w:rFonts w:ascii="Times New Roman" w:hAnsi="Times New Roman" w:eastAsia="宋体"/>
          <w:sz w:val="24"/>
          <w:lang w:eastAsia="zh-CN"/>
        </w:rPr>
        <w:t>风险预防与信息化支撑主要解决实验室安全管理中发现不及时、记录不连续和处置依据不足的问题。在制度流程与现场环境已经明确的基础上，还需要通过风险分级、关键环节识别和信息记录，把安全要求落实到实验活动全过程。方法因素的核心并不是制度数量多少，而是制度能否与实验室真实流程相匹配；管理要求越贴近日常操作，越容易被师生理解和执行。</w:t>
      </w:r>
    </w:p>
    <w:p w14:paraId="2AFADF65">
      <w:pPr>
        <w:spacing w:after="0" w:line="360" w:lineRule="auto"/>
        <w:ind w:firstLine="480"/>
        <w:jc w:val="both"/>
        <w:rPr>
          <w:lang w:eastAsia="zh-CN"/>
        </w:rPr>
      </w:pPr>
      <w:r>
        <w:rPr>
          <w:rFonts w:ascii="Times New Roman" w:hAnsi="Times New Roman" w:eastAsia="宋体" w:cs="Times New Roman"/>
          <w:sz w:val="24"/>
          <w:lang w:eastAsia="zh-CN"/>
        </w:rPr>
        <w:t>环境因素包括实验室空间布局、通风条件、温湿度、照明、消防设施、安全标识、物品摆放以及实验室安全文化等内容。部分实验室由于空间有限，教学实验、科研实验和样本暂存功能交叉，容易出现通道被占用、物品堆放、清洁消毒不及时等问题。空间布局不合理会增加人员移动和材料流转中的风险，通风、温湿度和照明条件不稳定也会影响实验过程的安全性。</w:t>
      </w:r>
    </w:p>
    <w:p w14:paraId="7558F2B7">
      <w:pPr>
        <w:spacing w:after="0" w:line="360" w:lineRule="auto"/>
        <w:ind w:firstLine="480"/>
        <w:jc w:val="both"/>
        <w:rPr>
          <w:lang w:eastAsia="zh-CN"/>
        </w:rPr>
      </w:pPr>
      <w:r>
        <w:rPr>
          <w:rFonts w:ascii="Times New Roman" w:hAnsi="Times New Roman" w:eastAsia="宋体" w:cs="Times New Roman"/>
          <w:sz w:val="24"/>
          <w:lang w:eastAsia="zh-CN"/>
        </w:rPr>
        <w:t>在风险预防中，安全标识和现场提示具有重要作用。危险区域、设备状态、废弃物容器、应急设施和逃生通道等信息如果标识不清，会影响人员快速判断和应急处置。实验室还应结合信息化台账，对人员准入、设备点检、样本试剂领用、废弃物交接、隐患整改和应急物资检查等内容进行记录，使风险变化能够被持续跟踪。</w:t>
      </w:r>
    </w:p>
    <w:p w14:paraId="70644C31">
      <w:pPr>
        <w:spacing w:after="0" w:line="360" w:lineRule="auto"/>
        <w:ind w:firstLine="480"/>
        <w:jc w:val="both"/>
        <w:rPr>
          <w:lang w:eastAsia="zh-CN"/>
        </w:rPr>
      </w:pPr>
      <w:r>
        <w:rPr>
          <w:rFonts w:ascii="Times New Roman" w:hAnsi="Times New Roman" w:eastAsia="宋体" w:cs="Times New Roman"/>
          <w:sz w:val="24"/>
          <w:lang w:eastAsia="zh-CN"/>
        </w:rPr>
        <w:t>综合来看，高校生物实验室安全问题具有多因素耦合特征。人员培训不足可能造成设备误用，设备维护不到位可能影响实验过程，材料台账不清可能增加废弃物处置风险，制度执行不严又会削弱环境管理效果。因此，风险预防不能只停留在某个单点，而应从人机料法环整体关系出发，识别风险产生和传递路径，并通过信息化记录、隐患跟踪和复核评价提高管理的连续性。</w:t>
      </w:r>
    </w:p>
    <w:p w14:paraId="71ADC687">
      <w:pPr>
        <w:spacing w:after="0" w:line="360" w:lineRule="auto"/>
        <w:ind w:firstLine="480"/>
        <w:jc w:val="both"/>
        <w:rPr>
          <w:lang w:eastAsia="zh-CN"/>
        </w:rPr>
      </w:pPr>
      <w:r>
        <w:t>基于上述分析，第四章的优化策略应与前文成因分析形成对应关系：人员问题对应培训准入与岗位责任，设备问题对应分级管理与点检维护，材料问题对应全过程追溯，制度与环境问题对应流程细化和现场改进，监测不足则对应信息化记录、隐患跟踪和复核评价。 风险分级之后还需要落实到重点环节管控，表4-6将人员、设备、材料、场所、制度和监测等对象与控制频次、重点措施相结合，便于确定管理优先级。</w:t>
      </w:r>
    </w:p>
    <w:p w14:paraId="1AB8609B">
      <w:pPr>
        <w:keepNext/>
        <w:spacing w:before="60" w:after="60" w:line="360" w:lineRule="auto"/>
        <w:jc w:val="center"/>
        <w:rPr>
          <w:lang w:eastAsia="zh-CN"/>
        </w:rPr>
      </w:pPr>
      <w:r>
        <w:rPr>
          <w:rFonts w:ascii="黑体" w:hAnsi="黑体" w:eastAsia="黑体" w:cs="Times New Roman"/>
          <w:sz w:val="21"/>
          <w:szCs w:val="21"/>
          <w:lang w:eastAsia="zh-CN"/>
        </w:rPr>
        <w:t>表4-6 基于风险分级的重点环节管控清单（示例）</w:t>
      </w:r>
    </w:p>
    <w:tbl>
      <w:tblPr>
        <w:tblStyle w:val="36"/>
        <w:tblW w:w="940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
        <w:gridCol w:w="3183"/>
        <w:gridCol w:w="1250"/>
        <w:gridCol w:w="1961"/>
        <w:gridCol w:w="2180"/>
      </w:tblGrid>
      <w:tr w14:paraId="36352D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30" w:type="dxa"/>
            <w:tcBorders>
              <w:top w:val="single" w:color="auto" w:sz="12" w:space="0"/>
              <w:left w:val="nil"/>
              <w:bottom w:val="single" w:color="auto" w:sz="4" w:space="0"/>
              <w:right w:val="nil"/>
              <w:insideH w:val="nil"/>
              <w:insideV w:val="nil"/>
            </w:tcBorders>
            <w:vAlign w:val="center"/>
          </w:tcPr>
          <w:p w14:paraId="2E5ED61A">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类别</w:t>
            </w:r>
          </w:p>
        </w:tc>
        <w:tc>
          <w:tcPr>
            <w:tcW w:w="3183" w:type="dxa"/>
            <w:tcBorders>
              <w:top w:val="single" w:color="auto" w:sz="12" w:space="0"/>
              <w:left w:val="nil"/>
              <w:bottom w:val="single" w:color="auto" w:sz="4" w:space="0"/>
              <w:right w:val="nil"/>
              <w:insideH w:val="nil"/>
              <w:insideV w:val="nil"/>
            </w:tcBorders>
            <w:vAlign w:val="center"/>
          </w:tcPr>
          <w:p w14:paraId="07487B57">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典型对象/场景</w:t>
            </w:r>
          </w:p>
        </w:tc>
        <w:tc>
          <w:tcPr>
            <w:tcW w:w="1250" w:type="dxa"/>
            <w:tcBorders>
              <w:top w:val="single" w:color="auto" w:sz="12" w:space="0"/>
              <w:left w:val="nil"/>
              <w:bottom w:val="single" w:color="auto" w:sz="4" w:space="0"/>
              <w:right w:val="nil"/>
              <w:insideH w:val="nil"/>
              <w:insideV w:val="nil"/>
            </w:tcBorders>
            <w:vAlign w:val="center"/>
          </w:tcPr>
          <w:p w14:paraId="02B06E8F">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风险等级</w:t>
            </w:r>
          </w:p>
        </w:tc>
        <w:tc>
          <w:tcPr>
            <w:tcW w:w="1961" w:type="dxa"/>
            <w:tcBorders>
              <w:top w:val="single" w:color="auto" w:sz="12" w:space="0"/>
              <w:left w:val="nil"/>
              <w:bottom w:val="single" w:color="auto" w:sz="4" w:space="0"/>
              <w:right w:val="nil"/>
              <w:insideH w:val="nil"/>
              <w:insideV w:val="nil"/>
            </w:tcBorders>
            <w:vAlign w:val="center"/>
          </w:tcPr>
          <w:p w14:paraId="458E0F08">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建议控制频次</w:t>
            </w:r>
          </w:p>
        </w:tc>
        <w:tc>
          <w:tcPr>
            <w:tcW w:w="2180" w:type="dxa"/>
            <w:tcBorders>
              <w:top w:val="single" w:color="auto" w:sz="12" w:space="0"/>
              <w:left w:val="nil"/>
              <w:bottom w:val="single" w:color="auto" w:sz="4" w:space="0"/>
              <w:right w:val="nil"/>
              <w:insideH w:val="nil"/>
              <w:insideV w:val="nil"/>
            </w:tcBorders>
            <w:vAlign w:val="center"/>
          </w:tcPr>
          <w:p w14:paraId="75E390C1">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重点措施</w:t>
            </w:r>
          </w:p>
        </w:tc>
      </w:tr>
      <w:tr w14:paraId="594E5E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0" w:type="dxa"/>
            <w:tcBorders>
              <w:top w:val="single" w:color="auto" w:sz="4" w:space="0"/>
              <w:left w:val="nil"/>
              <w:bottom w:val="nil"/>
              <w:right w:val="nil"/>
              <w:insideH w:val="nil"/>
              <w:insideV w:val="nil"/>
            </w:tcBorders>
            <w:vAlign w:val="center"/>
          </w:tcPr>
          <w:p w14:paraId="31273A51">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人员</w:t>
            </w:r>
          </w:p>
        </w:tc>
        <w:tc>
          <w:tcPr>
            <w:tcW w:w="3183" w:type="dxa"/>
            <w:tcBorders>
              <w:top w:val="single" w:color="auto" w:sz="4" w:space="0"/>
              <w:left w:val="nil"/>
              <w:bottom w:val="nil"/>
              <w:right w:val="nil"/>
              <w:insideH w:val="nil"/>
              <w:insideV w:val="nil"/>
            </w:tcBorders>
            <w:vAlign w:val="center"/>
          </w:tcPr>
          <w:p w14:paraId="48F50CCB">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新入组学生、外来协作人员</w:t>
            </w:r>
          </w:p>
        </w:tc>
        <w:tc>
          <w:tcPr>
            <w:tcW w:w="1250" w:type="dxa"/>
            <w:tcBorders>
              <w:top w:val="single" w:color="auto" w:sz="4" w:space="0"/>
              <w:left w:val="nil"/>
              <w:bottom w:val="nil"/>
              <w:right w:val="nil"/>
              <w:insideH w:val="nil"/>
              <w:insideV w:val="nil"/>
            </w:tcBorders>
            <w:vAlign w:val="center"/>
          </w:tcPr>
          <w:p w14:paraId="7BF899A4">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Ⅲ—Ⅳ</w:t>
            </w:r>
          </w:p>
        </w:tc>
        <w:tc>
          <w:tcPr>
            <w:tcW w:w="1961" w:type="dxa"/>
            <w:tcBorders>
              <w:top w:val="single" w:color="auto" w:sz="4" w:space="0"/>
              <w:left w:val="nil"/>
              <w:bottom w:val="nil"/>
              <w:right w:val="nil"/>
              <w:insideH w:val="nil"/>
              <w:insideV w:val="nil"/>
            </w:tcBorders>
            <w:vAlign w:val="center"/>
          </w:tcPr>
          <w:p w14:paraId="0B2B16E0">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入组前+月度抽查</w:t>
            </w:r>
          </w:p>
        </w:tc>
        <w:tc>
          <w:tcPr>
            <w:tcW w:w="2180" w:type="dxa"/>
            <w:tcBorders>
              <w:top w:val="single" w:color="auto" w:sz="4" w:space="0"/>
              <w:left w:val="nil"/>
              <w:bottom w:val="nil"/>
              <w:right w:val="nil"/>
              <w:insideH w:val="nil"/>
              <w:insideV w:val="nil"/>
            </w:tcBorders>
            <w:vAlign w:val="center"/>
          </w:tcPr>
          <w:p w14:paraId="0F19513E">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专项培训、导师带教、现场抽问</w:t>
            </w:r>
          </w:p>
        </w:tc>
      </w:tr>
      <w:tr w14:paraId="0565A0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0" w:type="dxa"/>
            <w:tcBorders>
              <w:top w:val="nil"/>
              <w:left w:val="nil"/>
              <w:bottom w:val="nil"/>
              <w:right w:val="nil"/>
              <w:insideH w:val="nil"/>
              <w:insideV w:val="nil"/>
            </w:tcBorders>
            <w:vAlign w:val="center"/>
          </w:tcPr>
          <w:p w14:paraId="2E7A670C">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设备</w:t>
            </w:r>
          </w:p>
        </w:tc>
        <w:tc>
          <w:tcPr>
            <w:tcW w:w="3183" w:type="dxa"/>
            <w:tcBorders>
              <w:top w:val="nil"/>
              <w:left w:val="nil"/>
              <w:bottom w:val="nil"/>
              <w:right w:val="nil"/>
              <w:insideH w:val="nil"/>
              <w:insideV w:val="nil"/>
            </w:tcBorders>
            <w:vAlign w:val="center"/>
          </w:tcPr>
          <w:p w14:paraId="28D000CA">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生物安全柜、高压灭菌锅</w:t>
            </w:r>
          </w:p>
        </w:tc>
        <w:tc>
          <w:tcPr>
            <w:tcW w:w="1250" w:type="dxa"/>
            <w:tcBorders>
              <w:top w:val="nil"/>
              <w:left w:val="nil"/>
              <w:bottom w:val="nil"/>
              <w:right w:val="nil"/>
              <w:insideH w:val="nil"/>
              <w:insideV w:val="nil"/>
            </w:tcBorders>
            <w:vAlign w:val="center"/>
          </w:tcPr>
          <w:p w14:paraId="4EBB1F85">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Ⅳ—Ⅴ</w:t>
            </w:r>
          </w:p>
        </w:tc>
        <w:tc>
          <w:tcPr>
            <w:tcW w:w="1961" w:type="dxa"/>
            <w:tcBorders>
              <w:top w:val="nil"/>
              <w:left w:val="nil"/>
              <w:bottom w:val="nil"/>
              <w:right w:val="nil"/>
              <w:insideH w:val="nil"/>
              <w:insideV w:val="nil"/>
            </w:tcBorders>
            <w:vAlign w:val="center"/>
          </w:tcPr>
          <w:p w14:paraId="7BB51ED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每次使用前+周期检测</w:t>
            </w:r>
          </w:p>
        </w:tc>
        <w:tc>
          <w:tcPr>
            <w:tcW w:w="2180" w:type="dxa"/>
            <w:tcBorders>
              <w:top w:val="nil"/>
              <w:left w:val="nil"/>
              <w:bottom w:val="nil"/>
              <w:right w:val="nil"/>
              <w:insideH w:val="nil"/>
              <w:insideV w:val="nil"/>
            </w:tcBorders>
            <w:vAlign w:val="center"/>
          </w:tcPr>
          <w:p w14:paraId="6E6DCD30">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状态确认、专人负责、性能验证</w:t>
            </w:r>
          </w:p>
        </w:tc>
      </w:tr>
      <w:tr w14:paraId="6E6A0A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0" w:type="dxa"/>
            <w:tcBorders>
              <w:top w:val="nil"/>
              <w:left w:val="nil"/>
              <w:bottom w:val="nil"/>
              <w:right w:val="nil"/>
              <w:insideH w:val="nil"/>
              <w:insideV w:val="nil"/>
            </w:tcBorders>
            <w:vAlign w:val="center"/>
          </w:tcPr>
          <w:p w14:paraId="26CEF8A8">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材料</w:t>
            </w:r>
          </w:p>
        </w:tc>
        <w:tc>
          <w:tcPr>
            <w:tcW w:w="3183" w:type="dxa"/>
            <w:tcBorders>
              <w:top w:val="nil"/>
              <w:left w:val="nil"/>
              <w:bottom w:val="nil"/>
              <w:right w:val="nil"/>
              <w:insideH w:val="nil"/>
              <w:insideV w:val="nil"/>
            </w:tcBorders>
            <w:vAlign w:val="center"/>
          </w:tcPr>
          <w:p w14:paraId="6D260E29">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高风险样本、感染性废弃物</w:t>
            </w:r>
          </w:p>
        </w:tc>
        <w:tc>
          <w:tcPr>
            <w:tcW w:w="1250" w:type="dxa"/>
            <w:tcBorders>
              <w:top w:val="nil"/>
              <w:left w:val="nil"/>
              <w:bottom w:val="nil"/>
              <w:right w:val="nil"/>
              <w:insideH w:val="nil"/>
              <w:insideV w:val="nil"/>
            </w:tcBorders>
            <w:vAlign w:val="center"/>
          </w:tcPr>
          <w:p w14:paraId="67FA1F85">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Ⅳ—Ⅴ</w:t>
            </w:r>
          </w:p>
        </w:tc>
        <w:tc>
          <w:tcPr>
            <w:tcW w:w="1961" w:type="dxa"/>
            <w:tcBorders>
              <w:top w:val="nil"/>
              <w:left w:val="nil"/>
              <w:bottom w:val="nil"/>
              <w:right w:val="nil"/>
              <w:insideH w:val="nil"/>
              <w:insideV w:val="nil"/>
            </w:tcBorders>
            <w:vAlign w:val="center"/>
          </w:tcPr>
          <w:p w14:paraId="01982F6D">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全过程控制</w:t>
            </w:r>
          </w:p>
        </w:tc>
        <w:tc>
          <w:tcPr>
            <w:tcW w:w="2180" w:type="dxa"/>
            <w:tcBorders>
              <w:top w:val="nil"/>
              <w:left w:val="nil"/>
              <w:bottom w:val="nil"/>
              <w:right w:val="nil"/>
              <w:insideH w:val="nil"/>
              <w:insideV w:val="nil"/>
            </w:tcBorders>
            <w:vAlign w:val="center"/>
          </w:tcPr>
          <w:p w14:paraId="4660109C">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双人核验、专容器、专线转运</w:t>
            </w:r>
          </w:p>
        </w:tc>
      </w:tr>
      <w:tr w14:paraId="4FA922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0" w:type="dxa"/>
            <w:tcBorders>
              <w:top w:val="nil"/>
              <w:left w:val="nil"/>
              <w:bottom w:val="nil"/>
              <w:right w:val="nil"/>
              <w:insideH w:val="nil"/>
              <w:insideV w:val="nil"/>
            </w:tcBorders>
            <w:vAlign w:val="center"/>
          </w:tcPr>
          <w:p w14:paraId="751C60FB">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场所</w:t>
            </w:r>
          </w:p>
        </w:tc>
        <w:tc>
          <w:tcPr>
            <w:tcW w:w="3183" w:type="dxa"/>
            <w:tcBorders>
              <w:top w:val="nil"/>
              <w:left w:val="nil"/>
              <w:bottom w:val="nil"/>
              <w:right w:val="nil"/>
              <w:insideH w:val="nil"/>
              <w:insideV w:val="nil"/>
            </w:tcBorders>
            <w:vAlign w:val="center"/>
          </w:tcPr>
          <w:p w14:paraId="5CC17D3C">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共享实验室、公共冰箱、危废暂存区</w:t>
            </w:r>
          </w:p>
        </w:tc>
        <w:tc>
          <w:tcPr>
            <w:tcW w:w="1250" w:type="dxa"/>
            <w:tcBorders>
              <w:top w:val="nil"/>
              <w:left w:val="nil"/>
              <w:bottom w:val="nil"/>
              <w:right w:val="nil"/>
              <w:insideH w:val="nil"/>
              <w:insideV w:val="nil"/>
            </w:tcBorders>
            <w:vAlign w:val="center"/>
          </w:tcPr>
          <w:p w14:paraId="05EE50F9">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Ⅲ—Ⅳ</w:t>
            </w:r>
          </w:p>
        </w:tc>
        <w:tc>
          <w:tcPr>
            <w:tcW w:w="1961" w:type="dxa"/>
            <w:tcBorders>
              <w:top w:val="nil"/>
              <w:left w:val="nil"/>
              <w:bottom w:val="nil"/>
              <w:right w:val="nil"/>
              <w:insideH w:val="nil"/>
              <w:insideV w:val="nil"/>
            </w:tcBorders>
            <w:vAlign w:val="center"/>
          </w:tcPr>
          <w:p w14:paraId="22A522B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每周检查</w:t>
            </w:r>
          </w:p>
        </w:tc>
        <w:tc>
          <w:tcPr>
            <w:tcW w:w="2180" w:type="dxa"/>
            <w:tcBorders>
              <w:top w:val="nil"/>
              <w:left w:val="nil"/>
              <w:bottom w:val="nil"/>
              <w:right w:val="nil"/>
              <w:insideH w:val="nil"/>
              <w:insideV w:val="nil"/>
            </w:tcBorders>
            <w:vAlign w:val="center"/>
          </w:tcPr>
          <w:p w14:paraId="3430D005">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责任挂牌、分区标识、账物核对</w:t>
            </w:r>
          </w:p>
        </w:tc>
      </w:tr>
      <w:tr w14:paraId="1F41CB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0" w:type="dxa"/>
            <w:tcBorders>
              <w:top w:val="nil"/>
              <w:left w:val="nil"/>
              <w:bottom w:val="nil"/>
              <w:right w:val="nil"/>
              <w:insideH w:val="nil"/>
              <w:insideV w:val="nil"/>
            </w:tcBorders>
            <w:vAlign w:val="center"/>
          </w:tcPr>
          <w:p w14:paraId="26B00F37">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制度</w:t>
            </w:r>
          </w:p>
        </w:tc>
        <w:tc>
          <w:tcPr>
            <w:tcW w:w="3183" w:type="dxa"/>
            <w:tcBorders>
              <w:top w:val="nil"/>
              <w:left w:val="nil"/>
              <w:bottom w:val="nil"/>
              <w:right w:val="nil"/>
              <w:insideH w:val="nil"/>
              <w:insideV w:val="nil"/>
            </w:tcBorders>
            <w:vAlign w:val="center"/>
          </w:tcPr>
          <w:p w14:paraId="4B447983">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事故报告、应急处置、检查整改</w:t>
            </w:r>
          </w:p>
        </w:tc>
        <w:tc>
          <w:tcPr>
            <w:tcW w:w="1250" w:type="dxa"/>
            <w:tcBorders>
              <w:top w:val="nil"/>
              <w:left w:val="nil"/>
              <w:bottom w:val="nil"/>
              <w:right w:val="nil"/>
              <w:insideH w:val="nil"/>
              <w:insideV w:val="nil"/>
            </w:tcBorders>
            <w:vAlign w:val="center"/>
          </w:tcPr>
          <w:p w14:paraId="1CF669D6">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Ⅲ—Ⅳ</w:t>
            </w:r>
          </w:p>
        </w:tc>
        <w:tc>
          <w:tcPr>
            <w:tcW w:w="1961" w:type="dxa"/>
            <w:tcBorders>
              <w:top w:val="nil"/>
              <w:left w:val="nil"/>
              <w:bottom w:val="nil"/>
              <w:right w:val="nil"/>
              <w:insideH w:val="nil"/>
              <w:insideV w:val="nil"/>
            </w:tcBorders>
            <w:vAlign w:val="center"/>
          </w:tcPr>
          <w:p w14:paraId="3447090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按月复盘</w:t>
            </w:r>
          </w:p>
        </w:tc>
        <w:tc>
          <w:tcPr>
            <w:tcW w:w="2180" w:type="dxa"/>
            <w:tcBorders>
              <w:top w:val="nil"/>
              <w:left w:val="nil"/>
              <w:bottom w:val="nil"/>
              <w:right w:val="nil"/>
              <w:insideH w:val="nil"/>
              <w:insideV w:val="nil"/>
            </w:tcBorders>
            <w:vAlign w:val="center"/>
          </w:tcPr>
          <w:p w14:paraId="2431A2DD">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流程卡、复查台账、案例通报</w:t>
            </w:r>
          </w:p>
        </w:tc>
      </w:tr>
      <w:tr w14:paraId="76E040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30" w:type="dxa"/>
            <w:tcBorders>
              <w:top w:val="nil"/>
              <w:left w:val="nil"/>
              <w:bottom w:val="single" w:color="auto" w:sz="12" w:space="0"/>
              <w:right w:val="nil"/>
              <w:insideH w:val="nil"/>
              <w:insideV w:val="nil"/>
            </w:tcBorders>
            <w:vAlign w:val="center"/>
          </w:tcPr>
          <w:p w14:paraId="3A385208">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监测</w:t>
            </w:r>
          </w:p>
        </w:tc>
        <w:tc>
          <w:tcPr>
            <w:tcW w:w="3183" w:type="dxa"/>
            <w:tcBorders>
              <w:top w:val="nil"/>
              <w:left w:val="nil"/>
              <w:bottom w:val="single" w:color="auto" w:sz="12" w:space="0"/>
              <w:right w:val="nil"/>
              <w:insideH w:val="nil"/>
              <w:insideV w:val="nil"/>
            </w:tcBorders>
            <w:vAlign w:val="center"/>
          </w:tcPr>
          <w:p w14:paraId="1DAFD314">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高频重复隐患和异常数据</w:t>
            </w:r>
          </w:p>
        </w:tc>
        <w:tc>
          <w:tcPr>
            <w:tcW w:w="1250" w:type="dxa"/>
            <w:tcBorders>
              <w:top w:val="nil"/>
              <w:left w:val="nil"/>
              <w:bottom w:val="single" w:color="auto" w:sz="12" w:space="0"/>
              <w:right w:val="nil"/>
              <w:insideH w:val="nil"/>
              <w:insideV w:val="nil"/>
            </w:tcBorders>
            <w:vAlign w:val="center"/>
          </w:tcPr>
          <w:p w14:paraId="7D415564">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Ⅲ—Ⅴ</w:t>
            </w:r>
          </w:p>
        </w:tc>
        <w:tc>
          <w:tcPr>
            <w:tcW w:w="1961" w:type="dxa"/>
            <w:tcBorders>
              <w:top w:val="nil"/>
              <w:left w:val="nil"/>
              <w:bottom w:val="single" w:color="auto" w:sz="12" w:space="0"/>
              <w:right w:val="nil"/>
              <w:insideH w:val="nil"/>
              <w:insideV w:val="nil"/>
            </w:tcBorders>
            <w:vAlign w:val="center"/>
          </w:tcPr>
          <w:p w14:paraId="4E75E73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月度/季度分析</w:t>
            </w:r>
          </w:p>
        </w:tc>
        <w:tc>
          <w:tcPr>
            <w:tcW w:w="2180" w:type="dxa"/>
            <w:tcBorders>
              <w:top w:val="nil"/>
              <w:left w:val="nil"/>
              <w:bottom w:val="single" w:color="auto" w:sz="12" w:space="0"/>
              <w:right w:val="nil"/>
              <w:insideH w:val="nil"/>
              <w:insideV w:val="nil"/>
            </w:tcBorders>
            <w:vAlign w:val="center"/>
          </w:tcPr>
          <w:p w14:paraId="1C334B66">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统计分析</w:t>
            </w:r>
          </w:p>
        </w:tc>
      </w:tr>
    </w:tbl>
    <w:p w14:paraId="1419396B">
      <w:pPr>
        <w:spacing w:after="0" w:line="360" w:lineRule="auto"/>
        <w:ind w:firstLine="480"/>
        <w:jc w:val="both"/>
        <w:rPr>
          <w:lang w:eastAsia="zh-CN"/>
        </w:rPr>
      </w:pPr>
    </w:p>
    <w:p w14:paraId="252482B7">
      <w:pPr>
        <w:spacing w:after="0" w:line="360" w:lineRule="auto"/>
        <w:ind w:firstLine="480"/>
        <w:jc w:val="both"/>
        <w:rPr>
          <w:lang w:eastAsia="zh-CN"/>
        </w:rPr>
      </w:pPr>
      <w:r>
        <w:rPr>
          <w:rFonts w:ascii="Times New Roman" w:hAnsi="Times New Roman" w:eastAsia="宋体" w:cs="Times New Roman"/>
          <w:sz w:val="24"/>
          <w:lang w:eastAsia="zh-CN"/>
        </w:rPr>
        <w:t>实验室日常运行中，仅提出一般制度要求还不够，还需要围绕典型事故情景设计可操作的控制措施。典型事故情景是指发生概率较高、后果具有代表性的异常事件，如样本泄漏、锐器伤、人员暴露、防护设施异常、危废转运失控、火灾和停电等。针对这些情景开展专项优化，可以把抽象的安全要求转化为实验人员能够理解和执行的处置步骤。</w:t>
      </w:r>
    </w:p>
    <w:p w14:paraId="04B76859">
      <w:pPr>
        <w:spacing w:after="0" w:line="360" w:lineRule="auto"/>
        <w:ind w:firstLine="480"/>
        <w:jc w:val="both"/>
        <w:rPr>
          <w:lang w:eastAsia="zh-CN"/>
        </w:rPr>
      </w:pPr>
      <w:r>
        <w:rPr>
          <w:rFonts w:ascii="Times New Roman" w:hAnsi="Times New Roman" w:eastAsia="宋体" w:cs="Times New Roman"/>
          <w:sz w:val="24"/>
          <w:lang w:eastAsia="zh-CN"/>
        </w:rPr>
        <w:t>在人员管理方面，应将情景处置纳入分层分类培训。针对本科生、研究生、教师、实验技术人员和管理人员设置不同培训内容，使培训更加符合各类人员的实验任务和责任要求。本科生培训应突出基础安全知识、常见设备使用、个人防护和废弃物分类；研究生培训应增加课题相关风险识别、实验记录、样本管理和异常情况报告；教师和实验技术人员则应强化指导责任、现场监督和应急处置能力。</w:t>
      </w:r>
    </w:p>
    <w:p w14:paraId="0B2AC4D9">
      <w:pPr>
        <w:spacing w:after="0" w:line="360" w:lineRule="auto"/>
        <w:ind w:firstLine="480"/>
        <w:jc w:val="both"/>
        <w:rPr>
          <w:lang w:eastAsia="zh-CN"/>
        </w:rPr>
      </w:pPr>
      <w:r>
        <w:rPr>
          <w:rFonts w:ascii="Times New Roman" w:hAnsi="Times New Roman" w:eastAsia="宋体" w:cs="Times New Roman"/>
          <w:sz w:val="24"/>
          <w:lang w:eastAsia="zh-CN"/>
        </w:rPr>
        <w:t>培训方式可以采用线上学习、现场演示、案例讨论和操作考核相结合的方式，并建立培训档案和准入记录。实验室可根据人员身份、实验类型和风险等级设置准入条件，未完成相应培训和考核的人员不应独立开展相关实验。对典型事故情景的管理重点不在于编写冗长预案，而在于明确事故发生后先做什么、由谁报告、使用什么物资、如何记录，并将这些内容转化为流程卡、墙面图示和演练脚本。</w:t>
      </w:r>
    </w:p>
    <w:p w14:paraId="02CE7A40">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人员管理还应重视日常行为引导。实验室负责人和教师需要在实验准备、操作、记录和清理全过程中持续提醒和纠正不规范行为，使安全要求从书面规定转化为稳定习惯。通过这种方式，风险预防和信息化记录才能与日常教学科研活动结合起来。</w:t>
      </w:r>
    </w:p>
    <w:p w14:paraId="1A01645B">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应急处置流程图适合用于呈现突发事件发生后的处置顺序、报告路径和分情景处理要求。与文字预案相比，流程图能够更直观地说明事故发生后先做什么、由谁报告、如何控制现场以及事后如何复核改进。本文将样本泄漏、锐器伤或人员暴露、设备异常、火灾停电和危废外溢等情景纳入同一处置框架，具体如图4-3所示。 针对不同事故情景，应急处置要求存在差异，表4-7将样本泄漏、人员暴露、设备异常和危废外溢等情况对应到处置重点，便于与图4-3形成互补。</w:t>
      </w:r>
    </w:p>
    <w:p w14:paraId="66EADF02">
      <w:pPr>
        <w:jc w:val="center"/>
      </w:pPr>
    </w:p>
    <w:p w14:paraId="2295E64B">
      <w:pPr>
        <w:jc w:val="center"/>
      </w:pPr>
      <w:r>
        <w:drawing>
          <wp:inline distT="0" distB="0" distL="114300" distR="114300">
            <wp:extent cx="5669280" cy="3190240"/>
            <wp:effectExtent l="0" t="0" r="762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669280" cy="3190665"/>
                    </a:xfrm>
                    <a:prstGeom prst="rect">
                      <a:avLst/>
                    </a:prstGeom>
                  </pic:spPr>
                </pic:pic>
              </a:graphicData>
            </a:graphic>
          </wp:inline>
        </w:drawing>
      </w:r>
    </w:p>
    <w:p w14:paraId="449E96F0">
      <w:pPr>
        <w:keepNext/>
        <w:spacing w:before="60" w:after="60" w:line="360" w:lineRule="auto"/>
        <w:jc w:val="center"/>
        <w:rPr>
          <w:lang w:eastAsia="zh-CN"/>
        </w:rPr>
      </w:pPr>
      <w:r>
        <w:rPr>
          <w:rFonts w:ascii="黑体" w:hAnsi="黑体" w:eastAsia="黑体" w:cs="Times New Roman"/>
          <w:sz w:val="21"/>
          <w:lang w:eastAsia="zh-CN"/>
        </w:rPr>
        <w:t>图4-3 典型事故情景应急处置流程图</w:t>
      </w:r>
    </w:p>
    <w:p w14:paraId="13115ADE">
      <w:pPr>
        <w:spacing w:after="0" w:line="360" w:lineRule="auto"/>
        <w:ind w:firstLine="480"/>
        <w:jc w:val="both"/>
        <w:rPr>
          <w:lang w:eastAsia="zh-CN"/>
        </w:rPr>
      </w:pPr>
    </w:p>
    <w:p w14:paraId="7A24B1A9">
      <w:pPr>
        <w:keepNext/>
        <w:spacing w:before="60" w:after="60" w:line="360" w:lineRule="auto"/>
        <w:jc w:val="both"/>
        <w:rPr>
          <w:rFonts w:ascii="黑体" w:hAnsi="黑体" w:eastAsia="黑体" w:cs="Times New Roman"/>
          <w:sz w:val="21"/>
          <w:szCs w:val="21"/>
          <w:lang w:eastAsia="zh-CN"/>
        </w:rPr>
      </w:pPr>
    </w:p>
    <w:p w14:paraId="1BD7BCC9">
      <w:pPr>
        <w:keepNext/>
        <w:spacing w:before="60" w:after="60" w:line="360" w:lineRule="auto"/>
        <w:jc w:val="center"/>
        <w:rPr>
          <w:lang w:eastAsia="zh-CN"/>
        </w:rPr>
      </w:pPr>
      <w:r>
        <w:rPr>
          <w:rFonts w:ascii="黑体" w:hAnsi="黑体" w:eastAsia="黑体" w:cs="Times New Roman"/>
          <w:sz w:val="21"/>
          <w:szCs w:val="21"/>
          <w:lang w:eastAsia="zh-CN"/>
        </w:rPr>
        <w:t>表4-7 典型事故情景应对要点表</w:t>
      </w:r>
    </w:p>
    <w:tbl>
      <w:tblPr>
        <w:tblStyle w:val="36"/>
        <w:tblW w:w="940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3"/>
        <w:gridCol w:w="2746"/>
        <w:gridCol w:w="2334"/>
        <w:gridCol w:w="2681"/>
      </w:tblGrid>
      <w:tr w14:paraId="322B08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643" w:type="dxa"/>
            <w:tcBorders>
              <w:top w:val="single" w:color="auto" w:sz="12" w:space="0"/>
              <w:left w:val="nil"/>
              <w:bottom w:val="single" w:color="auto" w:sz="4" w:space="0"/>
              <w:right w:val="nil"/>
              <w:insideH w:val="nil"/>
              <w:insideV w:val="nil"/>
            </w:tcBorders>
            <w:vAlign w:val="center"/>
          </w:tcPr>
          <w:p w14:paraId="3E721F18">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事故情景</w:t>
            </w:r>
          </w:p>
        </w:tc>
        <w:tc>
          <w:tcPr>
            <w:tcW w:w="2746" w:type="dxa"/>
            <w:tcBorders>
              <w:top w:val="single" w:color="auto" w:sz="12" w:space="0"/>
              <w:left w:val="nil"/>
              <w:bottom w:val="single" w:color="auto" w:sz="4" w:space="0"/>
              <w:right w:val="nil"/>
              <w:insideH w:val="nil"/>
              <w:insideV w:val="nil"/>
            </w:tcBorders>
            <w:vAlign w:val="center"/>
          </w:tcPr>
          <w:p w14:paraId="3B1FBEC6">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先期处置重点</w:t>
            </w:r>
          </w:p>
        </w:tc>
        <w:tc>
          <w:tcPr>
            <w:tcW w:w="2334" w:type="dxa"/>
            <w:tcBorders>
              <w:top w:val="single" w:color="auto" w:sz="12" w:space="0"/>
              <w:left w:val="nil"/>
              <w:bottom w:val="single" w:color="auto" w:sz="4" w:space="0"/>
              <w:right w:val="nil"/>
              <w:insideH w:val="nil"/>
              <w:insideV w:val="nil"/>
            </w:tcBorders>
            <w:vAlign w:val="center"/>
          </w:tcPr>
          <w:p w14:paraId="4BE690B7">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后续管理要求</w:t>
            </w:r>
          </w:p>
        </w:tc>
        <w:tc>
          <w:tcPr>
            <w:tcW w:w="2681" w:type="dxa"/>
            <w:tcBorders>
              <w:top w:val="single" w:color="auto" w:sz="12" w:space="0"/>
              <w:left w:val="nil"/>
              <w:bottom w:val="single" w:color="auto" w:sz="4" w:space="0"/>
              <w:right w:val="nil"/>
              <w:insideH w:val="nil"/>
              <w:insideV w:val="nil"/>
            </w:tcBorders>
            <w:vAlign w:val="center"/>
          </w:tcPr>
          <w:p w14:paraId="674A8DB3">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易忽视问题</w:t>
            </w:r>
          </w:p>
        </w:tc>
      </w:tr>
      <w:tr w14:paraId="028604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3" w:type="dxa"/>
            <w:tcBorders>
              <w:top w:val="single" w:color="auto" w:sz="4" w:space="0"/>
              <w:left w:val="nil"/>
              <w:bottom w:val="nil"/>
              <w:right w:val="nil"/>
              <w:insideH w:val="nil"/>
              <w:insideV w:val="nil"/>
            </w:tcBorders>
            <w:vAlign w:val="center"/>
          </w:tcPr>
          <w:p w14:paraId="37EB8BD5">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样本泄漏/容器破损</w:t>
            </w:r>
          </w:p>
        </w:tc>
        <w:tc>
          <w:tcPr>
            <w:tcW w:w="2746" w:type="dxa"/>
            <w:tcBorders>
              <w:top w:val="single" w:color="auto" w:sz="4" w:space="0"/>
              <w:left w:val="nil"/>
              <w:bottom w:val="nil"/>
              <w:right w:val="nil"/>
              <w:insideH w:val="nil"/>
              <w:insideV w:val="nil"/>
            </w:tcBorders>
            <w:vAlign w:val="center"/>
          </w:tcPr>
          <w:p w14:paraId="626033E2">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停止操作、区域隔离、规范消毒、上报</w:t>
            </w:r>
          </w:p>
        </w:tc>
        <w:tc>
          <w:tcPr>
            <w:tcW w:w="2334" w:type="dxa"/>
            <w:tcBorders>
              <w:top w:val="single" w:color="auto" w:sz="4" w:space="0"/>
              <w:left w:val="nil"/>
              <w:bottom w:val="nil"/>
              <w:right w:val="nil"/>
              <w:insideH w:val="nil"/>
              <w:insideV w:val="nil"/>
            </w:tcBorders>
            <w:vAlign w:val="center"/>
          </w:tcPr>
          <w:p w14:paraId="1FB34636">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污染记录、原因分析、补充培训</w:t>
            </w:r>
          </w:p>
        </w:tc>
        <w:tc>
          <w:tcPr>
            <w:tcW w:w="2681" w:type="dxa"/>
            <w:tcBorders>
              <w:top w:val="single" w:color="auto" w:sz="4" w:space="0"/>
              <w:left w:val="nil"/>
              <w:bottom w:val="nil"/>
              <w:right w:val="nil"/>
              <w:insideH w:val="nil"/>
              <w:insideV w:val="nil"/>
            </w:tcBorders>
            <w:vAlign w:val="center"/>
          </w:tcPr>
          <w:p w14:paraId="3B9948AE">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未设置二次承载、报告延迟</w:t>
            </w:r>
          </w:p>
        </w:tc>
      </w:tr>
      <w:tr w14:paraId="04F238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3" w:type="dxa"/>
            <w:tcBorders>
              <w:top w:val="nil"/>
              <w:left w:val="nil"/>
              <w:bottom w:val="nil"/>
              <w:right w:val="nil"/>
              <w:insideH w:val="nil"/>
              <w:insideV w:val="nil"/>
            </w:tcBorders>
            <w:vAlign w:val="center"/>
          </w:tcPr>
          <w:p w14:paraId="6A6721F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锐器伤/人员暴露</w:t>
            </w:r>
          </w:p>
        </w:tc>
        <w:tc>
          <w:tcPr>
            <w:tcW w:w="2746" w:type="dxa"/>
            <w:tcBorders>
              <w:top w:val="nil"/>
              <w:left w:val="nil"/>
              <w:bottom w:val="nil"/>
              <w:right w:val="nil"/>
              <w:insideH w:val="nil"/>
              <w:insideV w:val="nil"/>
            </w:tcBorders>
            <w:vAlign w:val="center"/>
          </w:tcPr>
          <w:p w14:paraId="118F4340">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立即冲洗消毒、报告、医学评估</w:t>
            </w:r>
          </w:p>
        </w:tc>
        <w:tc>
          <w:tcPr>
            <w:tcW w:w="2334" w:type="dxa"/>
            <w:tcBorders>
              <w:top w:val="nil"/>
              <w:left w:val="nil"/>
              <w:bottom w:val="nil"/>
              <w:right w:val="nil"/>
              <w:insideH w:val="nil"/>
              <w:insideV w:val="nil"/>
            </w:tcBorders>
            <w:vAlign w:val="center"/>
          </w:tcPr>
          <w:p w14:paraId="4013A70C">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跟踪观察、记录归档、心理疏导</w:t>
            </w:r>
          </w:p>
        </w:tc>
        <w:tc>
          <w:tcPr>
            <w:tcW w:w="2681" w:type="dxa"/>
            <w:tcBorders>
              <w:top w:val="nil"/>
              <w:left w:val="nil"/>
              <w:bottom w:val="nil"/>
              <w:right w:val="nil"/>
              <w:insideH w:val="nil"/>
              <w:insideV w:val="nil"/>
            </w:tcBorders>
            <w:vAlign w:val="center"/>
          </w:tcPr>
          <w:p w14:paraId="4CFC450F">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只做简单处理不留记录</w:t>
            </w:r>
          </w:p>
        </w:tc>
      </w:tr>
      <w:tr w14:paraId="22CDCD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3" w:type="dxa"/>
            <w:tcBorders>
              <w:top w:val="nil"/>
              <w:left w:val="nil"/>
              <w:bottom w:val="nil"/>
              <w:right w:val="nil"/>
              <w:insideH w:val="nil"/>
              <w:insideV w:val="nil"/>
            </w:tcBorders>
            <w:vAlign w:val="center"/>
          </w:tcPr>
          <w:p w14:paraId="5B60F2A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关键设备异常</w:t>
            </w:r>
          </w:p>
        </w:tc>
        <w:tc>
          <w:tcPr>
            <w:tcW w:w="2746" w:type="dxa"/>
            <w:tcBorders>
              <w:top w:val="nil"/>
              <w:left w:val="nil"/>
              <w:bottom w:val="nil"/>
              <w:right w:val="nil"/>
              <w:insideH w:val="nil"/>
              <w:insideV w:val="nil"/>
            </w:tcBorders>
            <w:vAlign w:val="center"/>
          </w:tcPr>
          <w:p w14:paraId="3148E8C0">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停用设备、加贴标识、通知管理员</w:t>
            </w:r>
          </w:p>
        </w:tc>
        <w:tc>
          <w:tcPr>
            <w:tcW w:w="2334" w:type="dxa"/>
            <w:tcBorders>
              <w:top w:val="nil"/>
              <w:left w:val="nil"/>
              <w:bottom w:val="nil"/>
              <w:right w:val="nil"/>
              <w:insideH w:val="nil"/>
              <w:insideV w:val="nil"/>
            </w:tcBorders>
            <w:vAlign w:val="center"/>
          </w:tcPr>
          <w:p w14:paraId="5515D48E">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维修复测、查明影响范围</w:t>
            </w:r>
          </w:p>
        </w:tc>
        <w:tc>
          <w:tcPr>
            <w:tcW w:w="2681" w:type="dxa"/>
            <w:tcBorders>
              <w:top w:val="nil"/>
              <w:left w:val="nil"/>
              <w:bottom w:val="nil"/>
              <w:right w:val="nil"/>
              <w:insideH w:val="nil"/>
              <w:insideV w:val="nil"/>
            </w:tcBorders>
            <w:vAlign w:val="center"/>
          </w:tcPr>
          <w:p w14:paraId="41883E60">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异常状态下继续使用、故障无人追踪</w:t>
            </w:r>
          </w:p>
        </w:tc>
      </w:tr>
      <w:tr w14:paraId="182633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3" w:type="dxa"/>
            <w:tcBorders>
              <w:top w:val="nil"/>
              <w:left w:val="nil"/>
              <w:bottom w:val="nil"/>
              <w:right w:val="nil"/>
              <w:insideH w:val="nil"/>
              <w:insideV w:val="nil"/>
            </w:tcBorders>
            <w:vAlign w:val="center"/>
          </w:tcPr>
          <w:p w14:paraId="4C46260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危废分类或转运失控</w:t>
            </w:r>
          </w:p>
        </w:tc>
        <w:tc>
          <w:tcPr>
            <w:tcW w:w="2746" w:type="dxa"/>
            <w:tcBorders>
              <w:top w:val="nil"/>
              <w:left w:val="nil"/>
              <w:bottom w:val="nil"/>
              <w:right w:val="nil"/>
              <w:insideH w:val="nil"/>
              <w:insideV w:val="nil"/>
            </w:tcBorders>
            <w:vAlign w:val="center"/>
          </w:tcPr>
          <w:p w14:paraId="3A2E7240">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重新分类、规范封装、补全交接</w:t>
            </w:r>
          </w:p>
        </w:tc>
        <w:tc>
          <w:tcPr>
            <w:tcW w:w="2334" w:type="dxa"/>
            <w:tcBorders>
              <w:top w:val="nil"/>
              <w:left w:val="nil"/>
              <w:bottom w:val="nil"/>
              <w:right w:val="nil"/>
              <w:insideH w:val="nil"/>
              <w:insideV w:val="nil"/>
            </w:tcBorders>
            <w:vAlign w:val="center"/>
          </w:tcPr>
          <w:p w14:paraId="22E1DD90">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复核台账、优化容器和标识</w:t>
            </w:r>
          </w:p>
        </w:tc>
        <w:tc>
          <w:tcPr>
            <w:tcW w:w="2681" w:type="dxa"/>
            <w:tcBorders>
              <w:top w:val="nil"/>
              <w:left w:val="nil"/>
              <w:bottom w:val="nil"/>
              <w:right w:val="nil"/>
              <w:insideH w:val="nil"/>
              <w:insideV w:val="nil"/>
            </w:tcBorders>
            <w:vAlign w:val="center"/>
          </w:tcPr>
          <w:p w14:paraId="4DFDAEC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混装后难以追溯</w:t>
            </w:r>
          </w:p>
        </w:tc>
      </w:tr>
      <w:tr w14:paraId="509B69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3" w:type="dxa"/>
            <w:tcBorders>
              <w:top w:val="nil"/>
              <w:left w:val="nil"/>
              <w:bottom w:val="single" w:color="auto" w:sz="12" w:space="0"/>
              <w:right w:val="nil"/>
              <w:insideH w:val="nil"/>
              <w:insideV w:val="nil"/>
            </w:tcBorders>
            <w:vAlign w:val="center"/>
          </w:tcPr>
          <w:p w14:paraId="0C8BD1BE">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停电/火灾等突发事件</w:t>
            </w:r>
          </w:p>
        </w:tc>
        <w:tc>
          <w:tcPr>
            <w:tcW w:w="2746" w:type="dxa"/>
            <w:tcBorders>
              <w:top w:val="nil"/>
              <w:left w:val="nil"/>
              <w:bottom w:val="single" w:color="auto" w:sz="12" w:space="0"/>
              <w:right w:val="nil"/>
              <w:insideH w:val="nil"/>
              <w:insideV w:val="nil"/>
            </w:tcBorders>
            <w:vAlign w:val="center"/>
          </w:tcPr>
          <w:p w14:paraId="6AFA30A6">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保护人员、切断风险源、组织疏散</w:t>
            </w:r>
          </w:p>
        </w:tc>
        <w:tc>
          <w:tcPr>
            <w:tcW w:w="2334" w:type="dxa"/>
            <w:tcBorders>
              <w:top w:val="nil"/>
              <w:left w:val="nil"/>
              <w:bottom w:val="single" w:color="auto" w:sz="12" w:space="0"/>
              <w:right w:val="nil"/>
              <w:insideH w:val="nil"/>
              <w:insideV w:val="nil"/>
            </w:tcBorders>
            <w:vAlign w:val="center"/>
          </w:tcPr>
          <w:p w14:paraId="1B294D36">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样本转移、恢复评估、复盘改进</w:t>
            </w:r>
          </w:p>
        </w:tc>
        <w:tc>
          <w:tcPr>
            <w:tcW w:w="2681" w:type="dxa"/>
            <w:tcBorders>
              <w:top w:val="nil"/>
              <w:left w:val="nil"/>
              <w:bottom w:val="single" w:color="auto" w:sz="12" w:space="0"/>
              <w:right w:val="nil"/>
              <w:insideH w:val="nil"/>
              <w:insideV w:val="nil"/>
            </w:tcBorders>
            <w:vAlign w:val="center"/>
          </w:tcPr>
          <w:p w14:paraId="1A83E2AB">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只顾设备不顾人员安全</w:t>
            </w:r>
          </w:p>
        </w:tc>
      </w:tr>
    </w:tbl>
    <w:p w14:paraId="752FFF1B">
      <w:pPr>
        <w:spacing w:after="0" w:line="360" w:lineRule="auto"/>
        <w:ind w:firstLine="480"/>
        <w:jc w:val="both"/>
        <w:rPr>
          <w:lang w:eastAsia="zh-CN"/>
        </w:rPr>
      </w:pPr>
    </w:p>
    <w:p w14:paraId="29244CD8">
      <w:pPr>
        <w:spacing w:after="0" w:line="360" w:lineRule="auto"/>
        <w:ind w:firstLine="480"/>
        <w:jc w:val="both"/>
        <w:rPr>
          <w:lang w:eastAsia="zh-CN"/>
        </w:rPr>
      </w:pPr>
      <w:r>
        <w:rPr>
          <w:rFonts w:ascii="Times New Roman" w:hAnsi="Times New Roman" w:eastAsia="宋体" w:cs="Times New Roman"/>
          <w:sz w:val="24"/>
          <w:lang w:eastAsia="zh-CN"/>
        </w:rPr>
        <w:t>设备管理方面，应建立从采购、验收、使用、维护到报废的全过程管理机制。对于生物安全柜、高压灭菌锅、离心机、培养箱、冰箱等关键设备，应明确责任人和维护周期。设备投入使用前，应完成安装验收、操作培训和安全提示设置，设备旁应放置简明操作规程和关键风险提示，便于使用者在操作前快速确认注意事项。</w:t>
      </w:r>
    </w:p>
    <w:p w14:paraId="70A4C10C">
      <w:pPr>
        <w:spacing w:after="0" w:line="360" w:lineRule="auto"/>
        <w:ind w:firstLine="480"/>
        <w:jc w:val="both"/>
        <w:rPr>
          <w:lang w:eastAsia="zh-CN"/>
        </w:rPr>
      </w:pPr>
      <w:r>
        <w:rPr>
          <w:rFonts w:ascii="Times New Roman" w:hAnsi="Times New Roman" w:eastAsia="宋体" w:cs="Times New Roman"/>
          <w:sz w:val="24"/>
          <w:lang w:eastAsia="zh-CN"/>
        </w:rPr>
        <w:t>在日常使用中，应完善预约、使用登记、点检和故障报告制度。对高频使用设备，实验室应定期检查运行状态，及时处理异常声音、报警、温度波动和密封不良等问题。设备维护不能只在故障发生后进行，学校或学院可建立关键设备维护台账，记录校准、清洁、检修和更换部件等信息，为后续管理和风险判断提供依据。</w:t>
      </w:r>
    </w:p>
    <w:p w14:paraId="7B8EED9B">
      <w:pPr>
        <w:spacing w:after="0" w:line="360" w:lineRule="auto"/>
        <w:ind w:firstLine="480"/>
        <w:jc w:val="both"/>
        <w:rPr>
          <w:lang w:eastAsia="zh-CN"/>
        </w:rPr>
      </w:pPr>
      <w:r>
        <w:t>对于超过使用年限、性能不稳定或存在安全隐患的设备，应及时评估是否维修、停用或报废，避免继续使用状态不明的设备。通过完善设备全过程管理，可以减少因设备状态不清、操作不规范和维护滞后引发的安全风险，也能提高实验教学和科研工作的稳定性。 为了说明安全工程方法与日常管理活动之间的关系，表4-8把鱼骨图、事故树、风险矩阵、PDCA和作业风险分析等方法对应到具体管理用途，避免方法使用流于形式。</w:t>
      </w:r>
    </w:p>
    <w:p w14:paraId="517A1547">
      <w:pPr>
        <w:keepNext/>
        <w:spacing w:before="60" w:after="60" w:line="360" w:lineRule="auto"/>
        <w:jc w:val="center"/>
        <w:rPr>
          <w:lang w:eastAsia="zh-CN"/>
        </w:rPr>
      </w:pPr>
      <w:r>
        <w:rPr>
          <w:rFonts w:ascii="黑体" w:hAnsi="黑体" w:eastAsia="黑体" w:cs="Times New Roman"/>
          <w:sz w:val="21"/>
          <w:szCs w:val="21"/>
          <w:lang w:eastAsia="zh-CN"/>
        </w:rPr>
        <w:t>表4-8 安全工程方法与实验室管理活动的对应关系</w:t>
      </w:r>
    </w:p>
    <w:tbl>
      <w:tblPr>
        <w:tblStyle w:val="36"/>
        <w:tblW w:w="961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2545"/>
        <w:gridCol w:w="2122"/>
        <w:gridCol w:w="2968"/>
      </w:tblGrid>
      <w:tr w14:paraId="168D94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80" w:type="dxa"/>
            <w:tcBorders>
              <w:top w:val="single" w:color="auto" w:sz="12" w:space="0"/>
              <w:left w:val="nil"/>
              <w:bottom w:val="single" w:color="auto" w:sz="4" w:space="0"/>
              <w:right w:val="nil"/>
              <w:insideH w:val="nil"/>
              <w:insideV w:val="nil"/>
            </w:tcBorders>
            <w:vAlign w:val="center"/>
          </w:tcPr>
          <w:p w14:paraId="538F33D6">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方法</w:t>
            </w:r>
          </w:p>
        </w:tc>
        <w:tc>
          <w:tcPr>
            <w:tcW w:w="2545" w:type="dxa"/>
            <w:tcBorders>
              <w:top w:val="single" w:color="auto" w:sz="12" w:space="0"/>
              <w:left w:val="nil"/>
              <w:bottom w:val="single" w:color="auto" w:sz="4" w:space="0"/>
              <w:right w:val="nil"/>
              <w:insideH w:val="nil"/>
              <w:insideV w:val="nil"/>
            </w:tcBorders>
            <w:vAlign w:val="center"/>
          </w:tcPr>
          <w:p w14:paraId="37C479ED">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适用环节</w:t>
            </w:r>
          </w:p>
        </w:tc>
        <w:tc>
          <w:tcPr>
            <w:tcW w:w="2122" w:type="dxa"/>
            <w:tcBorders>
              <w:top w:val="single" w:color="auto" w:sz="12" w:space="0"/>
              <w:left w:val="nil"/>
              <w:bottom w:val="single" w:color="auto" w:sz="4" w:space="0"/>
              <w:right w:val="nil"/>
              <w:insideH w:val="nil"/>
              <w:insideV w:val="nil"/>
            </w:tcBorders>
            <w:vAlign w:val="center"/>
          </w:tcPr>
          <w:p w14:paraId="07864321">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主要作用</w:t>
            </w:r>
          </w:p>
        </w:tc>
        <w:tc>
          <w:tcPr>
            <w:tcW w:w="2968" w:type="dxa"/>
            <w:tcBorders>
              <w:top w:val="single" w:color="auto" w:sz="12" w:space="0"/>
              <w:left w:val="nil"/>
              <w:bottom w:val="single" w:color="auto" w:sz="4" w:space="0"/>
              <w:right w:val="nil"/>
              <w:insideH w:val="nil"/>
              <w:insideV w:val="nil"/>
            </w:tcBorders>
            <w:vAlign w:val="center"/>
          </w:tcPr>
          <w:p w14:paraId="44CA0E26">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在本文中的体现</w:t>
            </w:r>
          </w:p>
        </w:tc>
      </w:tr>
      <w:tr w14:paraId="75A184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80" w:type="dxa"/>
            <w:tcBorders>
              <w:top w:val="single" w:color="auto" w:sz="4" w:space="0"/>
              <w:left w:val="nil"/>
              <w:bottom w:val="nil"/>
              <w:right w:val="nil"/>
              <w:insideH w:val="nil"/>
              <w:insideV w:val="nil"/>
            </w:tcBorders>
            <w:vAlign w:val="center"/>
          </w:tcPr>
          <w:p w14:paraId="50823F8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鱼骨图分析</w:t>
            </w:r>
          </w:p>
        </w:tc>
        <w:tc>
          <w:tcPr>
            <w:tcW w:w="2545" w:type="dxa"/>
            <w:tcBorders>
              <w:top w:val="single" w:color="auto" w:sz="4" w:space="0"/>
              <w:left w:val="nil"/>
              <w:bottom w:val="nil"/>
              <w:right w:val="nil"/>
              <w:insideH w:val="nil"/>
              <w:insideV w:val="nil"/>
            </w:tcBorders>
            <w:vAlign w:val="center"/>
          </w:tcPr>
          <w:p w14:paraId="2FCB11C7">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问题梳理、培训复盘</w:t>
            </w:r>
          </w:p>
        </w:tc>
        <w:tc>
          <w:tcPr>
            <w:tcW w:w="2122" w:type="dxa"/>
            <w:tcBorders>
              <w:top w:val="single" w:color="auto" w:sz="4" w:space="0"/>
              <w:left w:val="nil"/>
              <w:bottom w:val="nil"/>
              <w:right w:val="nil"/>
              <w:insideH w:val="nil"/>
              <w:insideV w:val="nil"/>
            </w:tcBorders>
            <w:vAlign w:val="center"/>
          </w:tcPr>
          <w:p w14:paraId="1C75D7F0">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识别多因素来源</w:t>
            </w:r>
          </w:p>
        </w:tc>
        <w:tc>
          <w:tcPr>
            <w:tcW w:w="2968" w:type="dxa"/>
            <w:tcBorders>
              <w:top w:val="single" w:color="auto" w:sz="4" w:space="0"/>
              <w:left w:val="nil"/>
              <w:bottom w:val="nil"/>
              <w:right w:val="nil"/>
              <w:insideH w:val="nil"/>
              <w:insideV w:val="nil"/>
            </w:tcBorders>
            <w:vAlign w:val="center"/>
          </w:tcPr>
          <w:p w14:paraId="6FE9C11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用于第三章成因分析</w:t>
            </w:r>
          </w:p>
        </w:tc>
      </w:tr>
      <w:tr w14:paraId="698ED3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80" w:type="dxa"/>
            <w:tcBorders>
              <w:top w:val="nil"/>
              <w:left w:val="nil"/>
              <w:bottom w:val="nil"/>
              <w:right w:val="nil"/>
              <w:insideH w:val="nil"/>
              <w:insideV w:val="nil"/>
            </w:tcBorders>
            <w:vAlign w:val="center"/>
          </w:tcPr>
          <w:p w14:paraId="505E061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事故树分析</w:t>
            </w:r>
          </w:p>
        </w:tc>
        <w:tc>
          <w:tcPr>
            <w:tcW w:w="2545" w:type="dxa"/>
            <w:tcBorders>
              <w:top w:val="nil"/>
              <w:left w:val="nil"/>
              <w:bottom w:val="nil"/>
              <w:right w:val="nil"/>
              <w:insideH w:val="nil"/>
              <w:insideV w:val="nil"/>
            </w:tcBorders>
            <w:vAlign w:val="center"/>
          </w:tcPr>
          <w:p w14:paraId="421CAB7F">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事故复盘、关键路径识别</w:t>
            </w:r>
          </w:p>
        </w:tc>
        <w:tc>
          <w:tcPr>
            <w:tcW w:w="2122" w:type="dxa"/>
            <w:tcBorders>
              <w:top w:val="nil"/>
              <w:left w:val="nil"/>
              <w:bottom w:val="nil"/>
              <w:right w:val="nil"/>
              <w:insideH w:val="nil"/>
              <w:insideV w:val="nil"/>
            </w:tcBorders>
            <w:vAlign w:val="center"/>
          </w:tcPr>
          <w:p w14:paraId="60EC0CBD">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揭示事故形成逻辑</w:t>
            </w:r>
          </w:p>
        </w:tc>
        <w:tc>
          <w:tcPr>
            <w:tcW w:w="2968" w:type="dxa"/>
            <w:tcBorders>
              <w:top w:val="nil"/>
              <w:left w:val="nil"/>
              <w:bottom w:val="nil"/>
              <w:right w:val="nil"/>
              <w:insideH w:val="nil"/>
              <w:insideV w:val="nil"/>
            </w:tcBorders>
            <w:vAlign w:val="center"/>
          </w:tcPr>
          <w:p w14:paraId="5AB19430">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用于第三章事故树分析</w:t>
            </w:r>
          </w:p>
        </w:tc>
      </w:tr>
      <w:tr w14:paraId="313674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80" w:type="dxa"/>
            <w:tcBorders>
              <w:top w:val="nil"/>
              <w:left w:val="nil"/>
              <w:bottom w:val="nil"/>
              <w:right w:val="nil"/>
              <w:insideH w:val="nil"/>
              <w:insideV w:val="nil"/>
            </w:tcBorders>
            <w:vAlign w:val="center"/>
          </w:tcPr>
          <w:p w14:paraId="2767C05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风险矩阵</w:t>
            </w:r>
          </w:p>
        </w:tc>
        <w:tc>
          <w:tcPr>
            <w:tcW w:w="2545" w:type="dxa"/>
            <w:tcBorders>
              <w:top w:val="nil"/>
              <w:left w:val="nil"/>
              <w:bottom w:val="nil"/>
              <w:right w:val="nil"/>
              <w:insideH w:val="nil"/>
              <w:insideV w:val="nil"/>
            </w:tcBorders>
            <w:vAlign w:val="center"/>
          </w:tcPr>
          <w:p w14:paraId="5249C5BB">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风险分级和排序</w:t>
            </w:r>
          </w:p>
        </w:tc>
        <w:tc>
          <w:tcPr>
            <w:tcW w:w="2122" w:type="dxa"/>
            <w:tcBorders>
              <w:top w:val="nil"/>
              <w:left w:val="nil"/>
              <w:bottom w:val="nil"/>
              <w:right w:val="nil"/>
              <w:insideH w:val="nil"/>
              <w:insideV w:val="nil"/>
            </w:tcBorders>
            <w:vAlign w:val="center"/>
          </w:tcPr>
          <w:p w14:paraId="73337CC2">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确定重点管控对象</w:t>
            </w:r>
          </w:p>
        </w:tc>
        <w:tc>
          <w:tcPr>
            <w:tcW w:w="2968" w:type="dxa"/>
            <w:tcBorders>
              <w:top w:val="nil"/>
              <w:left w:val="nil"/>
              <w:bottom w:val="nil"/>
              <w:right w:val="nil"/>
              <w:insideH w:val="nil"/>
              <w:insideV w:val="nil"/>
            </w:tcBorders>
            <w:vAlign w:val="center"/>
          </w:tcPr>
          <w:p w14:paraId="194618E9">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用于第三章和第四章分级管理</w:t>
            </w:r>
          </w:p>
        </w:tc>
      </w:tr>
      <w:tr w14:paraId="408E21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80" w:type="dxa"/>
            <w:tcBorders>
              <w:top w:val="nil"/>
              <w:left w:val="nil"/>
              <w:bottom w:val="nil"/>
              <w:right w:val="nil"/>
              <w:insideH w:val="nil"/>
              <w:insideV w:val="nil"/>
            </w:tcBorders>
            <w:vAlign w:val="center"/>
          </w:tcPr>
          <w:p w14:paraId="1132FFA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作业风险分析(JSA)</w:t>
            </w:r>
          </w:p>
        </w:tc>
        <w:tc>
          <w:tcPr>
            <w:tcW w:w="2545" w:type="dxa"/>
            <w:tcBorders>
              <w:top w:val="nil"/>
              <w:left w:val="nil"/>
              <w:bottom w:val="nil"/>
              <w:right w:val="nil"/>
              <w:insideH w:val="nil"/>
              <w:insideV w:val="nil"/>
            </w:tcBorders>
            <w:vAlign w:val="center"/>
          </w:tcPr>
          <w:p w14:paraId="6C86792A">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高风险作业前控制</w:t>
            </w:r>
          </w:p>
        </w:tc>
        <w:tc>
          <w:tcPr>
            <w:tcW w:w="2122" w:type="dxa"/>
            <w:tcBorders>
              <w:top w:val="nil"/>
              <w:left w:val="nil"/>
              <w:bottom w:val="nil"/>
              <w:right w:val="nil"/>
              <w:insideH w:val="nil"/>
              <w:insideV w:val="nil"/>
            </w:tcBorders>
            <w:vAlign w:val="center"/>
          </w:tcPr>
          <w:p w14:paraId="7DE335BE">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逐步骤识别危险源</w:t>
            </w:r>
          </w:p>
        </w:tc>
        <w:tc>
          <w:tcPr>
            <w:tcW w:w="2968" w:type="dxa"/>
            <w:tcBorders>
              <w:top w:val="nil"/>
              <w:left w:val="nil"/>
              <w:bottom w:val="nil"/>
              <w:right w:val="nil"/>
              <w:insideH w:val="nil"/>
              <w:insideV w:val="nil"/>
            </w:tcBorders>
            <w:vAlign w:val="center"/>
          </w:tcPr>
          <w:p w14:paraId="1091B309">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用于第四章流程优化建议</w:t>
            </w:r>
          </w:p>
        </w:tc>
      </w:tr>
      <w:tr w14:paraId="4A1D8B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80" w:type="dxa"/>
            <w:tcBorders>
              <w:top w:val="nil"/>
              <w:left w:val="nil"/>
              <w:bottom w:val="nil"/>
              <w:right w:val="nil"/>
              <w:insideH w:val="nil"/>
              <w:insideV w:val="nil"/>
            </w:tcBorders>
            <w:vAlign w:val="center"/>
          </w:tcPr>
          <w:p w14:paraId="279DC0C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PDCA循环</w:t>
            </w:r>
          </w:p>
        </w:tc>
        <w:tc>
          <w:tcPr>
            <w:tcW w:w="2545" w:type="dxa"/>
            <w:tcBorders>
              <w:top w:val="nil"/>
              <w:left w:val="nil"/>
              <w:bottom w:val="nil"/>
              <w:right w:val="nil"/>
              <w:insideH w:val="nil"/>
              <w:insideV w:val="nil"/>
            </w:tcBorders>
            <w:vAlign w:val="center"/>
          </w:tcPr>
          <w:p w14:paraId="69F98528">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制度执行与长效改进</w:t>
            </w:r>
          </w:p>
        </w:tc>
        <w:tc>
          <w:tcPr>
            <w:tcW w:w="2122" w:type="dxa"/>
            <w:tcBorders>
              <w:top w:val="nil"/>
              <w:left w:val="nil"/>
              <w:bottom w:val="nil"/>
              <w:right w:val="nil"/>
              <w:insideH w:val="nil"/>
              <w:insideV w:val="nil"/>
            </w:tcBorders>
            <w:vAlign w:val="center"/>
          </w:tcPr>
          <w:p w14:paraId="24763AD5">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形成复查与反馈</w:t>
            </w:r>
          </w:p>
        </w:tc>
        <w:tc>
          <w:tcPr>
            <w:tcW w:w="2968" w:type="dxa"/>
            <w:tcBorders>
              <w:top w:val="nil"/>
              <w:left w:val="nil"/>
              <w:bottom w:val="nil"/>
              <w:right w:val="nil"/>
              <w:insideH w:val="nil"/>
              <w:insideV w:val="nil"/>
            </w:tcBorders>
            <w:vAlign w:val="center"/>
          </w:tcPr>
          <w:p w14:paraId="66BBB50C">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用于第四章整改与复盘机制</w:t>
            </w:r>
          </w:p>
        </w:tc>
      </w:tr>
      <w:tr w14:paraId="062A46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80" w:type="dxa"/>
            <w:tcBorders>
              <w:top w:val="nil"/>
              <w:left w:val="nil"/>
              <w:bottom w:val="single" w:color="auto" w:sz="12" w:space="0"/>
              <w:right w:val="nil"/>
              <w:insideH w:val="nil"/>
              <w:insideV w:val="nil"/>
            </w:tcBorders>
            <w:vAlign w:val="center"/>
          </w:tcPr>
          <w:p w14:paraId="6A9041B3">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检查表法</w:t>
            </w:r>
          </w:p>
        </w:tc>
        <w:tc>
          <w:tcPr>
            <w:tcW w:w="2545" w:type="dxa"/>
            <w:tcBorders>
              <w:top w:val="nil"/>
              <w:left w:val="nil"/>
              <w:bottom w:val="single" w:color="auto" w:sz="12" w:space="0"/>
              <w:right w:val="nil"/>
              <w:insideH w:val="nil"/>
              <w:insideV w:val="nil"/>
            </w:tcBorders>
            <w:vAlign w:val="center"/>
          </w:tcPr>
          <w:p w14:paraId="3B35533C">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日常巡查、专项检查</w:t>
            </w:r>
          </w:p>
        </w:tc>
        <w:tc>
          <w:tcPr>
            <w:tcW w:w="2122" w:type="dxa"/>
            <w:tcBorders>
              <w:top w:val="nil"/>
              <w:left w:val="nil"/>
              <w:bottom w:val="single" w:color="auto" w:sz="12" w:space="0"/>
              <w:right w:val="nil"/>
              <w:insideH w:val="nil"/>
              <w:insideV w:val="nil"/>
            </w:tcBorders>
            <w:vAlign w:val="center"/>
          </w:tcPr>
          <w:p w14:paraId="07C6EB29">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提高检查标准化程度</w:t>
            </w:r>
          </w:p>
        </w:tc>
        <w:tc>
          <w:tcPr>
            <w:tcW w:w="2968" w:type="dxa"/>
            <w:tcBorders>
              <w:top w:val="nil"/>
              <w:left w:val="nil"/>
              <w:bottom w:val="single" w:color="auto" w:sz="12" w:space="0"/>
              <w:right w:val="nil"/>
              <w:insideH w:val="nil"/>
              <w:insideV w:val="nil"/>
            </w:tcBorders>
            <w:vAlign w:val="center"/>
          </w:tcPr>
          <w:p w14:paraId="75382682">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用于第四章反馈整改建议</w:t>
            </w:r>
          </w:p>
        </w:tc>
      </w:tr>
    </w:tbl>
    <w:p w14:paraId="1ED71824">
      <w:pPr>
        <w:spacing w:after="0" w:line="360" w:lineRule="auto"/>
        <w:ind w:firstLine="480"/>
        <w:jc w:val="both"/>
        <w:rPr>
          <w:lang w:eastAsia="zh-CN"/>
        </w:rPr>
      </w:pPr>
    </w:p>
    <w:p w14:paraId="3CC5EAB4">
      <w:pPr>
        <w:keepNext/>
        <w:spacing w:after="0" w:line="360" w:lineRule="auto"/>
        <w:ind w:firstLine="480" w:firstLineChars="200"/>
        <w:outlineLvl w:val="1"/>
        <w:rPr>
          <w:lang w:eastAsia="zh-CN"/>
        </w:rPr>
      </w:pPr>
      <w:bookmarkStart w:id="78" w:name="_Toc22131"/>
      <w:bookmarkStart w:id="79" w:name="_Toc9043"/>
      <w:bookmarkStart w:id="80" w:name="_Toc14893"/>
      <w:bookmarkStart w:id="81" w:name="_Toc30538"/>
      <w:r>
        <w:rPr>
          <w:rFonts w:ascii="Times New Roman" w:hAnsi="Times New Roman" w:eastAsia="黑体"/>
          <w:sz w:val="24"/>
          <w:lang w:eastAsia="zh-CN"/>
        </w:rPr>
        <w:t>4.5　评价实施与保障机制</w:t>
      </w:r>
      <w:bookmarkEnd w:id="78"/>
      <w:bookmarkEnd w:id="79"/>
      <w:bookmarkEnd w:id="80"/>
      <w:bookmarkEnd w:id="81"/>
    </w:p>
    <w:p w14:paraId="0FC9DC20">
      <w:pPr>
        <w:spacing w:after="0" w:line="360" w:lineRule="auto"/>
        <w:ind w:firstLine="480"/>
        <w:jc w:val="both"/>
        <w:rPr>
          <w:lang w:eastAsia="zh-CN"/>
        </w:rPr>
      </w:pPr>
      <w:r>
        <w:rPr>
          <w:rFonts w:ascii="Times New Roman" w:hAnsi="Times New Roman" w:eastAsia="宋体" w:cs="Times New Roman"/>
          <w:sz w:val="24"/>
          <w:lang w:eastAsia="zh-CN"/>
        </w:rPr>
        <w:t>优化策略要真正发挥作用，还需要稳定的检查与评价机制。很多实验室并不是不知道该怎么做，而是缺少持续提醒和外部推动，时间一长容易回到原有习惯。因此，建议在现有检查基础上建立月度检查、季度分析和年度评价相结合的运行机制，使检查结果能够转化为后续改进。</w:t>
      </w:r>
    </w:p>
    <w:p w14:paraId="4E0E7E35">
      <w:pPr>
        <w:spacing w:after="0" w:line="360" w:lineRule="auto"/>
        <w:ind w:firstLine="480"/>
        <w:jc w:val="both"/>
        <w:rPr>
          <w:lang w:eastAsia="zh-CN"/>
        </w:rPr>
      </w:pPr>
      <w:r>
        <w:rPr>
          <w:rFonts w:ascii="Times New Roman" w:hAnsi="Times New Roman" w:eastAsia="宋体" w:cs="Times New Roman"/>
          <w:sz w:val="24"/>
          <w:lang w:eastAsia="zh-CN"/>
        </w:rPr>
        <w:t>材料管理应突出分类、标识、台账和追溯。生物实验室材料种类多，必须根据风险类别、保存条件和使用频率进行分区存放，试剂和样本入库时应记录名称、来源、数量、批次、保存条件、责任人和有效期等信息，领用和使用过程中也应及时更新台账，保证账物相符。对低温保存样本和长期保存材料，应定期盘点；发现标签脱落、来源不明、过期失效或无人负责的材料，应按照规定程序处理，避免长期积压。</w:t>
      </w:r>
    </w:p>
    <w:p w14:paraId="1D0C9524">
      <w:pPr>
        <w:spacing w:after="0" w:line="360" w:lineRule="auto"/>
        <w:ind w:firstLine="480"/>
        <w:jc w:val="both"/>
        <w:rPr>
          <w:lang w:eastAsia="zh-CN"/>
        </w:rPr>
      </w:pPr>
      <w:r>
        <w:t>生物废弃物应按照污染程度和处置要求分类收集。实验室应设置清晰标识的容器，明确暂存时间、交接要求和转运记录，确保废弃物处理过程可追踪。检查与评价机制要把这些要求纳入日常核查内容，避免材料管理只在专项检查时集中整改。 月度检查是发现隐患和推动整改的重要抓手，表4-9以示例形式列出检查项目和记录内容，为实验室日常监督提供可操作模板。 安全绩效评价需要兼顾过程和结果，表4-10从培训、设备、材料、隐患、应急和信息化等方面设置指标，为持续改进提供量化参考。</w:t>
      </w:r>
    </w:p>
    <w:p w14:paraId="21A7BC05">
      <w:pPr>
        <w:keepNext/>
        <w:spacing w:before="60" w:after="60" w:line="360" w:lineRule="auto"/>
        <w:jc w:val="center"/>
        <w:rPr>
          <w:lang w:eastAsia="zh-CN"/>
        </w:rPr>
      </w:pPr>
      <w:r>
        <w:rPr>
          <w:rFonts w:ascii="黑体" w:hAnsi="黑体" w:eastAsia="黑体" w:cs="Times New Roman"/>
          <w:sz w:val="21"/>
          <w:szCs w:val="21"/>
          <w:lang w:eastAsia="zh-CN"/>
        </w:rPr>
        <w:t>表4-9 高校生物实验室月度检查表（示例）</w:t>
      </w:r>
    </w:p>
    <w:tbl>
      <w:tblPr>
        <w:tblStyle w:val="36"/>
        <w:tblW w:w="940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6"/>
        <w:gridCol w:w="4066"/>
        <w:gridCol w:w="1891"/>
        <w:gridCol w:w="1681"/>
      </w:tblGrid>
      <w:tr w14:paraId="4A519D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66" w:type="dxa"/>
            <w:tcBorders>
              <w:top w:val="single" w:color="auto" w:sz="12" w:space="0"/>
              <w:left w:val="nil"/>
              <w:bottom w:val="single" w:color="auto" w:sz="4" w:space="0"/>
              <w:right w:val="nil"/>
              <w:insideH w:val="nil"/>
              <w:insideV w:val="nil"/>
            </w:tcBorders>
            <w:vAlign w:val="center"/>
          </w:tcPr>
          <w:p w14:paraId="3AE4D938">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检查项目</w:t>
            </w:r>
          </w:p>
        </w:tc>
        <w:tc>
          <w:tcPr>
            <w:tcW w:w="4066" w:type="dxa"/>
            <w:tcBorders>
              <w:top w:val="single" w:color="auto" w:sz="12" w:space="0"/>
              <w:left w:val="nil"/>
              <w:bottom w:val="single" w:color="auto" w:sz="4" w:space="0"/>
              <w:right w:val="nil"/>
              <w:insideH w:val="nil"/>
              <w:insideV w:val="nil"/>
            </w:tcBorders>
            <w:vAlign w:val="center"/>
          </w:tcPr>
          <w:p w14:paraId="786E052B">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检查要点</w:t>
            </w:r>
          </w:p>
        </w:tc>
        <w:tc>
          <w:tcPr>
            <w:tcW w:w="1891" w:type="dxa"/>
            <w:tcBorders>
              <w:top w:val="single" w:color="auto" w:sz="12" w:space="0"/>
              <w:left w:val="nil"/>
              <w:bottom w:val="single" w:color="auto" w:sz="4" w:space="0"/>
              <w:right w:val="nil"/>
              <w:insideH w:val="nil"/>
              <w:insideV w:val="nil"/>
            </w:tcBorders>
            <w:vAlign w:val="center"/>
          </w:tcPr>
          <w:p w14:paraId="2FC93BEE">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结果记录方式</w:t>
            </w:r>
          </w:p>
        </w:tc>
        <w:tc>
          <w:tcPr>
            <w:tcW w:w="1681" w:type="dxa"/>
            <w:tcBorders>
              <w:top w:val="single" w:color="auto" w:sz="12" w:space="0"/>
              <w:left w:val="nil"/>
              <w:bottom w:val="single" w:color="auto" w:sz="4" w:space="0"/>
              <w:right w:val="nil"/>
              <w:insideH w:val="nil"/>
              <w:insideV w:val="nil"/>
            </w:tcBorders>
            <w:vAlign w:val="center"/>
          </w:tcPr>
          <w:p w14:paraId="560CF64C">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责任主体</w:t>
            </w:r>
          </w:p>
        </w:tc>
      </w:tr>
      <w:tr w14:paraId="170460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66" w:type="dxa"/>
            <w:tcBorders>
              <w:top w:val="single" w:color="auto" w:sz="4" w:space="0"/>
              <w:left w:val="nil"/>
              <w:bottom w:val="nil"/>
              <w:right w:val="nil"/>
              <w:insideH w:val="nil"/>
              <w:insideV w:val="nil"/>
            </w:tcBorders>
            <w:vAlign w:val="center"/>
          </w:tcPr>
          <w:p w14:paraId="3812F8F5">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人员准入与培训</w:t>
            </w:r>
          </w:p>
        </w:tc>
        <w:tc>
          <w:tcPr>
            <w:tcW w:w="4066" w:type="dxa"/>
            <w:tcBorders>
              <w:top w:val="single" w:color="auto" w:sz="4" w:space="0"/>
              <w:left w:val="nil"/>
              <w:bottom w:val="nil"/>
              <w:right w:val="nil"/>
              <w:insideH w:val="nil"/>
              <w:insideV w:val="nil"/>
            </w:tcBorders>
            <w:vAlign w:val="center"/>
          </w:tcPr>
          <w:p w14:paraId="4AE5AC37">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新入组人员是否培训、重点岗位是否授权</w:t>
            </w:r>
          </w:p>
        </w:tc>
        <w:tc>
          <w:tcPr>
            <w:tcW w:w="1891" w:type="dxa"/>
            <w:tcBorders>
              <w:top w:val="single" w:color="auto" w:sz="4" w:space="0"/>
              <w:left w:val="nil"/>
              <w:bottom w:val="nil"/>
              <w:right w:val="nil"/>
              <w:insideH w:val="nil"/>
              <w:insideV w:val="nil"/>
            </w:tcBorders>
            <w:vAlign w:val="center"/>
          </w:tcPr>
          <w:p w14:paraId="680C925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√/×+问题说明</w:t>
            </w:r>
          </w:p>
        </w:tc>
        <w:tc>
          <w:tcPr>
            <w:tcW w:w="1681" w:type="dxa"/>
            <w:tcBorders>
              <w:top w:val="single" w:color="auto" w:sz="4" w:space="0"/>
              <w:left w:val="nil"/>
              <w:bottom w:val="nil"/>
              <w:right w:val="nil"/>
              <w:insideH w:val="nil"/>
              <w:insideV w:val="nil"/>
            </w:tcBorders>
            <w:vAlign w:val="center"/>
          </w:tcPr>
          <w:p w14:paraId="4556338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实验室负责人</w:t>
            </w:r>
          </w:p>
        </w:tc>
      </w:tr>
      <w:tr w14:paraId="725C99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66" w:type="dxa"/>
            <w:tcBorders>
              <w:top w:val="nil"/>
              <w:left w:val="nil"/>
              <w:bottom w:val="nil"/>
              <w:right w:val="nil"/>
              <w:insideH w:val="nil"/>
              <w:insideV w:val="nil"/>
            </w:tcBorders>
            <w:vAlign w:val="center"/>
          </w:tcPr>
          <w:p w14:paraId="1E07EAA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重点设备状态</w:t>
            </w:r>
          </w:p>
        </w:tc>
        <w:tc>
          <w:tcPr>
            <w:tcW w:w="4066" w:type="dxa"/>
            <w:tcBorders>
              <w:top w:val="nil"/>
              <w:left w:val="nil"/>
              <w:bottom w:val="nil"/>
              <w:right w:val="nil"/>
              <w:insideH w:val="nil"/>
              <w:insideV w:val="nil"/>
            </w:tcBorders>
            <w:vAlign w:val="center"/>
          </w:tcPr>
          <w:p w14:paraId="30C1A7C4">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生物安全柜、灭菌锅、离心机是否状态正常</w:t>
            </w:r>
          </w:p>
        </w:tc>
        <w:tc>
          <w:tcPr>
            <w:tcW w:w="1891" w:type="dxa"/>
            <w:tcBorders>
              <w:top w:val="nil"/>
              <w:left w:val="nil"/>
              <w:bottom w:val="nil"/>
              <w:right w:val="nil"/>
              <w:insideH w:val="nil"/>
              <w:insideV w:val="nil"/>
            </w:tcBorders>
            <w:vAlign w:val="center"/>
          </w:tcPr>
          <w:p w14:paraId="104DCC4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台账+现场核查</w:t>
            </w:r>
          </w:p>
        </w:tc>
        <w:tc>
          <w:tcPr>
            <w:tcW w:w="1681" w:type="dxa"/>
            <w:tcBorders>
              <w:top w:val="nil"/>
              <w:left w:val="nil"/>
              <w:bottom w:val="nil"/>
              <w:right w:val="nil"/>
              <w:insideH w:val="nil"/>
              <w:insideV w:val="nil"/>
            </w:tcBorders>
            <w:vAlign w:val="center"/>
          </w:tcPr>
          <w:p w14:paraId="13A314A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设备责任人</w:t>
            </w:r>
          </w:p>
        </w:tc>
      </w:tr>
      <w:tr w14:paraId="131676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66" w:type="dxa"/>
            <w:tcBorders>
              <w:top w:val="nil"/>
              <w:left w:val="nil"/>
              <w:bottom w:val="nil"/>
              <w:right w:val="nil"/>
              <w:insideH w:val="nil"/>
              <w:insideV w:val="nil"/>
            </w:tcBorders>
            <w:vAlign w:val="center"/>
          </w:tcPr>
          <w:p w14:paraId="656CF78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样本与试剂管理</w:t>
            </w:r>
          </w:p>
        </w:tc>
        <w:tc>
          <w:tcPr>
            <w:tcW w:w="4066" w:type="dxa"/>
            <w:tcBorders>
              <w:top w:val="nil"/>
              <w:left w:val="nil"/>
              <w:bottom w:val="nil"/>
              <w:right w:val="nil"/>
              <w:insideH w:val="nil"/>
              <w:insideV w:val="nil"/>
            </w:tcBorders>
            <w:vAlign w:val="center"/>
          </w:tcPr>
          <w:p w14:paraId="206138C9">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标签、台账、分类存放是否符合要求</w:t>
            </w:r>
          </w:p>
        </w:tc>
        <w:tc>
          <w:tcPr>
            <w:tcW w:w="1891" w:type="dxa"/>
            <w:tcBorders>
              <w:top w:val="nil"/>
              <w:left w:val="nil"/>
              <w:bottom w:val="nil"/>
              <w:right w:val="nil"/>
              <w:insideH w:val="nil"/>
              <w:insideV w:val="nil"/>
            </w:tcBorders>
            <w:vAlign w:val="center"/>
          </w:tcPr>
          <w:p w14:paraId="4CCC2DB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抽查记录</w:t>
            </w:r>
          </w:p>
        </w:tc>
        <w:tc>
          <w:tcPr>
            <w:tcW w:w="1681" w:type="dxa"/>
            <w:tcBorders>
              <w:top w:val="nil"/>
              <w:left w:val="nil"/>
              <w:bottom w:val="nil"/>
              <w:right w:val="nil"/>
              <w:insideH w:val="nil"/>
              <w:insideV w:val="nil"/>
            </w:tcBorders>
            <w:vAlign w:val="center"/>
          </w:tcPr>
          <w:p w14:paraId="5002B63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样本责任人</w:t>
            </w:r>
          </w:p>
        </w:tc>
      </w:tr>
      <w:tr w14:paraId="59EEE6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66" w:type="dxa"/>
            <w:tcBorders>
              <w:top w:val="nil"/>
              <w:left w:val="nil"/>
              <w:bottom w:val="nil"/>
              <w:right w:val="nil"/>
              <w:insideH w:val="nil"/>
              <w:insideV w:val="nil"/>
            </w:tcBorders>
            <w:vAlign w:val="center"/>
          </w:tcPr>
          <w:p w14:paraId="5FDBC0C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危废管理</w:t>
            </w:r>
          </w:p>
        </w:tc>
        <w:tc>
          <w:tcPr>
            <w:tcW w:w="4066" w:type="dxa"/>
            <w:tcBorders>
              <w:top w:val="nil"/>
              <w:left w:val="nil"/>
              <w:bottom w:val="nil"/>
              <w:right w:val="nil"/>
              <w:insideH w:val="nil"/>
              <w:insideV w:val="nil"/>
            </w:tcBorders>
            <w:vAlign w:val="center"/>
          </w:tcPr>
          <w:p w14:paraId="0C804640">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分类、包装、暂存、交接是否规范</w:t>
            </w:r>
          </w:p>
        </w:tc>
        <w:tc>
          <w:tcPr>
            <w:tcW w:w="1891" w:type="dxa"/>
            <w:tcBorders>
              <w:top w:val="nil"/>
              <w:left w:val="nil"/>
              <w:bottom w:val="nil"/>
              <w:right w:val="nil"/>
              <w:insideH w:val="nil"/>
              <w:insideV w:val="nil"/>
            </w:tcBorders>
            <w:vAlign w:val="center"/>
          </w:tcPr>
          <w:p w14:paraId="3013CD8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交接单+现场照片</w:t>
            </w:r>
          </w:p>
        </w:tc>
        <w:tc>
          <w:tcPr>
            <w:tcW w:w="1681" w:type="dxa"/>
            <w:tcBorders>
              <w:top w:val="nil"/>
              <w:left w:val="nil"/>
              <w:bottom w:val="nil"/>
              <w:right w:val="nil"/>
              <w:insideH w:val="nil"/>
              <w:insideV w:val="nil"/>
            </w:tcBorders>
            <w:vAlign w:val="center"/>
          </w:tcPr>
          <w:p w14:paraId="02C1A54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管理员</w:t>
            </w:r>
          </w:p>
        </w:tc>
      </w:tr>
      <w:tr w14:paraId="0019B1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66" w:type="dxa"/>
            <w:tcBorders>
              <w:top w:val="nil"/>
              <w:left w:val="nil"/>
              <w:bottom w:val="nil"/>
              <w:right w:val="nil"/>
              <w:insideH w:val="nil"/>
              <w:insideV w:val="nil"/>
            </w:tcBorders>
            <w:vAlign w:val="center"/>
          </w:tcPr>
          <w:p w14:paraId="3D0E3F9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现场环境</w:t>
            </w:r>
          </w:p>
        </w:tc>
        <w:tc>
          <w:tcPr>
            <w:tcW w:w="4066" w:type="dxa"/>
            <w:tcBorders>
              <w:top w:val="nil"/>
              <w:left w:val="nil"/>
              <w:bottom w:val="nil"/>
              <w:right w:val="nil"/>
              <w:insideH w:val="nil"/>
              <w:insideV w:val="nil"/>
            </w:tcBorders>
            <w:vAlign w:val="center"/>
          </w:tcPr>
          <w:p w14:paraId="66AAEC22">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分区、标识、清洁消毒、通道是否良好</w:t>
            </w:r>
          </w:p>
        </w:tc>
        <w:tc>
          <w:tcPr>
            <w:tcW w:w="1891" w:type="dxa"/>
            <w:tcBorders>
              <w:top w:val="nil"/>
              <w:left w:val="nil"/>
              <w:bottom w:val="nil"/>
              <w:right w:val="nil"/>
              <w:insideH w:val="nil"/>
              <w:insideV w:val="nil"/>
            </w:tcBorders>
            <w:vAlign w:val="center"/>
          </w:tcPr>
          <w:p w14:paraId="4631B17D">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现场评分</w:t>
            </w:r>
          </w:p>
        </w:tc>
        <w:tc>
          <w:tcPr>
            <w:tcW w:w="1681" w:type="dxa"/>
            <w:tcBorders>
              <w:top w:val="nil"/>
              <w:left w:val="nil"/>
              <w:bottom w:val="nil"/>
              <w:right w:val="nil"/>
              <w:insideH w:val="nil"/>
              <w:insideV w:val="nil"/>
            </w:tcBorders>
            <w:vAlign w:val="center"/>
          </w:tcPr>
          <w:p w14:paraId="7B72D9C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值班人员</w:t>
            </w:r>
          </w:p>
        </w:tc>
      </w:tr>
      <w:tr w14:paraId="123342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66" w:type="dxa"/>
            <w:tcBorders>
              <w:top w:val="nil"/>
              <w:left w:val="nil"/>
              <w:bottom w:val="nil"/>
              <w:right w:val="nil"/>
              <w:insideH w:val="nil"/>
              <w:insideV w:val="nil"/>
            </w:tcBorders>
            <w:vAlign w:val="center"/>
          </w:tcPr>
          <w:p w14:paraId="74BCB38D">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应急物资与预案</w:t>
            </w:r>
          </w:p>
        </w:tc>
        <w:tc>
          <w:tcPr>
            <w:tcW w:w="4066" w:type="dxa"/>
            <w:tcBorders>
              <w:top w:val="nil"/>
              <w:left w:val="nil"/>
              <w:bottom w:val="nil"/>
              <w:right w:val="nil"/>
              <w:insideH w:val="nil"/>
              <w:insideV w:val="nil"/>
            </w:tcBorders>
            <w:vAlign w:val="center"/>
          </w:tcPr>
          <w:p w14:paraId="06411FD0">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洗眼器、急救箱、流程卡是否完好可用</w:t>
            </w:r>
          </w:p>
        </w:tc>
        <w:tc>
          <w:tcPr>
            <w:tcW w:w="1891" w:type="dxa"/>
            <w:tcBorders>
              <w:top w:val="nil"/>
              <w:left w:val="nil"/>
              <w:bottom w:val="nil"/>
              <w:right w:val="nil"/>
              <w:insideH w:val="nil"/>
              <w:insideV w:val="nil"/>
            </w:tcBorders>
            <w:vAlign w:val="center"/>
          </w:tcPr>
          <w:p w14:paraId="0B6E2BE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抽查记录</w:t>
            </w:r>
          </w:p>
        </w:tc>
        <w:tc>
          <w:tcPr>
            <w:tcW w:w="1681" w:type="dxa"/>
            <w:tcBorders>
              <w:top w:val="nil"/>
              <w:left w:val="nil"/>
              <w:bottom w:val="nil"/>
              <w:right w:val="nil"/>
              <w:insideH w:val="nil"/>
              <w:insideV w:val="nil"/>
            </w:tcBorders>
            <w:vAlign w:val="center"/>
          </w:tcPr>
          <w:p w14:paraId="1C981A3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管理员</w:t>
            </w:r>
          </w:p>
        </w:tc>
      </w:tr>
      <w:tr w14:paraId="198F38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66" w:type="dxa"/>
            <w:tcBorders>
              <w:top w:val="nil"/>
              <w:left w:val="nil"/>
              <w:bottom w:val="single" w:color="auto" w:sz="12" w:space="0"/>
              <w:right w:val="nil"/>
              <w:insideH w:val="nil"/>
              <w:insideV w:val="nil"/>
            </w:tcBorders>
            <w:vAlign w:val="center"/>
          </w:tcPr>
          <w:p w14:paraId="5383108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隐患整改情况</w:t>
            </w:r>
          </w:p>
        </w:tc>
        <w:tc>
          <w:tcPr>
            <w:tcW w:w="4066" w:type="dxa"/>
            <w:tcBorders>
              <w:top w:val="nil"/>
              <w:left w:val="nil"/>
              <w:bottom w:val="single" w:color="auto" w:sz="12" w:space="0"/>
              <w:right w:val="nil"/>
              <w:insideH w:val="nil"/>
              <w:insideV w:val="nil"/>
            </w:tcBorders>
            <w:vAlign w:val="center"/>
          </w:tcPr>
          <w:p w14:paraId="661F2B91">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上月问题是否按期完成整改</w:t>
            </w:r>
          </w:p>
        </w:tc>
        <w:tc>
          <w:tcPr>
            <w:tcW w:w="1891" w:type="dxa"/>
            <w:tcBorders>
              <w:top w:val="nil"/>
              <w:left w:val="nil"/>
              <w:bottom w:val="single" w:color="auto" w:sz="12" w:space="0"/>
              <w:right w:val="nil"/>
              <w:insideH w:val="nil"/>
              <w:insideV w:val="nil"/>
            </w:tcBorders>
            <w:vAlign w:val="center"/>
          </w:tcPr>
          <w:p w14:paraId="54D74FE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复查记录</w:t>
            </w:r>
          </w:p>
        </w:tc>
        <w:tc>
          <w:tcPr>
            <w:tcW w:w="1681" w:type="dxa"/>
            <w:tcBorders>
              <w:top w:val="nil"/>
              <w:left w:val="nil"/>
              <w:bottom w:val="single" w:color="auto" w:sz="12" w:space="0"/>
              <w:right w:val="nil"/>
              <w:insideH w:val="nil"/>
              <w:insideV w:val="nil"/>
            </w:tcBorders>
            <w:vAlign w:val="center"/>
          </w:tcPr>
          <w:p w14:paraId="63218F9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实验室负责人</w:t>
            </w:r>
          </w:p>
        </w:tc>
      </w:tr>
    </w:tbl>
    <w:p w14:paraId="26671A07">
      <w:pPr>
        <w:spacing w:after="0" w:line="360" w:lineRule="auto"/>
        <w:ind w:firstLine="480"/>
        <w:jc w:val="both"/>
      </w:pPr>
    </w:p>
    <w:p w14:paraId="5C5E5250">
      <w:pPr>
        <w:keepNext/>
        <w:spacing w:before="60" w:after="60" w:line="360" w:lineRule="auto"/>
        <w:jc w:val="center"/>
        <w:rPr>
          <w:lang w:eastAsia="zh-CN"/>
        </w:rPr>
      </w:pPr>
      <w:r>
        <w:rPr>
          <w:rFonts w:ascii="黑体" w:hAnsi="黑体" w:eastAsia="黑体" w:cs="Times New Roman"/>
          <w:sz w:val="21"/>
          <w:szCs w:val="21"/>
          <w:lang w:eastAsia="zh-CN"/>
        </w:rPr>
        <w:t>表4-10 高校生物实验室安全绩效评价指标（示例）</w:t>
      </w:r>
    </w:p>
    <w:tbl>
      <w:tblPr>
        <w:tblStyle w:val="36"/>
        <w:tblW w:w="940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8"/>
        <w:gridCol w:w="3751"/>
        <w:gridCol w:w="1753"/>
        <w:gridCol w:w="2632"/>
      </w:tblGrid>
      <w:tr w14:paraId="35DF74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68" w:type="dxa"/>
            <w:tcBorders>
              <w:top w:val="single" w:color="auto" w:sz="12" w:space="0"/>
              <w:left w:val="nil"/>
              <w:bottom w:val="single" w:color="auto" w:sz="4" w:space="0"/>
              <w:right w:val="nil"/>
              <w:insideH w:val="nil"/>
              <w:insideV w:val="nil"/>
            </w:tcBorders>
            <w:vAlign w:val="center"/>
          </w:tcPr>
          <w:p w14:paraId="2988A3C0">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指标类别</w:t>
            </w:r>
          </w:p>
        </w:tc>
        <w:tc>
          <w:tcPr>
            <w:tcW w:w="3751" w:type="dxa"/>
            <w:tcBorders>
              <w:top w:val="single" w:color="auto" w:sz="12" w:space="0"/>
              <w:left w:val="nil"/>
              <w:bottom w:val="single" w:color="auto" w:sz="4" w:space="0"/>
              <w:right w:val="nil"/>
              <w:insideH w:val="nil"/>
              <w:insideV w:val="nil"/>
            </w:tcBorders>
            <w:vAlign w:val="center"/>
          </w:tcPr>
          <w:p w14:paraId="79FECAAC">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指标名称</w:t>
            </w:r>
          </w:p>
        </w:tc>
        <w:tc>
          <w:tcPr>
            <w:tcW w:w="1753" w:type="dxa"/>
            <w:tcBorders>
              <w:top w:val="single" w:color="auto" w:sz="12" w:space="0"/>
              <w:left w:val="nil"/>
              <w:bottom w:val="single" w:color="auto" w:sz="4" w:space="0"/>
              <w:right w:val="nil"/>
              <w:insideH w:val="nil"/>
              <w:insideV w:val="nil"/>
            </w:tcBorders>
            <w:vAlign w:val="center"/>
          </w:tcPr>
          <w:p w14:paraId="3EB22517">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建议说明</w:t>
            </w:r>
          </w:p>
        </w:tc>
        <w:tc>
          <w:tcPr>
            <w:tcW w:w="2632" w:type="dxa"/>
            <w:tcBorders>
              <w:top w:val="single" w:color="auto" w:sz="12" w:space="0"/>
              <w:left w:val="nil"/>
              <w:bottom w:val="single" w:color="auto" w:sz="4" w:space="0"/>
              <w:right w:val="nil"/>
              <w:insideH w:val="nil"/>
              <w:insideV w:val="nil"/>
            </w:tcBorders>
            <w:vAlign w:val="center"/>
          </w:tcPr>
          <w:p w14:paraId="5345BFE4">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评价意义</w:t>
            </w:r>
          </w:p>
        </w:tc>
      </w:tr>
      <w:tr w14:paraId="69402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8" w:type="dxa"/>
            <w:tcBorders>
              <w:top w:val="single" w:color="auto" w:sz="4" w:space="0"/>
              <w:left w:val="nil"/>
              <w:bottom w:val="nil"/>
              <w:right w:val="nil"/>
              <w:insideH w:val="nil"/>
              <w:insideV w:val="nil"/>
            </w:tcBorders>
            <w:vAlign w:val="center"/>
          </w:tcPr>
          <w:p w14:paraId="5878E732">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责任落实</w:t>
            </w:r>
          </w:p>
        </w:tc>
        <w:tc>
          <w:tcPr>
            <w:tcW w:w="3751" w:type="dxa"/>
            <w:tcBorders>
              <w:top w:val="single" w:color="auto" w:sz="4" w:space="0"/>
              <w:left w:val="nil"/>
              <w:bottom w:val="nil"/>
              <w:right w:val="nil"/>
              <w:insideH w:val="nil"/>
              <w:insideV w:val="nil"/>
            </w:tcBorders>
            <w:vAlign w:val="center"/>
          </w:tcPr>
          <w:p w14:paraId="314A44E1">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岗位责任书签订率</w:t>
            </w:r>
          </w:p>
        </w:tc>
        <w:tc>
          <w:tcPr>
            <w:tcW w:w="1753" w:type="dxa"/>
            <w:tcBorders>
              <w:top w:val="single" w:color="auto" w:sz="4" w:space="0"/>
              <w:left w:val="nil"/>
              <w:bottom w:val="nil"/>
              <w:right w:val="nil"/>
              <w:insideH w:val="nil"/>
              <w:insideV w:val="nil"/>
            </w:tcBorders>
            <w:vAlign w:val="center"/>
          </w:tcPr>
          <w:p w14:paraId="09412BCE">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按学年统计</w:t>
            </w:r>
          </w:p>
        </w:tc>
        <w:tc>
          <w:tcPr>
            <w:tcW w:w="2632" w:type="dxa"/>
            <w:tcBorders>
              <w:top w:val="single" w:color="auto" w:sz="4" w:space="0"/>
              <w:left w:val="nil"/>
              <w:bottom w:val="nil"/>
              <w:right w:val="nil"/>
              <w:insideH w:val="nil"/>
              <w:insideV w:val="nil"/>
            </w:tcBorders>
            <w:vAlign w:val="center"/>
          </w:tcPr>
          <w:p w14:paraId="243A3CED">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反映责任体系覆盖情况</w:t>
            </w:r>
          </w:p>
        </w:tc>
      </w:tr>
      <w:tr w14:paraId="61B331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8" w:type="dxa"/>
            <w:tcBorders>
              <w:top w:val="nil"/>
              <w:left w:val="nil"/>
              <w:bottom w:val="nil"/>
              <w:right w:val="nil"/>
              <w:insideH w:val="nil"/>
              <w:insideV w:val="nil"/>
            </w:tcBorders>
            <w:vAlign w:val="center"/>
          </w:tcPr>
          <w:p w14:paraId="5D3F71BD">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培训准入</w:t>
            </w:r>
          </w:p>
        </w:tc>
        <w:tc>
          <w:tcPr>
            <w:tcW w:w="3751" w:type="dxa"/>
            <w:tcBorders>
              <w:top w:val="nil"/>
              <w:left w:val="nil"/>
              <w:bottom w:val="nil"/>
              <w:right w:val="nil"/>
              <w:insideH w:val="nil"/>
              <w:insideV w:val="nil"/>
            </w:tcBorders>
            <w:vAlign w:val="center"/>
          </w:tcPr>
          <w:p w14:paraId="65FB4197">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培训覆盖率/考核通过率</w:t>
            </w:r>
          </w:p>
        </w:tc>
        <w:tc>
          <w:tcPr>
            <w:tcW w:w="1753" w:type="dxa"/>
            <w:tcBorders>
              <w:top w:val="nil"/>
              <w:left w:val="nil"/>
              <w:bottom w:val="nil"/>
              <w:right w:val="nil"/>
              <w:insideH w:val="nil"/>
              <w:insideV w:val="nil"/>
            </w:tcBorders>
            <w:vAlign w:val="center"/>
          </w:tcPr>
          <w:p w14:paraId="73102734">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按学期统计</w:t>
            </w:r>
          </w:p>
        </w:tc>
        <w:tc>
          <w:tcPr>
            <w:tcW w:w="2632" w:type="dxa"/>
            <w:tcBorders>
              <w:top w:val="nil"/>
              <w:left w:val="nil"/>
              <w:bottom w:val="nil"/>
              <w:right w:val="nil"/>
              <w:insideH w:val="nil"/>
              <w:insideV w:val="nil"/>
            </w:tcBorders>
            <w:vAlign w:val="center"/>
          </w:tcPr>
          <w:p w14:paraId="4DBCDE91">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反映人员基础能力</w:t>
            </w:r>
          </w:p>
        </w:tc>
      </w:tr>
      <w:tr w14:paraId="16A523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8" w:type="dxa"/>
            <w:tcBorders>
              <w:top w:val="nil"/>
              <w:left w:val="nil"/>
              <w:bottom w:val="nil"/>
              <w:right w:val="nil"/>
              <w:insideH w:val="nil"/>
              <w:insideV w:val="nil"/>
            </w:tcBorders>
            <w:vAlign w:val="center"/>
          </w:tcPr>
          <w:p w14:paraId="326E7BEC">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设备管理</w:t>
            </w:r>
          </w:p>
        </w:tc>
        <w:tc>
          <w:tcPr>
            <w:tcW w:w="3751" w:type="dxa"/>
            <w:tcBorders>
              <w:top w:val="nil"/>
              <w:left w:val="nil"/>
              <w:bottom w:val="nil"/>
              <w:right w:val="nil"/>
              <w:insideH w:val="nil"/>
              <w:insideV w:val="nil"/>
            </w:tcBorders>
            <w:vAlign w:val="center"/>
          </w:tcPr>
          <w:p w14:paraId="5394D44A">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重点设备检测覆盖率</w:t>
            </w:r>
          </w:p>
        </w:tc>
        <w:tc>
          <w:tcPr>
            <w:tcW w:w="1753" w:type="dxa"/>
            <w:tcBorders>
              <w:top w:val="nil"/>
              <w:left w:val="nil"/>
              <w:bottom w:val="nil"/>
              <w:right w:val="nil"/>
              <w:insideH w:val="nil"/>
              <w:insideV w:val="nil"/>
            </w:tcBorders>
            <w:vAlign w:val="center"/>
          </w:tcPr>
          <w:p w14:paraId="0FA106A2">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按季度统计</w:t>
            </w:r>
          </w:p>
        </w:tc>
        <w:tc>
          <w:tcPr>
            <w:tcW w:w="2632" w:type="dxa"/>
            <w:tcBorders>
              <w:top w:val="nil"/>
              <w:left w:val="nil"/>
              <w:bottom w:val="nil"/>
              <w:right w:val="nil"/>
              <w:insideH w:val="nil"/>
              <w:insideV w:val="nil"/>
            </w:tcBorders>
            <w:vAlign w:val="center"/>
          </w:tcPr>
          <w:p w14:paraId="2F882FF9">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反映设备可靠性</w:t>
            </w:r>
          </w:p>
        </w:tc>
      </w:tr>
      <w:tr w14:paraId="5ECBC8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8" w:type="dxa"/>
            <w:tcBorders>
              <w:top w:val="nil"/>
              <w:left w:val="nil"/>
              <w:bottom w:val="nil"/>
              <w:right w:val="nil"/>
              <w:insideH w:val="nil"/>
              <w:insideV w:val="nil"/>
            </w:tcBorders>
            <w:vAlign w:val="center"/>
          </w:tcPr>
          <w:p w14:paraId="583C6BAC">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材料管理</w:t>
            </w:r>
          </w:p>
        </w:tc>
        <w:tc>
          <w:tcPr>
            <w:tcW w:w="3751" w:type="dxa"/>
            <w:tcBorders>
              <w:top w:val="nil"/>
              <w:left w:val="nil"/>
              <w:bottom w:val="nil"/>
              <w:right w:val="nil"/>
              <w:insideH w:val="nil"/>
              <w:insideV w:val="nil"/>
            </w:tcBorders>
            <w:vAlign w:val="center"/>
          </w:tcPr>
          <w:p w14:paraId="20FB99ED">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危废台账完整率、样本账物一致率</w:t>
            </w:r>
          </w:p>
        </w:tc>
        <w:tc>
          <w:tcPr>
            <w:tcW w:w="1753" w:type="dxa"/>
            <w:tcBorders>
              <w:top w:val="nil"/>
              <w:left w:val="nil"/>
              <w:bottom w:val="nil"/>
              <w:right w:val="nil"/>
              <w:insideH w:val="nil"/>
              <w:insideV w:val="nil"/>
            </w:tcBorders>
            <w:vAlign w:val="center"/>
          </w:tcPr>
          <w:p w14:paraId="6F4CD6E9">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按月抽查</w:t>
            </w:r>
          </w:p>
        </w:tc>
        <w:tc>
          <w:tcPr>
            <w:tcW w:w="2632" w:type="dxa"/>
            <w:tcBorders>
              <w:top w:val="nil"/>
              <w:left w:val="nil"/>
              <w:bottom w:val="nil"/>
              <w:right w:val="nil"/>
              <w:insideH w:val="nil"/>
              <w:insideV w:val="nil"/>
            </w:tcBorders>
            <w:vAlign w:val="center"/>
          </w:tcPr>
          <w:p w14:paraId="71DDA339">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反映追溯能力</w:t>
            </w:r>
          </w:p>
        </w:tc>
      </w:tr>
      <w:tr w14:paraId="7FF261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8" w:type="dxa"/>
            <w:tcBorders>
              <w:top w:val="nil"/>
              <w:left w:val="nil"/>
              <w:bottom w:val="nil"/>
              <w:right w:val="nil"/>
              <w:insideH w:val="nil"/>
              <w:insideV w:val="nil"/>
            </w:tcBorders>
            <w:vAlign w:val="center"/>
          </w:tcPr>
          <w:p w14:paraId="4ACC4E87">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检查整改</w:t>
            </w:r>
          </w:p>
        </w:tc>
        <w:tc>
          <w:tcPr>
            <w:tcW w:w="3751" w:type="dxa"/>
            <w:tcBorders>
              <w:top w:val="nil"/>
              <w:left w:val="nil"/>
              <w:bottom w:val="nil"/>
              <w:right w:val="nil"/>
              <w:insideH w:val="nil"/>
              <w:insideV w:val="nil"/>
            </w:tcBorders>
            <w:vAlign w:val="center"/>
          </w:tcPr>
          <w:p w14:paraId="1AED7081">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隐患按期整改率、重复隐患发生率</w:t>
            </w:r>
          </w:p>
        </w:tc>
        <w:tc>
          <w:tcPr>
            <w:tcW w:w="1753" w:type="dxa"/>
            <w:tcBorders>
              <w:top w:val="nil"/>
              <w:left w:val="nil"/>
              <w:bottom w:val="nil"/>
              <w:right w:val="nil"/>
              <w:insideH w:val="nil"/>
              <w:insideV w:val="nil"/>
            </w:tcBorders>
            <w:vAlign w:val="center"/>
          </w:tcPr>
          <w:p w14:paraId="2201C813">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按月/季度统计</w:t>
            </w:r>
          </w:p>
        </w:tc>
        <w:tc>
          <w:tcPr>
            <w:tcW w:w="2632" w:type="dxa"/>
            <w:tcBorders>
              <w:top w:val="nil"/>
              <w:left w:val="nil"/>
              <w:bottom w:val="nil"/>
              <w:right w:val="nil"/>
              <w:insideH w:val="nil"/>
              <w:insideV w:val="nil"/>
            </w:tcBorders>
            <w:vAlign w:val="center"/>
          </w:tcPr>
          <w:p w14:paraId="3965581F">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反映反馈运行效果</w:t>
            </w:r>
          </w:p>
        </w:tc>
      </w:tr>
      <w:tr w14:paraId="5FEB9F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8" w:type="dxa"/>
            <w:tcBorders>
              <w:top w:val="nil"/>
              <w:left w:val="nil"/>
              <w:bottom w:val="nil"/>
              <w:right w:val="nil"/>
              <w:insideH w:val="nil"/>
              <w:insideV w:val="nil"/>
            </w:tcBorders>
            <w:vAlign w:val="center"/>
          </w:tcPr>
          <w:p w14:paraId="108897E2">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应急管理</w:t>
            </w:r>
          </w:p>
        </w:tc>
        <w:tc>
          <w:tcPr>
            <w:tcW w:w="3751" w:type="dxa"/>
            <w:tcBorders>
              <w:top w:val="nil"/>
              <w:left w:val="nil"/>
              <w:bottom w:val="nil"/>
              <w:right w:val="nil"/>
              <w:insideH w:val="nil"/>
              <w:insideV w:val="nil"/>
            </w:tcBorders>
            <w:vAlign w:val="center"/>
          </w:tcPr>
          <w:p w14:paraId="63377A5D">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演练参与率、应急物资完好率</w:t>
            </w:r>
          </w:p>
        </w:tc>
        <w:tc>
          <w:tcPr>
            <w:tcW w:w="1753" w:type="dxa"/>
            <w:tcBorders>
              <w:top w:val="nil"/>
              <w:left w:val="nil"/>
              <w:bottom w:val="nil"/>
              <w:right w:val="nil"/>
              <w:insideH w:val="nil"/>
              <w:insideV w:val="nil"/>
            </w:tcBorders>
            <w:vAlign w:val="center"/>
          </w:tcPr>
          <w:p w14:paraId="625E23A4">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按学期统计</w:t>
            </w:r>
          </w:p>
        </w:tc>
        <w:tc>
          <w:tcPr>
            <w:tcW w:w="2632" w:type="dxa"/>
            <w:tcBorders>
              <w:top w:val="nil"/>
              <w:left w:val="nil"/>
              <w:bottom w:val="nil"/>
              <w:right w:val="nil"/>
              <w:insideH w:val="nil"/>
              <w:insideV w:val="nil"/>
            </w:tcBorders>
            <w:vAlign w:val="center"/>
          </w:tcPr>
          <w:p w14:paraId="508A2CF5">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反映应急准备水平</w:t>
            </w:r>
          </w:p>
        </w:tc>
      </w:tr>
      <w:tr w14:paraId="2248EC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68" w:type="dxa"/>
            <w:tcBorders>
              <w:top w:val="nil"/>
              <w:left w:val="nil"/>
              <w:bottom w:val="single" w:color="auto" w:sz="12" w:space="0"/>
              <w:right w:val="nil"/>
              <w:insideH w:val="nil"/>
              <w:insideV w:val="nil"/>
            </w:tcBorders>
            <w:vAlign w:val="center"/>
          </w:tcPr>
          <w:p w14:paraId="6D5E4B6B">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文化建设</w:t>
            </w:r>
          </w:p>
        </w:tc>
        <w:tc>
          <w:tcPr>
            <w:tcW w:w="3751" w:type="dxa"/>
            <w:tcBorders>
              <w:top w:val="nil"/>
              <w:left w:val="nil"/>
              <w:bottom w:val="single" w:color="auto" w:sz="12" w:space="0"/>
              <w:right w:val="nil"/>
              <w:insideH w:val="nil"/>
              <w:insideV w:val="nil"/>
            </w:tcBorders>
            <w:vAlign w:val="center"/>
          </w:tcPr>
          <w:p w14:paraId="558040CE">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安全例会开展率、案例学习开展率</w:t>
            </w:r>
          </w:p>
        </w:tc>
        <w:tc>
          <w:tcPr>
            <w:tcW w:w="1753" w:type="dxa"/>
            <w:tcBorders>
              <w:top w:val="nil"/>
              <w:left w:val="nil"/>
              <w:bottom w:val="single" w:color="auto" w:sz="12" w:space="0"/>
              <w:right w:val="nil"/>
              <w:insideH w:val="nil"/>
              <w:insideV w:val="nil"/>
            </w:tcBorders>
            <w:vAlign w:val="center"/>
          </w:tcPr>
          <w:p w14:paraId="3442FF45">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按学期统计</w:t>
            </w:r>
          </w:p>
        </w:tc>
        <w:tc>
          <w:tcPr>
            <w:tcW w:w="2632" w:type="dxa"/>
            <w:tcBorders>
              <w:top w:val="nil"/>
              <w:left w:val="nil"/>
              <w:bottom w:val="single" w:color="auto" w:sz="12" w:space="0"/>
              <w:right w:val="nil"/>
              <w:insideH w:val="nil"/>
              <w:insideV w:val="nil"/>
            </w:tcBorders>
            <w:vAlign w:val="center"/>
          </w:tcPr>
          <w:p w14:paraId="0947CB24">
            <w:pPr>
              <w:snapToGrid w:val="0"/>
              <w:spacing w:after="0" w:line="240" w:lineRule="auto"/>
              <w:ind w:left="0" w:leftChars="0" w:right="0" w:rightChars="0" w:firstLine="0" w:firstLineChars="0"/>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反映安全文化氛围</w:t>
            </w:r>
          </w:p>
        </w:tc>
      </w:tr>
    </w:tbl>
    <w:p w14:paraId="6295D0D2">
      <w:pPr>
        <w:snapToGrid w:val="0"/>
        <w:spacing w:after="0" w:line="240" w:lineRule="auto"/>
        <w:ind w:left="0" w:leftChars="0" w:right="0" w:rightChars="0" w:firstLine="0" w:firstLineChars="0"/>
        <w:jc w:val="left"/>
        <w:rPr>
          <w:rFonts w:ascii="Times New Roman" w:hAnsi="Times New Roman" w:eastAsia="宋体" w:cs="Times New Roman"/>
          <w:sz w:val="21"/>
          <w:szCs w:val="21"/>
          <w:lang w:eastAsia="zh-CN"/>
        </w:rPr>
      </w:pPr>
    </w:p>
    <w:p w14:paraId="43B838EF">
      <w:pPr>
        <w:spacing w:after="0" w:line="360" w:lineRule="auto"/>
        <w:ind w:firstLine="480"/>
        <w:jc w:val="both"/>
        <w:rPr>
          <w:lang w:eastAsia="zh-CN"/>
        </w:rPr>
      </w:pPr>
      <w:r>
        <w:rPr>
          <w:rFonts w:ascii="Times New Roman" w:hAnsi="Times New Roman" w:eastAsia="宋体" w:cs="Times New Roman"/>
          <w:sz w:val="24"/>
          <w:lang w:eastAsia="zh-CN"/>
        </w:rPr>
        <w:t>在高校生物实验室安全管理中，很多问题并不是因为没有制度，而是因为岗位职责描述不够具体。对于学校管理部门、学院负责人、实验室负责人、实验技术人员、教师和学生等不同主体，如果只笼统要求加强安全管理，就容易导致责任交叉、管理空档或者相互推诿。因而，有必要围绕重点岗位建立更具操作性的责任清单，使各类人员清楚知道自己在日常管理、检查整改、异常报告和应急处置中分别承担什么职责。</w:t>
      </w:r>
    </w:p>
    <w:p w14:paraId="0D6CEEBC">
      <w:pPr>
        <w:spacing w:after="0" w:line="360" w:lineRule="auto"/>
        <w:ind w:firstLine="480"/>
        <w:jc w:val="both"/>
        <w:rPr>
          <w:lang w:eastAsia="zh-CN"/>
        </w:rPr>
      </w:pPr>
      <w:r>
        <w:rPr>
          <w:rFonts w:ascii="Times New Roman" w:hAnsi="Times New Roman" w:eastAsia="宋体" w:cs="Times New Roman"/>
          <w:sz w:val="24"/>
          <w:lang w:eastAsia="zh-CN"/>
        </w:rPr>
        <w:t>学校管理部门的职责应突出制度设计、资源保障和监督评价。其重点不在于替代学院和实验室开展具体管理，而在于建立统一标准、协调专项资源、组织校级检查并推动经验共享。学院层面则更接近中间管理者，既要把学校要求细化到专业实验室，又要掌握本院实验室运行状况，对重点实验室和重点问题进行督导。</w:t>
      </w:r>
    </w:p>
    <w:p w14:paraId="270F67D5">
      <w:pPr>
        <w:spacing w:after="0" w:line="360" w:lineRule="auto"/>
        <w:ind w:firstLine="480"/>
        <w:jc w:val="both"/>
        <w:rPr>
          <w:lang w:eastAsia="zh-CN"/>
        </w:rPr>
      </w:pPr>
      <w:r>
        <w:rPr>
          <w:rFonts w:ascii="Times New Roman" w:hAnsi="Times New Roman" w:eastAsia="宋体" w:cs="Times New Roman"/>
          <w:sz w:val="24"/>
          <w:lang w:eastAsia="zh-CN"/>
        </w:rPr>
        <w:t>实验室负责人是实验室安全运行的直接责任人，其职责应覆盖人员准入、设备管理、样本与危废控制、现场秩序和应急预案执行等关键内容。实验技术人员和管理员则要承担更多日常性、支撑性和记录性工作，如设备维护提醒、台账管理、巡查记录、应急物资补充和现场培训指导等。教师和研究生、本科生虽然职位不同，但在各自操作行为和风险报告方面都负有不可替代的主体责任。</w:t>
      </w:r>
    </w:p>
    <w:p w14:paraId="150F1F70">
      <w:pPr>
        <w:spacing w:after="0" w:line="360" w:lineRule="auto"/>
        <w:ind w:firstLine="480"/>
        <w:jc w:val="both"/>
        <w:rPr>
          <w:lang w:eastAsia="zh-CN"/>
        </w:rPr>
      </w:pPr>
      <w:r>
        <w:rPr>
          <w:rFonts w:ascii="Times New Roman" w:hAnsi="Times New Roman" w:eastAsia="宋体" w:cs="Times New Roman"/>
          <w:sz w:val="24"/>
          <w:lang w:eastAsia="zh-CN"/>
        </w:rPr>
        <w:t>从标准化角度看，岗位职责不应只体现在文字描述上，更应配套有相应的工作表单与记录。例如，管理员负责巡检，就应有固定巡检表；设备责任人负责点检，就应有点检记录和异常上报表；样本责任人负责台账，就应有账物一致性核查记录。通过岗位清单与表单配套，责任落实才能真正可记录、可查询、可追溯。</w:t>
      </w:r>
    </w:p>
    <w:p w14:paraId="0035C2FD">
      <w:pPr>
        <w:spacing w:after="0" w:line="360" w:lineRule="auto"/>
        <w:ind w:firstLine="480"/>
        <w:jc w:val="both"/>
        <w:rPr>
          <w:lang w:eastAsia="zh-CN"/>
        </w:rPr>
      </w:pPr>
      <w:r>
        <w:t>岗位责任标准化的另一个价值，在于便于开展培训和考核。对不同岗位建立差异化要求后，学校和学院可以有针对性地安排培训内容，并在检查时依据岗位职责进行评价。这不仅有利于提高管理的针对性，也能减少统一化式检查带来的形式化问题。 责任落实应具体到岗位和任务，表4-11对实验室负责人、管理员、教师、设备责任人和实验人员等岗位职责进行梳理，减少责任边界不清的问题。</w:t>
      </w:r>
    </w:p>
    <w:p w14:paraId="29861956">
      <w:pPr>
        <w:keepNext/>
        <w:spacing w:before="60" w:after="60" w:line="360" w:lineRule="auto"/>
        <w:jc w:val="center"/>
        <w:rPr>
          <w:lang w:eastAsia="zh-CN"/>
        </w:rPr>
      </w:pPr>
      <w:r>
        <w:rPr>
          <w:rFonts w:ascii="黑体" w:hAnsi="黑体" w:eastAsia="黑体" w:cs="Times New Roman"/>
          <w:sz w:val="21"/>
          <w:szCs w:val="21"/>
          <w:lang w:eastAsia="zh-CN"/>
        </w:rPr>
        <w:t>表4-11 高校生物实验室重点岗位职责清单（示例）</w:t>
      </w:r>
    </w:p>
    <w:tbl>
      <w:tblPr>
        <w:tblStyle w:val="36"/>
        <w:tblW w:w="940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8"/>
        <w:gridCol w:w="3350"/>
        <w:gridCol w:w="2333"/>
        <w:gridCol w:w="2074"/>
      </w:tblGrid>
      <w:tr w14:paraId="239542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648" w:type="dxa"/>
            <w:tcBorders>
              <w:top w:val="single" w:color="auto" w:sz="12" w:space="0"/>
              <w:left w:val="nil"/>
              <w:bottom w:val="single" w:color="auto" w:sz="4" w:space="0"/>
              <w:right w:val="nil"/>
              <w:insideH w:val="nil"/>
              <w:insideV w:val="nil"/>
            </w:tcBorders>
            <w:vAlign w:val="center"/>
          </w:tcPr>
          <w:p w14:paraId="1886BF47">
            <w:pPr>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岗位主体</w:t>
            </w:r>
          </w:p>
        </w:tc>
        <w:tc>
          <w:tcPr>
            <w:tcW w:w="3350" w:type="dxa"/>
            <w:tcBorders>
              <w:top w:val="single" w:color="auto" w:sz="12" w:space="0"/>
              <w:left w:val="nil"/>
              <w:bottom w:val="single" w:color="auto" w:sz="4" w:space="0"/>
              <w:right w:val="nil"/>
              <w:insideH w:val="nil"/>
              <w:insideV w:val="nil"/>
            </w:tcBorders>
            <w:vAlign w:val="center"/>
          </w:tcPr>
          <w:p w14:paraId="0464D027">
            <w:pPr>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核心职责</w:t>
            </w:r>
          </w:p>
        </w:tc>
        <w:tc>
          <w:tcPr>
            <w:tcW w:w="2333" w:type="dxa"/>
            <w:tcBorders>
              <w:top w:val="single" w:color="auto" w:sz="12" w:space="0"/>
              <w:left w:val="nil"/>
              <w:bottom w:val="single" w:color="auto" w:sz="4" w:space="0"/>
              <w:right w:val="nil"/>
              <w:insideH w:val="nil"/>
              <w:insideV w:val="nil"/>
            </w:tcBorders>
            <w:vAlign w:val="center"/>
          </w:tcPr>
          <w:p w14:paraId="2A9214FA">
            <w:pPr>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重点记录/表单</w:t>
            </w:r>
          </w:p>
        </w:tc>
        <w:tc>
          <w:tcPr>
            <w:tcW w:w="2074" w:type="dxa"/>
            <w:tcBorders>
              <w:top w:val="single" w:color="auto" w:sz="12" w:space="0"/>
              <w:left w:val="nil"/>
              <w:bottom w:val="single" w:color="auto" w:sz="4" w:space="0"/>
              <w:right w:val="nil"/>
              <w:insideH w:val="nil"/>
              <w:insideV w:val="nil"/>
            </w:tcBorders>
            <w:vAlign w:val="center"/>
          </w:tcPr>
          <w:p w14:paraId="413B8620">
            <w:pPr>
              <w:snapToGrid w:val="0"/>
              <w:spacing w:after="0" w:line="240" w:lineRule="auto"/>
              <w:ind w:left="0" w:leftChars="0" w:right="0" w:rightChars="0" w:firstLine="0" w:firstLineChars="0"/>
              <w:jc w:val="center"/>
              <w:rPr>
                <w:rFonts w:ascii="Times New Roman" w:eastAsia="宋体"/>
                <w:b w:val="0"/>
                <w:bCs w:val="0"/>
                <w:sz w:val="21"/>
              </w:rPr>
            </w:pPr>
            <w:r>
              <w:rPr>
                <w:rFonts w:ascii="Times New Roman" w:hAnsi="Times New Roman" w:eastAsia="宋体" w:cs="Times New Roman"/>
                <w:b w:val="0"/>
                <w:bCs w:val="0"/>
                <w:sz w:val="21"/>
                <w:szCs w:val="21"/>
              </w:rPr>
              <w:t>考核关注点</w:t>
            </w:r>
          </w:p>
        </w:tc>
      </w:tr>
      <w:tr w14:paraId="15813E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8" w:type="dxa"/>
            <w:tcBorders>
              <w:top w:val="single" w:color="auto" w:sz="4" w:space="0"/>
              <w:left w:val="nil"/>
              <w:bottom w:val="nil"/>
              <w:right w:val="nil"/>
              <w:insideH w:val="nil"/>
              <w:insideV w:val="nil"/>
            </w:tcBorders>
            <w:vAlign w:val="center"/>
          </w:tcPr>
          <w:p w14:paraId="3017CBC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学校实验室管理部门</w:t>
            </w:r>
          </w:p>
        </w:tc>
        <w:tc>
          <w:tcPr>
            <w:tcW w:w="3350" w:type="dxa"/>
            <w:tcBorders>
              <w:top w:val="single" w:color="auto" w:sz="4" w:space="0"/>
              <w:left w:val="nil"/>
              <w:bottom w:val="nil"/>
              <w:right w:val="nil"/>
              <w:insideH w:val="nil"/>
              <w:insideV w:val="nil"/>
            </w:tcBorders>
            <w:vAlign w:val="center"/>
          </w:tcPr>
          <w:p w14:paraId="1BF16391">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制定制度标准、组织培训和专项检查、配置资源</w:t>
            </w:r>
          </w:p>
        </w:tc>
        <w:tc>
          <w:tcPr>
            <w:tcW w:w="2333" w:type="dxa"/>
            <w:tcBorders>
              <w:top w:val="single" w:color="auto" w:sz="4" w:space="0"/>
              <w:left w:val="nil"/>
              <w:bottom w:val="nil"/>
              <w:right w:val="nil"/>
              <w:insideH w:val="nil"/>
              <w:insideV w:val="nil"/>
            </w:tcBorders>
            <w:vAlign w:val="center"/>
          </w:tcPr>
          <w:p w14:paraId="16857617">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制度文件、检查通报、培训计划</w:t>
            </w:r>
          </w:p>
        </w:tc>
        <w:tc>
          <w:tcPr>
            <w:tcW w:w="2074" w:type="dxa"/>
            <w:tcBorders>
              <w:top w:val="single" w:color="auto" w:sz="4" w:space="0"/>
              <w:left w:val="nil"/>
              <w:bottom w:val="nil"/>
              <w:right w:val="nil"/>
              <w:insideH w:val="nil"/>
              <w:insideV w:val="nil"/>
            </w:tcBorders>
            <w:vAlign w:val="center"/>
          </w:tcPr>
          <w:p w14:paraId="190FFD9D">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制度覆盖率、检查推动效果</w:t>
            </w:r>
          </w:p>
        </w:tc>
      </w:tr>
      <w:tr w14:paraId="736F2B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8" w:type="dxa"/>
            <w:tcBorders>
              <w:top w:val="nil"/>
              <w:left w:val="nil"/>
              <w:bottom w:val="nil"/>
              <w:right w:val="nil"/>
              <w:insideH w:val="nil"/>
              <w:insideV w:val="nil"/>
            </w:tcBorders>
            <w:vAlign w:val="center"/>
          </w:tcPr>
          <w:p w14:paraId="1A527B3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学院负责人/实验中心</w:t>
            </w:r>
          </w:p>
        </w:tc>
        <w:tc>
          <w:tcPr>
            <w:tcW w:w="3350" w:type="dxa"/>
            <w:tcBorders>
              <w:top w:val="nil"/>
              <w:left w:val="nil"/>
              <w:bottom w:val="nil"/>
              <w:right w:val="nil"/>
              <w:insideH w:val="nil"/>
              <w:insideV w:val="nil"/>
            </w:tcBorders>
            <w:vAlign w:val="center"/>
          </w:tcPr>
          <w:p w14:paraId="694CB5EE">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细化制度、督导整改、协调专业资源</w:t>
            </w:r>
          </w:p>
        </w:tc>
        <w:tc>
          <w:tcPr>
            <w:tcW w:w="2333" w:type="dxa"/>
            <w:tcBorders>
              <w:top w:val="nil"/>
              <w:left w:val="nil"/>
              <w:bottom w:val="nil"/>
              <w:right w:val="nil"/>
              <w:insideH w:val="nil"/>
              <w:insideV w:val="nil"/>
            </w:tcBorders>
            <w:vAlign w:val="center"/>
          </w:tcPr>
          <w:p w14:paraId="3EEC4EF7">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院级细则、整改台账、督导记录</w:t>
            </w:r>
          </w:p>
        </w:tc>
        <w:tc>
          <w:tcPr>
            <w:tcW w:w="2074" w:type="dxa"/>
            <w:tcBorders>
              <w:top w:val="nil"/>
              <w:left w:val="nil"/>
              <w:bottom w:val="nil"/>
              <w:right w:val="nil"/>
              <w:insideH w:val="nil"/>
              <w:insideV w:val="nil"/>
            </w:tcBorders>
            <w:vAlign w:val="center"/>
          </w:tcPr>
          <w:p w14:paraId="0A9E3BF7">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问题实验室整改完成情况</w:t>
            </w:r>
          </w:p>
        </w:tc>
      </w:tr>
      <w:tr w14:paraId="3E6713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8" w:type="dxa"/>
            <w:tcBorders>
              <w:top w:val="nil"/>
              <w:left w:val="nil"/>
              <w:bottom w:val="nil"/>
              <w:right w:val="nil"/>
              <w:insideH w:val="nil"/>
              <w:insideV w:val="nil"/>
            </w:tcBorders>
            <w:vAlign w:val="center"/>
          </w:tcPr>
          <w:p w14:paraId="0ADA284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实验室负责人</w:t>
            </w:r>
          </w:p>
        </w:tc>
        <w:tc>
          <w:tcPr>
            <w:tcW w:w="3350" w:type="dxa"/>
            <w:tcBorders>
              <w:top w:val="nil"/>
              <w:left w:val="nil"/>
              <w:bottom w:val="nil"/>
              <w:right w:val="nil"/>
              <w:insideH w:val="nil"/>
              <w:insideV w:val="nil"/>
            </w:tcBorders>
            <w:vAlign w:val="center"/>
          </w:tcPr>
          <w:p w14:paraId="6E47643C">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人员准入、设备与样本管理、应急预案落实</w:t>
            </w:r>
          </w:p>
        </w:tc>
        <w:tc>
          <w:tcPr>
            <w:tcW w:w="2333" w:type="dxa"/>
            <w:tcBorders>
              <w:top w:val="nil"/>
              <w:left w:val="nil"/>
              <w:bottom w:val="nil"/>
              <w:right w:val="nil"/>
              <w:insideH w:val="nil"/>
              <w:insideV w:val="nil"/>
            </w:tcBorders>
            <w:vAlign w:val="center"/>
          </w:tcPr>
          <w:p w14:paraId="43DD4017">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责任书、准入清单、风险清单</w:t>
            </w:r>
          </w:p>
        </w:tc>
        <w:tc>
          <w:tcPr>
            <w:tcW w:w="2074" w:type="dxa"/>
            <w:tcBorders>
              <w:top w:val="nil"/>
              <w:left w:val="nil"/>
              <w:bottom w:val="nil"/>
              <w:right w:val="nil"/>
              <w:insideH w:val="nil"/>
              <w:insideV w:val="nil"/>
            </w:tcBorders>
            <w:vAlign w:val="center"/>
          </w:tcPr>
          <w:p w14:paraId="19F09A95">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责任落实和重大隐患管理</w:t>
            </w:r>
          </w:p>
        </w:tc>
      </w:tr>
      <w:tr w14:paraId="23C376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8" w:type="dxa"/>
            <w:tcBorders>
              <w:top w:val="nil"/>
              <w:left w:val="nil"/>
              <w:bottom w:val="nil"/>
              <w:right w:val="nil"/>
              <w:insideH w:val="nil"/>
              <w:insideV w:val="nil"/>
            </w:tcBorders>
            <w:vAlign w:val="center"/>
          </w:tcPr>
          <w:p w14:paraId="1350F52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实验技术人员/管理员</w:t>
            </w:r>
          </w:p>
        </w:tc>
        <w:tc>
          <w:tcPr>
            <w:tcW w:w="3350" w:type="dxa"/>
            <w:tcBorders>
              <w:top w:val="nil"/>
              <w:left w:val="nil"/>
              <w:bottom w:val="nil"/>
              <w:right w:val="nil"/>
              <w:insideH w:val="nil"/>
              <w:insideV w:val="nil"/>
            </w:tcBorders>
            <w:vAlign w:val="center"/>
          </w:tcPr>
          <w:p w14:paraId="23D92F83">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巡检、台账、物资补充、培训指导</w:t>
            </w:r>
          </w:p>
        </w:tc>
        <w:tc>
          <w:tcPr>
            <w:tcW w:w="2333" w:type="dxa"/>
            <w:tcBorders>
              <w:top w:val="nil"/>
              <w:left w:val="nil"/>
              <w:bottom w:val="nil"/>
              <w:right w:val="nil"/>
              <w:insideH w:val="nil"/>
              <w:insideV w:val="nil"/>
            </w:tcBorders>
            <w:vAlign w:val="center"/>
          </w:tcPr>
          <w:p w14:paraId="5E00685D">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巡检表、设备台账、危废交接单</w:t>
            </w:r>
          </w:p>
        </w:tc>
        <w:tc>
          <w:tcPr>
            <w:tcW w:w="2074" w:type="dxa"/>
            <w:tcBorders>
              <w:top w:val="nil"/>
              <w:left w:val="nil"/>
              <w:bottom w:val="nil"/>
              <w:right w:val="nil"/>
              <w:insideH w:val="nil"/>
              <w:insideV w:val="nil"/>
            </w:tcBorders>
            <w:vAlign w:val="center"/>
          </w:tcPr>
          <w:p w14:paraId="50B0A55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日常运行维护质量</w:t>
            </w:r>
          </w:p>
        </w:tc>
      </w:tr>
      <w:tr w14:paraId="1DD4A9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8" w:type="dxa"/>
            <w:tcBorders>
              <w:top w:val="nil"/>
              <w:left w:val="nil"/>
              <w:bottom w:val="nil"/>
              <w:right w:val="nil"/>
              <w:insideH w:val="nil"/>
              <w:insideV w:val="nil"/>
            </w:tcBorders>
            <w:vAlign w:val="center"/>
          </w:tcPr>
          <w:p w14:paraId="1CB0CCB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设备责任人</w:t>
            </w:r>
          </w:p>
        </w:tc>
        <w:tc>
          <w:tcPr>
            <w:tcW w:w="3350" w:type="dxa"/>
            <w:tcBorders>
              <w:top w:val="nil"/>
              <w:left w:val="nil"/>
              <w:bottom w:val="nil"/>
              <w:right w:val="nil"/>
              <w:insideH w:val="nil"/>
              <w:insideV w:val="nil"/>
            </w:tcBorders>
            <w:vAlign w:val="center"/>
          </w:tcPr>
          <w:p w14:paraId="45AB790D">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设备状态检查、维护提醒、故障停用和上报</w:t>
            </w:r>
          </w:p>
        </w:tc>
        <w:tc>
          <w:tcPr>
            <w:tcW w:w="2333" w:type="dxa"/>
            <w:tcBorders>
              <w:top w:val="nil"/>
              <w:left w:val="nil"/>
              <w:bottom w:val="nil"/>
              <w:right w:val="nil"/>
              <w:insideH w:val="nil"/>
              <w:insideV w:val="nil"/>
            </w:tcBorders>
            <w:vAlign w:val="center"/>
          </w:tcPr>
          <w:p w14:paraId="5E4FD45E">
            <w:pPr>
              <w:snapToGrid w:val="0"/>
              <w:spacing w:after="0" w:line="240" w:lineRule="auto"/>
              <w:ind w:left="0" w:leftChars="0" w:right="0" w:rightChars="0" w:firstLine="0" w:firstLineChars="0"/>
              <w:jc w:val="center"/>
              <w:rPr>
                <w:rFonts w:ascii="Times New Roman" w:eastAsia="宋体"/>
                <w:sz w:val="21"/>
                <w:lang w:eastAsia="zh-CN"/>
              </w:rPr>
            </w:pPr>
            <w:r>
              <w:rPr>
                <w:rFonts w:ascii="Times New Roman" w:hAnsi="Times New Roman" w:eastAsia="宋体" w:cs="Times New Roman"/>
                <w:sz w:val="21"/>
                <w:szCs w:val="21"/>
                <w:lang w:eastAsia="zh-CN"/>
              </w:rPr>
              <w:t>点检表、维护记录、故障单</w:t>
            </w:r>
          </w:p>
        </w:tc>
        <w:tc>
          <w:tcPr>
            <w:tcW w:w="2074" w:type="dxa"/>
            <w:tcBorders>
              <w:top w:val="nil"/>
              <w:left w:val="nil"/>
              <w:bottom w:val="nil"/>
              <w:right w:val="nil"/>
              <w:insideH w:val="nil"/>
              <w:insideV w:val="nil"/>
            </w:tcBorders>
            <w:vAlign w:val="center"/>
          </w:tcPr>
          <w:p w14:paraId="37930286">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设备可靠性与记录完整性</w:t>
            </w:r>
          </w:p>
        </w:tc>
      </w:tr>
      <w:tr w14:paraId="270782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8" w:type="dxa"/>
            <w:tcBorders>
              <w:top w:val="nil"/>
              <w:left w:val="nil"/>
              <w:bottom w:val="nil"/>
              <w:right w:val="nil"/>
              <w:insideH w:val="nil"/>
              <w:insideV w:val="nil"/>
            </w:tcBorders>
            <w:vAlign w:val="center"/>
          </w:tcPr>
          <w:p w14:paraId="02772650">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样本责任人</w:t>
            </w:r>
          </w:p>
        </w:tc>
        <w:tc>
          <w:tcPr>
            <w:tcW w:w="3350" w:type="dxa"/>
            <w:tcBorders>
              <w:top w:val="nil"/>
              <w:left w:val="nil"/>
              <w:bottom w:val="nil"/>
              <w:right w:val="nil"/>
              <w:insideH w:val="nil"/>
              <w:insideV w:val="nil"/>
            </w:tcBorders>
            <w:vAlign w:val="center"/>
          </w:tcPr>
          <w:p w14:paraId="30056EE1">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样本分类、标签、账物一致核查</w:t>
            </w:r>
          </w:p>
        </w:tc>
        <w:tc>
          <w:tcPr>
            <w:tcW w:w="2333" w:type="dxa"/>
            <w:tcBorders>
              <w:top w:val="nil"/>
              <w:left w:val="nil"/>
              <w:bottom w:val="nil"/>
              <w:right w:val="nil"/>
              <w:insideH w:val="nil"/>
              <w:insideV w:val="nil"/>
            </w:tcBorders>
            <w:vAlign w:val="center"/>
          </w:tcPr>
          <w:p w14:paraId="5B7B80D6">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样本台账、盘点记录</w:t>
            </w:r>
          </w:p>
        </w:tc>
        <w:tc>
          <w:tcPr>
            <w:tcW w:w="2074" w:type="dxa"/>
            <w:tcBorders>
              <w:top w:val="nil"/>
              <w:left w:val="nil"/>
              <w:bottom w:val="nil"/>
              <w:right w:val="nil"/>
              <w:insideH w:val="nil"/>
              <w:insideV w:val="nil"/>
            </w:tcBorders>
            <w:vAlign w:val="center"/>
          </w:tcPr>
          <w:p w14:paraId="2C0A6D15">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样本可追溯性</w:t>
            </w:r>
          </w:p>
        </w:tc>
      </w:tr>
      <w:tr w14:paraId="2E489D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8" w:type="dxa"/>
            <w:tcBorders>
              <w:top w:val="nil"/>
              <w:left w:val="nil"/>
              <w:bottom w:val="nil"/>
              <w:right w:val="nil"/>
              <w:insideH w:val="nil"/>
              <w:insideV w:val="nil"/>
            </w:tcBorders>
            <w:vAlign w:val="center"/>
          </w:tcPr>
          <w:p w14:paraId="661B4BA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危废责任人</w:t>
            </w:r>
          </w:p>
        </w:tc>
        <w:tc>
          <w:tcPr>
            <w:tcW w:w="3350" w:type="dxa"/>
            <w:tcBorders>
              <w:top w:val="nil"/>
              <w:left w:val="nil"/>
              <w:bottom w:val="nil"/>
              <w:right w:val="nil"/>
              <w:insideH w:val="nil"/>
              <w:insideV w:val="nil"/>
            </w:tcBorders>
            <w:vAlign w:val="center"/>
          </w:tcPr>
          <w:p w14:paraId="40330191">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分类收集、暂存、交接和转运联系</w:t>
            </w:r>
          </w:p>
        </w:tc>
        <w:tc>
          <w:tcPr>
            <w:tcW w:w="2333" w:type="dxa"/>
            <w:tcBorders>
              <w:top w:val="nil"/>
              <w:left w:val="nil"/>
              <w:bottom w:val="nil"/>
              <w:right w:val="nil"/>
              <w:insideH w:val="nil"/>
              <w:insideV w:val="nil"/>
            </w:tcBorders>
            <w:vAlign w:val="center"/>
          </w:tcPr>
          <w:p w14:paraId="7FCFE9B8">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危废台账、交接单</w:t>
            </w:r>
          </w:p>
        </w:tc>
        <w:tc>
          <w:tcPr>
            <w:tcW w:w="2074" w:type="dxa"/>
            <w:tcBorders>
              <w:top w:val="nil"/>
              <w:left w:val="nil"/>
              <w:bottom w:val="nil"/>
              <w:right w:val="nil"/>
              <w:insideH w:val="nil"/>
              <w:insideV w:val="nil"/>
            </w:tcBorders>
            <w:vAlign w:val="center"/>
          </w:tcPr>
          <w:p w14:paraId="66463413">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危废规范处置情况</w:t>
            </w:r>
          </w:p>
        </w:tc>
      </w:tr>
      <w:tr w14:paraId="79F4FF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8" w:type="dxa"/>
            <w:tcBorders>
              <w:top w:val="nil"/>
              <w:left w:val="nil"/>
              <w:bottom w:val="nil"/>
              <w:right w:val="nil"/>
              <w:insideH w:val="nil"/>
              <w:insideV w:val="nil"/>
            </w:tcBorders>
            <w:vAlign w:val="center"/>
          </w:tcPr>
          <w:p w14:paraId="32BD3DD5">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导师/课题组负责人</w:t>
            </w:r>
          </w:p>
        </w:tc>
        <w:tc>
          <w:tcPr>
            <w:tcW w:w="3350" w:type="dxa"/>
            <w:tcBorders>
              <w:top w:val="nil"/>
              <w:left w:val="nil"/>
              <w:bottom w:val="nil"/>
              <w:right w:val="nil"/>
              <w:insideH w:val="nil"/>
              <w:insideV w:val="nil"/>
            </w:tcBorders>
            <w:vAlign w:val="center"/>
          </w:tcPr>
          <w:p w14:paraId="20F9ECDF">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带教、监督学生规范操作、组织案例学习</w:t>
            </w:r>
          </w:p>
        </w:tc>
        <w:tc>
          <w:tcPr>
            <w:tcW w:w="2333" w:type="dxa"/>
            <w:tcBorders>
              <w:top w:val="nil"/>
              <w:left w:val="nil"/>
              <w:bottom w:val="nil"/>
              <w:right w:val="nil"/>
              <w:insideH w:val="nil"/>
              <w:insideV w:val="nil"/>
            </w:tcBorders>
            <w:vAlign w:val="center"/>
          </w:tcPr>
          <w:p w14:paraId="2F00EE58">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带教记录、组会记录</w:t>
            </w:r>
          </w:p>
        </w:tc>
        <w:tc>
          <w:tcPr>
            <w:tcW w:w="2074" w:type="dxa"/>
            <w:tcBorders>
              <w:top w:val="nil"/>
              <w:left w:val="nil"/>
              <w:bottom w:val="nil"/>
              <w:right w:val="nil"/>
              <w:insideH w:val="nil"/>
              <w:insideV w:val="nil"/>
            </w:tcBorders>
            <w:vAlign w:val="center"/>
          </w:tcPr>
          <w:p w14:paraId="51C47CCF">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学生行为规范和组内氛围</w:t>
            </w:r>
          </w:p>
        </w:tc>
      </w:tr>
      <w:tr w14:paraId="7274FD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48" w:type="dxa"/>
            <w:tcBorders>
              <w:top w:val="nil"/>
              <w:left w:val="nil"/>
              <w:bottom w:val="single" w:color="auto" w:sz="12" w:space="0"/>
              <w:right w:val="nil"/>
              <w:insideH w:val="nil"/>
              <w:insideV w:val="nil"/>
            </w:tcBorders>
            <w:vAlign w:val="center"/>
          </w:tcPr>
          <w:p w14:paraId="46E92DC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研究生/本科生</w:t>
            </w:r>
          </w:p>
        </w:tc>
        <w:tc>
          <w:tcPr>
            <w:tcW w:w="3350" w:type="dxa"/>
            <w:tcBorders>
              <w:top w:val="nil"/>
              <w:left w:val="nil"/>
              <w:bottom w:val="single" w:color="auto" w:sz="12" w:space="0"/>
              <w:right w:val="nil"/>
              <w:insideH w:val="nil"/>
              <w:insideV w:val="nil"/>
            </w:tcBorders>
            <w:vAlign w:val="center"/>
          </w:tcPr>
          <w:p w14:paraId="7A8DEA9B">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按规程操作、及时报告异常、保持现场秩序</w:t>
            </w:r>
          </w:p>
        </w:tc>
        <w:tc>
          <w:tcPr>
            <w:tcW w:w="2333" w:type="dxa"/>
            <w:tcBorders>
              <w:top w:val="nil"/>
              <w:left w:val="nil"/>
              <w:bottom w:val="single" w:color="auto" w:sz="12" w:space="0"/>
              <w:right w:val="nil"/>
              <w:insideH w:val="nil"/>
              <w:insideV w:val="nil"/>
            </w:tcBorders>
            <w:vAlign w:val="center"/>
          </w:tcPr>
          <w:p w14:paraId="316E28CE">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实验记录、异常报告</w:t>
            </w:r>
          </w:p>
        </w:tc>
        <w:tc>
          <w:tcPr>
            <w:tcW w:w="2074" w:type="dxa"/>
            <w:tcBorders>
              <w:top w:val="nil"/>
              <w:left w:val="nil"/>
              <w:bottom w:val="single" w:color="auto" w:sz="12" w:space="0"/>
              <w:right w:val="nil"/>
              <w:insideH w:val="nil"/>
              <w:insideV w:val="nil"/>
            </w:tcBorders>
            <w:vAlign w:val="center"/>
          </w:tcPr>
          <w:p w14:paraId="6A204146">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操作合规与报告及时性</w:t>
            </w:r>
          </w:p>
        </w:tc>
      </w:tr>
    </w:tbl>
    <w:p w14:paraId="0D2D5CD6">
      <w:pPr>
        <w:spacing w:after="0" w:line="360" w:lineRule="auto"/>
        <w:ind w:firstLine="480"/>
        <w:jc w:val="both"/>
        <w:rPr>
          <w:lang w:eastAsia="zh-CN"/>
        </w:rPr>
      </w:pPr>
    </w:p>
    <w:p w14:paraId="25D49F63">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关键设备点检是实验室由被动维修转向主动预防的重要手段。很多实验室在设备管理上关注大修和报修，却忽视了使用前后的日常点检，结果往往是等到设备已经出现明显异常时才采取措施。对承担防护功能或维持样本状态的关键设备而言，这种做法风险较大，因为设备异常一旦进入实验过程，后果通常并不限于设备本身，还可能影响实验数据可靠性、样本保存稳定性和人员操作安全。</w:t>
      </w:r>
    </w:p>
    <w:p w14:paraId="5922FAB6">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点检制度设计应明确四项内容：一是对象，即哪些设备必须点检；二是周期，即每次使用前、每日、每周、每月或每季度分别检查什么；三是内容，即点检哪些状态参数；四是责任，即谁检查、谁复核、谁决定停用。生物安全柜、高压灭菌锅、离心机、低温冰箱、培养箱和通风系统等设备，都应纳入重点点检范围。对于使用频率较高或多人共用的设备，还应增加使用登记和异常反馈要求，避免因责任分散导致问题长期无人跟进。</w:t>
      </w:r>
    </w:p>
    <w:p w14:paraId="06E45D47">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从实施方式上看，点检表不宜设计得过于复杂，否则一线人员容易为了完成记录而忽略真实检查。较合适的做法是围绕关键状态设计简洁表项，例如电源与报警是否正常、门封和视窗是否完好、消毒和清洁是否完成、温度或压力是否在设定范围、使用记录是否填写完整等。对于重要异常，还应设置是否停用和是否上报的判断栏。</w:t>
      </w:r>
    </w:p>
    <w:p w14:paraId="638AF645">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点检制度要有效，还必须与后续处置相衔接。若点检发现问题，仅在表上勾选异常而没有后续跟踪，就无法真正降低风险。为此，建议将点检记录与维修申请、停用标识、恢复验证和复用授权联动，使设备异常能够得到持续跟踪和复查。</w:t>
      </w:r>
    </w:p>
    <w:p w14:paraId="02F67FE8">
      <w:pPr>
        <w:spacing w:after="0" w:line="360" w:lineRule="auto"/>
        <w:ind w:firstLine="480"/>
        <w:jc w:val="both"/>
        <w:rPr>
          <w:rFonts w:ascii="Times New Roman" w:hAnsi="Times New Roman" w:eastAsia="宋体" w:cs="Times New Roman"/>
          <w:sz w:val="24"/>
          <w:lang w:eastAsia="zh-CN"/>
        </w:rPr>
      </w:pPr>
      <w:r>
        <w:rPr>
          <w:rFonts w:ascii="Times New Roman" w:hAnsi="Times New Roman" w:eastAsia="宋体" w:cs="Times New Roman"/>
          <w:sz w:val="24"/>
          <w:lang w:eastAsia="zh-CN"/>
        </w:rPr>
        <w:t>从安全工程角度看，点检制度是在设备失效前设置预防环节。设备风险越高，越应在使用前发现并处理问题，而不是等事故发生后再追溯原因。因此，关键设备点检不仅属于设备管理内容，也是实验室风险预防体系的重要组成部分。关键设备日常点检需要简洁而有效，表4-12围绕设备状态、报警功能、清洁消毒、记录填写和异常上报等内容设计检查项，便于一线人员长期执行。</w:t>
      </w:r>
      <w:r>
        <w:rPr>
          <w:rFonts w:ascii="宋体" w:hAnsi="宋体" w:eastAsia="宋体" w:cs="宋体"/>
          <w:sz w:val="24"/>
          <w:szCs w:val="24"/>
        </w:rPr>
        <w:t>同时，点检结果还应作为实验室设备管理评价的重要依据。通过定期汇总点检记录，可以发现某些设备是否反复出现同类异常，判断维护周期是否合理，进而为维修计划、设备更新和经费投入提供依据。对于频繁出现报警、温度波动或使用记录缺失的设备，应提高检查频次，并将其纳入重点风险跟踪范围，避免小问题长期积累为较大隐患。</w:t>
      </w:r>
    </w:p>
    <w:p w14:paraId="235799DC">
      <w:pPr>
        <w:spacing w:after="0" w:line="360" w:lineRule="auto"/>
        <w:jc w:val="both"/>
        <w:rPr>
          <w:rFonts w:ascii="Times New Roman" w:hAnsi="Times New Roman" w:eastAsia="宋体" w:cs="Times New Roman"/>
          <w:sz w:val="24"/>
          <w:lang w:eastAsia="zh-CN"/>
        </w:rPr>
      </w:pPr>
    </w:p>
    <w:p w14:paraId="5D57DA83">
      <w:pPr>
        <w:spacing w:after="0" w:line="360" w:lineRule="auto"/>
        <w:ind w:firstLine="480"/>
        <w:jc w:val="both"/>
        <w:rPr>
          <w:lang w:eastAsia="zh-CN"/>
        </w:rPr>
      </w:pPr>
    </w:p>
    <w:p w14:paraId="0E66C51C">
      <w:pPr>
        <w:keepNext/>
        <w:spacing w:before="60" w:after="60" w:line="360" w:lineRule="auto"/>
        <w:jc w:val="center"/>
        <w:rPr>
          <w:lang w:eastAsia="zh-CN"/>
        </w:rPr>
      </w:pPr>
      <w:r>
        <w:rPr>
          <w:rFonts w:ascii="黑体" w:hAnsi="黑体" w:eastAsia="黑体" w:cs="Times New Roman"/>
          <w:sz w:val="21"/>
          <w:szCs w:val="21"/>
          <w:lang w:eastAsia="zh-CN"/>
        </w:rPr>
        <w:t>表4-12 关键设备日常点检表（示例）</w:t>
      </w:r>
    </w:p>
    <w:tbl>
      <w:tblPr>
        <w:tblStyle w:val="36"/>
        <w:tblW w:w="9709"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6"/>
        <w:gridCol w:w="2995"/>
        <w:gridCol w:w="1596"/>
        <w:gridCol w:w="1926"/>
        <w:gridCol w:w="1806"/>
      </w:tblGrid>
      <w:tr w14:paraId="308694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0" w:hRule="atLeast"/>
          <w:tblHeader/>
          <w:jc w:val="center"/>
        </w:trPr>
        <w:tc>
          <w:tcPr>
            <w:tcW w:w="1386" w:type="dxa"/>
            <w:tcBorders>
              <w:top w:val="single" w:color="auto" w:sz="12" w:space="0"/>
              <w:left w:val="nil"/>
              <w:bottom w:val="single" w:color="auto" w:sz="4" w:space="0"/>
              <w:right w:val="nil"/>
              <w:insideH w:val="nil"/>
              <w:insideV w:val="nil"/>
            </w:tcBorders>
            <w:vAlign w:val="center"/>
          </w:tcPr>
          <w:p w14:paraId="17A47DC5">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设备</w:t>
            </w:r>
          </w:p>
        </w:tc>
        <w:tc>
          <w:tcPr>
            <w:tcW w:w="2995" w:type="dxa"/>
            <w:tcBorders>
              <w:top w:val="single" w:color="auto" w:sz="12" w:space="0"/>
              <w:left w:val="nil"/>
              <w:bottom w:val="single" w:color="auto" w:sz="4" w:space="0"/>
              <w:right w:val="nil"/>
              <w:insideH w:val="nil"/>
              <w:insideV w:val="nil"/>
            </w:tcBorders>
            <w:vAlign w:val="center"/>
          </w:tcPr>
          <w:p w14:paraId="1C79A3B1">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点检项目</w:t>
            </w:r>
          </w:p>
        </w:tc>
        <w:tc>
          <w:tcPr>
            <w:tcW w:w="1596" w:type="dxa"/>
            <w:tcBorders>
              <w:top w:val="single" w:color="auto" w:sz="12" w:space="0"/>
              <w:left w:val="nil"/>
              <w:bottom w:val="single" w:color="auto" w:sz="4" w:space="0"/>
              <w:right w:val="nil"/>
              <w:insideH w:val="nil"/>
              <w:insideV w:val="nil"/>
            </w:tcBorders>
            <w:vAlign w:val="center"/>
          </w:tcPr>
          <w:p w14:paraId="01898ED4">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点检周期</w:t>
            </w:r>
          </w:p>
        </w:tc>
        <w:tc>
          <w:tcPr>
            <w:tcW w:w="1926" w:type="dxa"/>
            <w:tcBorders>
              <w:top w:val="single" w:color="auto" w:sz="12" w:space="0"/>
              <w:left w:val="nil"/>
              <w:bottom w:val="single" w:color="auto" w:sz="4" w:space="0"/>
              <w:right w:val="nil"/>
              <w:insideH w:val="nil"/>
              <w:insideV w:val="nil"/>
            </w:tcBorders>
            <w:vAlign w:val="center"/>
          </w:tcPr>
          <w:p w14:paraId="1539001C">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异常判定示例</w:t>
            </w:r>
          </w:p>
        </w:tc>
        <w:tc>
          <w:tcPr>
            <w:tcW w:w="1806" w:type="dxa"/>
            <w:tcBorders>
              <w:top w:val="single" w:color="auto" w:sz="12" w:space="0"/>
              <w:left w:val="nil"/>
              <w:bottom w:val="single" w:color="auto" w:sz="4" w:space="0"/>
              <w:right w:val="nil"/>
              <w:insideH w:val="nil"/>
              <w:insideV w:val="nil"/>
            </w:tcBorders>
            <w:vAlign w:val="center"/>
          </w:tcPr>
          <w:p w14:paraId="46C5E247">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后续要求</w:t>
            </w:r>
          </w:p>
        </w:tc>
      </w:tr>
      <w:tr w14:paraId="3EFA05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single" w:color="auto" w:sz="4" w:space="0"/>
              <w:left w:val="nil"/>
              <w:bottom w:val="nil"/>
              <w:right w:val="nil"/>
              <w:insideH w:val="nil"/>
              <w:insideV w:val="nil"/>
            </w:tcBorders>
            <w:vAlign w:val="center"/>
          </w:tcPr>
          <w:p w14:paraId="35F4095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生物安全柜</w:t>
            </w:r>
          </w:p>
        </w:tc>
        <w:tc>
          <w:tcPr>
            <w:tcW w:w="2995" w:type="dxa"/>
            <w:tcBorders>
              <w:top w:val="single" w:color="auto" w:sz="4" w:space="0"/>
              <w:left w:val="nil"/>
              <w:bottom w:val="nil"/>
              <w:right w:val="nil"/>
              <w:insideH w:val="nil"/>
              <w:insideV w:val="nil"/>
            </w:tcBorders>
            <w:vAlign w:val="center"/>
          </w:tcPr>
          <w:p w14:paraId="6E163CDE">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电源/报警、风机状态、视窗高度、台面清洁消毒</w:t>
            </w:r>
          </w:p>
        </w:tc>
        <w:tc>
          <w:tcPr>
            <w:tcW w:w="1596" w:type="dxa"/>
            <w:tcBorders>
              <w:top w:val="single" w:color="auto" w:sz="4" w:space="0"/>
              <w:left w:val="nil"/>
              <w:bottom w:val="nil"/>
              <w:right w:val="nil"/>
              <w:insideH w:val="nil"/>
              <w:insideV w:val="nil"/>
            </w:tcBorders>
            <w:vAlign w:val="center"/>
          </w:tcPr>
          <w:p w14:paraId="662A05A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每次使用前后</w:t>
            </w:r>
          </w:p>
        </w:tc>
        <w:tc>
          <w:tcPr>
            <w:tcW w:w="1926" w:type="dxa"/>
            <w:tcBorders>
              <w:top w:val="single" w:color="auto" w:sz="4" w:space="0"/>
              <w:left w:val="nil"/>
              <w:bottom w:val="nil"/>
              <w:right w:val="nil"/>
              <w:insideH w:val="nil"/>
              <w:insideV w:val="nil"/>
            </w:tcBorders>
            <w:vAlign w:val="center"/>
          </w:tcPr>
          <w:p w14:paraId="75290049">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报警异常、气流异常、视窗损坏</w:t>
            </w:r>
          </w:p>
        </w:tc>
        <w:tc>
          <w:tcPr>
            <w:tcW w:w="1806" w:type="dxa"/>
            <w:tcBorders>
              <w:top w:val="single" w:color="auto" w:sz="4" w:space="0"/>
              <w:left w:val="nil"/>
              <w:bottom w:val="nil"/>
              <w:right w:val="nil"/>
              <w:insideH w:val="nil"/>
              <w:insideV w:val="nil"/>
            </w:tcBorders>
            <w:vAlign w:val="center"/>
          </w:tcPr>
          <w:p w14:paraId="40FCD81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立即停用并上报</w:t>
            </w:r>
          </w:p>
        </w:tc>
      </w:tr>
      <w:tr w14:paraId="397D4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18B4CCD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高压灭菌锅</w:t>
            </w:r>
          </w:p>
        </w:tc>
        <w:tc>
          <w:tcPr>
            <w:tcW w:w="2995" w:type="dxa"/>
            <w:tcBorders>
              <w:top w:val="nil"/>
              <w:left w:val="nil"/>
              <w:bottom w:val="nil"/>
              <w:right w:val="nil"/>
              <w:insideH w:val="nil"/>
              <w:insideV w:val="nil"/>
            </w:tcBorders>
            <w:vAlign w:val="center"/>
          </w:tcPr>
          <w:p w14:paraId="6B233848">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门封、压力表、排水、指示剂、运行记录</w:t>
            </w:r>
          </w:p>
        </w:tc>
        <w:tc>
          <w:tcPr>
            <w:tcW w:w="1596" w:type="dxa"/>
            <w:tcBorders>
              <w:top w:val="nil"/>
              <w:left w:val="nil"/>
              <w:bottom w:val="nil"/>
              <w:right w:val="nil"/>
              <w:insideH w:val="nil"/>
              <w:insideV w:val="nil"/>
            </w:tcBorders>
            <w:vAlign w:val="center"/>
          </w:tcPr>
          <w:p w14:paraId="41331CBD">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每次使用前+周期维护</w:t>
            </w:r>
          </w:p>
        </w:tc>
        <w:tc>
          <w:tcPr>
            <w:tcW w:w="1926" w:type="dxa"/>
            <w:tcBorders>
              <w:top w:val="nil"/>
              <w:left w:val="nil"/>
              <w:bottom w:val="nil"/>
              <w:right w:val="nil"/>
              <w:insideH w:val="nil"/>
              <w:insideV w:val="nil"/>
            </w:tcBorders>
            <w:vAlign w:val="center"/>
          </w:tcPr>
          <w:p w14:paraId="60E25ECB">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压力异常、灭菌指示不合格</w:t>
            </w:r>
          </w:p>
        </w:tc>
        <w:tc>
          <w:tcPr>
            <w:tcW w:w="1806" w:type="dxa"/>
            <w:tcBorders>
              <w:top w:val="nil"/>
              <w:left w:val="nil"/>
              <w:bottom w:val="nil"/>
              <w:right w:val="nil"/>
              <w:insideH w:val="nil"/>
              <w:insideV w:val="nil"/>
            </w:tcBorders>
            <w:vAlign w:val="center"/>
          </w:tcPr>
          <w:p w14:paraId="675B6D4E">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暂停使用并复测</w:t>
            </w:r>
          </w:p>
        </w:tc>
      </w:tr>
      <w:tr w14:paraId="1A0BD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16474723">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离心机</w:t>
            </w:r>
          </w:p>
        </w:tc>
        <w:tc>
          <w:tcPr>
            <w:tcW w:w="2995" w:type="dxa"/>
            <w:tcBorders>
              <w:top w:val="nil"/>
              <w:left w:val="nil"/>
              <w:bottom w:val="nil"/>
              <w:right w:val="nil"/>
              <w:insideH w:val="nil"/>
              <w:insideV w:val="nil"/>
            </w:tcBorders>
            <w:vAlign w:val="center"/>
          </w:tcPr>
          <w:p w14:paraId="4780BA31">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转子完好、配平、密封、异常声音</w:t>
            </w:r>
          </w:p>
        </w:tc>
        <w:tc>
          <w:tcPr>
            <w:tcW w:w="1596" w:type="dxa"/>
            <w:tcBorders>
              <w:top w:val="nil"/>
              <w:left w:val="nil"/>
              <w:bottom w:val="nil"/>
              <w:right w:val="nil"/>
              <w:insideH w:val="nil"/>
              <w:insideV w:val="nil"/>
            </w:tcBorders>
            <w:vAlign w:val="center"/>
          </w:tcPr>
          <w:p w14:paraId="3073D7A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每次使用前</w:t>
            </w:r>
          </w:p>
        </w:tc>
        <w:tc>
          <w:tcPr>
            <w:tcW w:w="1926" w:type="dxa"/>
            <w:tcBorders>
              <w:top w:val="nil"/>
              <w:left w:val="nil"/>
              <w:bottom w:val="nil"/>
              <w:right w:val="nil"/>
              <w:insideH w:val="nil"/>
              <w:insideV w:val="nil"/>
            </w:tcBorders>
            <w:vAlign w:val="center"/>
          </w:tcPr>
          <w:p w14:paraId="6724B9B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转子裂纹、噪声异常</w:t>
            </w:r>
          </w:p>
        </w:tc>
        <w:tc>
          <w:tcPr>
            <w:tcW w:w="1806" w:type="dxa"/>
            <w:tcBorders>
              <w:top w:val="nil"/>
              <w:left w:val="nil"/>
              <w:bottom w:val="nil"/>
              <w:right w:val="nil"/>
              <w:insideH w:val="nil"/>
              <w:insideV w:val="nil"/>
            </w:tcBorders>
            <w:vAlign w:val="center"/>
          </w:tcPr>
          <w:p w14:paraId="06F5AD73">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停机并检查</w:t>
            </w:r>
          </w:p>
        </w:tc>
      </w:tr>
      <w:tr w14:paraId="20187E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52CEA31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低温冰箱</w:t>
            </w:r>
          </w:p>
        </w:tc>
        <w:tc>
          <w:tcPr>
            <w:tcW w:w="2995" w:type="dxa"/>
            <w:tcBorders>
              <w:top w:val="nil"/>
              <w:left w:val="nil"/>
              <w:bottom w:val="nil"/>
              <w:right w:val="nil"/>
              <w:insideH w:val="nil"/>
              <w:insideV w:val="nil"/>
            </w:tcBorders>
            <w:vAlign w:val="center"/>
          </w:tcPr>
          <w:p w14:paraId="5C544BDA">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温度、门封、样本分类、报警装置</w:t>
            </w:r>
          </w:p>
        </w:tc>
        <w:tc>
          <w:tcPr>
            <w:tcW w:w="1596" w:type="dxa"/>
            <w:tcBorders>
              <w:top w:val="nil"/>
              <w:left w:val="nil"/>
              <w:bottom w:val="nil"/>
              <w:right w:val="nil"/>
              <w:insideH w:val="nil"/>
              <w:insideV w:val="nil"/>
            </w:tcBorders>
            <w:vAlign w:val="center"/>
          </w:tcPr>
          <w:p w14:paraId="28EECC8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每日</w:t>
            </w:r>
          </w:p>
        </w:tc>
        <w:tc>
          <w:tcPr>
            <w:tcW w:w="1926" w:type="dxa"/>
            <w:tcBorders>
              <w:top w:val="nil"/>
              <w:left w:val="nil"/>
              <w:bottom w:val="nil"/>
              <w:right w:val="nil"/>
              <w:insideH w:val="nil"/>
              <w:insideV w:val="nil"/>
            </w:tcBorders>
            <w:vAlign w:val="center"/>
          </w:tcPr>
          <w:p w14:paraId="6C283053">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温度偏离设定、结霜严重</w:t>
            </w:r>
          </w:p>
        </w:tc>
        <w:tc>
          <w:tcPr>
            <w:tcW w:w="1806" w:type="dxa"/>
            <w:tcBorders>
              <w:top w:val="nil"/>
              <w:left w:val="nil"/>
              <w:bottom w:val="nil"/>
              <w:right w:val="nil"/>
              <w:insideH w:val="nil"/>
              <w:insideV w:val="nil"/>
            </w:tcBorders>
            <w:vAlign w:val="center"/>
          </w:tcPr>
          <w:p w14:paraId="5CD2DA95">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排查原因、必要时转移样本</w:t>
            </w:r>
          </w:p>
        </w:tc>
      </w:tr>
      <w:tr w14:paraId="2D6B27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66C6C97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培养箱</w:t>
            </w:r>
          </w:p>
        </w:tc>
        <w:tc>
          <w:tcPr>
            <w:tcW w:w="2995" w:type="dxa"/>
            <w:tcBorders>
              <w:top w:val="nil"/>
              <w:left w:val="nil"/>
              <w:bottom w:val="nil"/>
              <w:right w:val="nil"/>
              <w:insideH w:val="nil"/>
              <w:insideV w:val="nil"/>
            </w:tcBorders>
            <w:vAlign w:val="center"/>
          </w:tcPr>
          <w:p w14:paraId="732C698B">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温度湿度、门体密封、内部清洁</w:t>
            </w:r>
          </w:p>
        </w:tc>
        <w:tc>
          <w:tcPr>
            <w:tcW w:w="1596" w:type="dxa"/>
            <w:tcBorders>
              <w:top w:val="nil"/>
              <w:left w:val="nil"/>
              <w:bottom w:val="nil"/>
              <w:right w:val="nil"/>
              <w:insideH w:val="nil"/>
              <w:insideV w:val="nil"/>
            </w:tcBorders>
            <w:vAlign w:val="center"/>
          </w:tcPr>
          <w:p w14:paraId="09D9EEFD">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每日/每周</w:t>
            </w:r>
          </w:p>
        </w:tc>
        <w:tc>
          <w:tcPr>
            <w:tcW w:w="1926" w:type="dxa"/>
            <w:tcBorders>
              <w:top w:val="nil"/>
              <w:left w:val="nil"/>
              <w:bottom w:val="nil"/>
              <w:right w:val="nil"/>
              <w:insideH w:val="nil"/>
              <w:insideV w:val="nil"/>
            </w:tcBorders>
            <w:vAlign w:val="center"/>
          </w:tcPr>
          <w:p w14:paraId="08B20C32">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参数波动大、污染明显</w:t>
            </w:r>
          </w:p>
        </w:tc>
        <w:tc>
          <w:tcPr>
            <w:tcW w:w="1806" w:type="dxa"/>
            <w:tcBorders>
              <w:top w:val="nil"/>
              <w:left w:val="nil"/>
              <w:bottom w:val="nil"/>
              <w:right w:val="nil"/>
              <w:insideH w:val="nil"/>
              <w:insideV w:val="nil"/>
            </w:tcBorders>
            <w:vAlign w:val="center"/>
          </w:tcPr>
          <w:p w14:paraId="318A9B0E">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停用清洁并校验</w:t>
            </w:r>
          </w:p>
        </w:tc>
      </w:tr>
      <w:tr w14:paraId="7C6A4D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02C7E11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通风系统</w:t>
            </w:r>
          </w:p>
        </w:tc>
        <w:tc>
          <w:tcPr>
            <w:tcW w:w="2995" w:type="dxa"/>
            <w:tcBorders>
              <w:top w:val="nil"/>
              <w:left w:val="nil"/>
              <w:bottom w:val="nil"/>
              <w:right w:val="nil"/>
              <w:insideH w:val="nil"/>
              <w:insideV w:val="nil"/>
            </w:tcBorders>
            <w:vAlign w:val="center"/>
          </w:tcPr>
          <w:p w14:paraId="49123419">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运行状态、风量、过滤装置情况</w:t>
            </w:r>
          </w:p>
        </w:tc>
        <w:tc>
          <w:tcPr>
            <w:tcW w:w="1596" w:type="dxa"/>
            <w:tcBorders>
              <w:top w:val="nil"/>
              <w:left w:val="nil"/>
              <w:bottom w:val="nil"/>
              <w:right w:val="nil"/>
              <w:insideH w:val="nil"/>
              <w:insideV w:val="nil"/>
            </w:tcBorders>
            <w:vAlign w:val="center"/>
          </w:tcPr>
          <w:p w14:paraId="5A6584A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每日/每月</w:t>
            </w:r>
          </w:p>
        </w:tc>
        <w:tc>
          <w:tcPr>
            <w:tcW w:w="1926" w:type="dxa"/>
            <w:tcBorders>
              <w:top w:val="nil"/>
              <w:left w:val="nil"/>
              <w:bottom w:val="nil"/>
              <w:right w:val="nil"/>
              <w:insideH w:val="nil"/>
              <w:insideV w:val="nil"/>
            </w:tcBorders>
            <w:vAlign w:val="center"/>
          </w:tcPr>
          <w:p w14:paraId="039E6518">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风量明显不足、异味异常</w:t>
            </w:r>
          </w:p>
        </w:tc>
        <w:tc>
          <w:tcPr>
            <w:tcW w:w="1806" w:type="dxa"/>
            <w:tcBorders>
              <w:top w:val="nil"/>
              <w:left w:val="nil"/>
              <w:bottom w:val="nil"/>
              <w:right w:val="nil"/>
              <w:insideH w:val="nil"/>
              <w:insideV w:val="nil"/>
            </w:tcBorders>
            <w:vAlign w:val="center"/>
          </w:tcPr>
          <w:p w14:paraId="6E98F13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报修并限制相关实验</w:t>
            </w:r>
          </w:p>
        </w:tc>
      </w:tr>
      <w:tr w14:paraId="47CD7D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152D14C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洗眼器/应急冲淋</w:t>
            </w:r>
          </w:p>
        </w:tc>
        <w:tc>
          <w:tcPr>
            <w:tcW w:w="2995" w:type="dxa"/>
            <w:tcBorders>
              <w:top w:val="nil"/>
              <w:left w:val="nil"/>
              <w:bottom w:val="nil"/>
              <w:right w:val="nil"/>
              <w:insideH w:val="nil"/>
              <w:insideV w:val="nil"/>
            </w:tcBorders>
            <w:vAlign w:val="center"/>
          </w:tcPr>
          <w:p w14:paraId="7D82DCF2">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出水状态、周边畅通、标识清楚</w:t>
            </w:r>
          </w:p>
        </w:tc>
        <w:tc>
          <w:tcPr>
            <w:tcW w:w="1596" w:type="dxa"/>
            <w:tcBorders>
              <w:top w:val="nil"/>
              <w:left w:val="nil"/>
              <w:bottom w:val="nil"/>
              <w:right w:val="nil"/>
              <w:insideH w:val="nil"/>
              <w:insideV w:val="nil"/>
            </w:tcBorders>
            <w:vAlign w:val="center"/>
          </w:tcPr>
          <w:p w14:paraId="20633B2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每周</w:t>
            </w:r>
          </w:p>
        </w:tc>
        <w:tc>
          <w:tcPr>
            <w:tcW w:w="1926" w:type="dxa"/>
            <w:tcBorders>
              <w:top w:val="nil"/>
              <w:left w:val="nil"/>
              <w:bottom w:val="nil"/>
              <w:right w:val="nil"/>
              <w:insideH w:val="nil"/>
              <w:insideV w:val="nil"/>
            </w:tcBorders>
            <w:vAlign w:val="center"/>
          </w:tcPr>
          <w:p w14:paraId="19E04DB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无水、堵塞、被遮挡</w:t>
            </w:r>
          </w:p>
        </w:tc>
        <w:tc>
          <w:tcPr>
            <w:tcW w:w="1806" w:type="dxa"/>
            <w:tcBorders>
              <w:top w:val="nil"/>
              <w:left w:val="nil"/>
              <w:bottom w:val="nil"/>
              <w:right w:val="nil"/>
              <w:insideH w:val="nil"/>
              <w:insideV w:val="nil"/>
            </w:tcBorders>
            <w:vAlign w:val="center"/>
          </w:tcPr>
          <w:p w14:paraId="4D12081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立即整改</w:t>
            </w:r>
          </w:p>
        </w:tc>
      </w:tr>
      <w:tr w14:paraId="00D8D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single" w:color="auto" w:sz="12" w:space="0"/>
              <w:right w:val="nil"/>
              <w:insideH w:val="nil"/>
              <w:insideV w:val="nil"/>
            </w:tcBorders>
            <w:vAlign w:val="center"/>
          </w:tcPr>
          <w:p w14:paraId="315EF4D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急救箱/应急物资</w:t>
            </w:r>
          </w:p>
        </w:tc>
        <w:tc>
          <w:tcPr>
            <w:tcW w:w="2995" w:type="dxa"/>
            <w:tcBorders>
              <w:top w:val="nil"/>
              <w:left w:val="nil"/>
              <w:bottom w:val="single" w:color="auto" w:sz="12" w:space="0"/>
              <w:right w:val="nil"/>
              <w:insideH w:val="nil"/>
              <w:insideV w:val="nil"/>
            </w:tcBorders>
            <w:vAlign w:val="center"/>
          </w:tcPr>
          <w:p w14:paraId="22E3A2C4">
            <w:pPr>
              <w:snapToGrid w:val="0"/>
              <w:spacing w:after="0" w:line="240" w:lineRule="auto"/>
              <w:ind w:left="0" w:leftChars="0" w:right="0" w:rightChars="0" w:firstLine="0" w:firstLineChars="0"/>
              <w:jc w:val="left"/>
              <w:rPr>
                <w:rFonts w:ascii="Times New Roman" w:eastAsia="宋体"/>
                <w:sz w:val="21"/>
                <w:lang w:eastAsia="zh-CN"/>
              </w:rPr>
            </w:pPr>
            <w:r>
              <w:rPr>
                <w:rFonts w:ascii="Times New Roman" w:hAnsi="Times New Roman" w:eastAsia="宋体" w:cs="Times New Roman"/>
                <w:sz w:val="21"/>
                <w:szCs w:val="21"/>
                <w:lang w:eastAsia="zh-CN"/>
              </w:rPr>
              <w:t>物资齐全、有效期、取放方便</w:t>
            </w:r>
          </w:p>
        </w:tc>
        <w:tc>
          <w:tcPr>
            <w:tcW w:w="1596" w:type="dxa"/>
            <w:tcBorders>
              <w:top w:val="nil"/>
              <w:left w:val="nil"/>
              <w:bottom w:val="single" w:color="auto" w:sz="12" w:space="0"/>
              <w:right w:val="nil"/>
              <w:insideH w:val="nil"/>
              <w:insideV w:val="nil"/>
            </w:tcBorders>
            <w:vAlign w:val="center"/>
          </w:tcPr>
          <w:p w14:paraId="11E7F7B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每月</w:t>
            </w:r>
          </w:p>
        </w:tc>
        <w:tc>
          <w:tcPr>
            <w:tcW w:w="1926" w:type="dxa"/>
            <w:tcBorders>
              <w:top w:val="nil"/>
              <w:left w:val="nil"/>
              <w:bottom w:val="single" w:color="auto" w:sz="12" w:space="0"/>
              <w:right w:val="nil"/>
              <w:insideH w:val="nil"/>
              <w:insideV w:val="nil"/>
            </w:tcBorders>
            <w:vAlign w:val="center"/>
          </w:tcPr>
          <w:p w14:paraId="0B162DE0">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物资缺失或过期</w:t>
            </w:r>
          </w:p>
        </w:tc>
        <w:tc>
          <w:tcPr>
            <w:tcW w:w="1806" w:type="dxa"/>
            <w:tcBorders>
              <w:top w:val="nil"/>
              <w:left w:val="nil"/>
              <w:bottom w:val="single" w:color="auto" w:sz="12" w:space="0"/>
              <w:right w:val="nil"/>
              <w:insideH w:val="nil"/>
              <w:insideV w:val="nil"/>
            </w:tcBorders>
            <w:vAlign w:val="center"/>
          </w:tcPr>
          <w:p w14:paraId="6CEAA56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补充更新</w:t>
            </w:r>
          </w:p>
        </w:tc>
      </w:tr>
    </w:tbl>
    <w:p w14:paraId="1A023613">
      <w:pPr>
        <w:spacing w:after="0" w:line="360" w:lineRule="auto"/>
        <w:ind w:firstLine="480"/>
        <w:jc w:val="both"/>
      </w:pPr>
    </w:p>
    <w:p w14:paraId="155D5157">
      <w:pPr>
        <w:spacing w:after="0" w:line="360" w:lineRule="auto"/>
        <w:ind w:firstLine="480"/>
        <w:jc w:val="both"/>
      </w:pPr>
      <w:r>
        <w:rPr>
          <w:rFonts w:ascii="Times New Roman" w:hAnsi="Times New Roman" w:eastAsia="宋体" w:cs="Times New Roman"/>
          <w:sz w:val="24"/>
        </w:rPr>
        <w:t>作业风险分析（Job Safety Analysis，JSA）适用于流程相对固定的危险源辨识。它将一项作业分解为若干步骤，逐项分析每一步可能出现的危险源、潜在后果和控制措施。在高校生物实验室中，JSA更适合用于样本转运、离心分离、消毒灭菌、危废封装和清场消毒等步骤清晰的操作。与一般制度条款相比，JSA更贴近操作现场，能够把经验性注意事项转化为清晰记录，减少口头传递带来的遗漏。</w:t>
      </w:r>
    </w:p>
    <w:p w14:paraId="548AF007">
      <w:pPr>
        <w:spacing w:after="0" w:line="360" w:lineRule="auto"/>
        <w:ind w:firstLine="480"/>
        <w:jc w:val="both"/>
        <w:rPr>
          <w:rFonts w:ascii="黑体" w:hAnsi="黑体" w:eastAsia="黑体" w:cs="Times New Roman"/>
          <w:sz w:val="21"/>
          <w:szCs w:val="21"/>
        </w:rPr>
      </w:pPr>
      <w:r>
        <w:t>以高风险样本转运为例，容器选择、标签粘贴、二次包装、路线选择、人员防护和交接确认都是关键步骤。任何一步处理不当，都可能导致泄漏、样本错放、人员暴露或追溯困难。因此，将这类作业的关键步骤提前分析并形成标准化表格，有助于把风险控制落实到作业开始前。JSA并非替代SOP，而是对SOP的细化与补充，SOP说明操作流程，JSA进一步说明风险来源和控制点，两者结合后更有利于实验人员理解并执行安全要求。 高风险样本转运具有典型的过程风险，表4-13以作业风险分析形式列出步骤、危险因素和控制措施，使SOP中的要求进一步细化到操作前检查。</w:t>
      </w:r>
    </w:p>
    <w:p w14:paraId="5A86A56C">
      <w:pPr>
        <w:keepNext/>
        <w:spacing w:before="60" w:after="60" w:line="360" w:lineRule="auto"/>
        <w:jc w:val="center"/>
        <w:rPr>
          <w:rFonts w:ascii="黑体" w:hAnsi="黑体" w:eastAsia="黑体" w:cs="Times New Roman"/>
          <w:sz w:val="21"/>
          <w:szCs w:val="21"/>
        </w:rPr>
      </w:pPr>
    </w:p>
    <w:p w14:paraId="3DADBAE2">
      <w:pPr>
        <w:keepNext/>
        <w:spacing w:before="60" w:after="60" w:line="360" w:lineRule="auto"/>
        <w:jc w:val="center"/>
      </w:pPr>
      <w:r>
        <w:rPr>
          <w:rFonts w:ascii="黑体" w:hAnsi="黑体" w:eastAsia="黑体" w:cs="Times New Roman"/>
          <w:sz w:val="21"/>
          <w:szCs w:val="21"/>
        </w:rPr>
        <w:t>表4-13 高风险样本转运作业风险分析示例</w:t>
      </w:r>
    </w:p>
    <w:tbl>
      <w:tblPr>
        <w:tblStyle w:val="36"/>
        <w:tblW w:w="940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6"/>
        <w:gridCol w:w="2304"/>
        <w:gridCol w:w="1871"/>
        <w:gridCol w:w="2321"/>
        <w:gridCol w:w="1452"/>
      </w:tblGrid>
      <w:tr w14:paraId="3150E4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456" w:type="dxa"/>
            <w:tcBorders>
              <w:top w:val="single" w:color="auto" w:sz="12" w:space="0"/>
              <w:left w:val="nil"/>
              <w:bottom w:val="single" w:color="auto" w:sz="4" w:space="0"/>
              <w:right w:val="nil"/>
              <w:insideH w:val="nil"/>
              <w:insideV w:val="nil"/>
            </w:tcBorders>
            <w:vAlign w:val="center"/>
          </w:tcPr>
          <w:p w14:paraId="4CE753D5">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作业步骤</w:t>
            </w:r>
          </w:p>
        </w:tc>
        <w:tc>
          <w:tcPr>
            <w:tcW w:w="2304" w:type="dxa"/>
            <w:tcBorders>
              <w:top w:val="single" w:color="auto" w:sz="12" w:space="0"/>
              <w:left w:val="nil"/>
              <w:bottom w:val="single" w:color="auto" w:sz="4" w:space="0"/>
              <w:right w:val="nil"/>
              <w:insideH w:val="nil"/>
              <w:insideV w:val="nil"/>
            </w:tcBorders>
            <w:vAlign w:val="center"/>
          </w:tcPr>
          <w:p w14:paraId="6187E326">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可能危险源</w:t>
            </w:r>
          </w:p>
        </w:tc>
        <w:tc>
          <w:tcPr>
            <w:tcW w:w="1871" w:type="dxa"/>
            <w:tcBorders>
              <w:top w:val="single" w:color="auto" w:sz="12" w:space="0"/>
              <w:left w:val="nil"/>
              <w:bottom w:val="single" w:color="auto" w:sz="4" w:space="0"/>
              <w:right w:val="nil"/>
              <w:insideH w:val="nil"/>
              <w:insideV w:val="nil"/>
            </w:tcBorders>
            <w:vAlign w:val="center"/>
          </w:tcPr>
          <w:p w14:paraId="352221AA">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潜在后果</w:t>
            </w:r>
          </w:p>
        </w:tc>
        <w:tc>
          <w:tcPr>
            <w:tcW w:w="2321" w:type="dxa"/>
            <w:tcBorders>
              <w:top w:val="single" w:color="auto" w:sz="12" w:space="0"/>
              <w:left w:val="nil"/>
              <w:bottom w:val="single" w:color="auto" w:sz="4" w:space="0"/>
              <w:right w:val="nil"/>
              <w:insideH w:val="nil"/>
              <w:insideV w:val="nil"/>
            </w:tcBorders>
            <w:vAlign w:val="center"/>
          </w:tcPr>
          <w:p w14:paraId="79725012">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控制措施</w:t>
            </w:r>
          </w:p>
        </w:tc>
        <w:tc>
          <w:tcPr>
            <w:tcW w:w="1452" w:type="dxa"/>
            <w:tcBorders>
              <w:top w:val="single" w:color="auto" w:sz="12" w:space="0"/>
              <w:left w:val="nil"/>
              <w:bottom w:val="single" w:color="auto" w:sz="4" w:space="0"/>
              <w:right w:val="nil"/>
              <w:insideH w:val="nil"/>
              <w:insideV w:val="nil"/>
            </w:tcBorders>
            <w:vAlign w:val="center"/>
          </w:tcPr>
          <w:p w14:paraId="3176B029">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责任人</w:t>
            </w:r>
          </w:p>
        </w:tc>
      </w:tr>
      <w:tr w14:paraId="1FAC04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56" w:type="dxa"/>
            <w:tcBorders>
              <w:top w:val="single" w:color="auto" w:sz="4" w:space="0"/>
              <w:left w:val="nil"/>
              <w:bottom w:val="nil"/>
              <w:right w:val="nil"/>
              <w:insideH w:val="nil"/>
              <w:insideV w:val="nil"/>
            </w:tcBorders>
            <w:vAlign w:val="center"/>
          </w:tcPr>
          <w:p w14:paraId="0768050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确认样本信息</w:t>
            </w:r>
          </w:p>
        </w:tc>
        <w:tc>
          <w:tcPr>
            <w:tcW w:w="2304" w:type="dxa"/>
            <w:tcBorders>
              <w:top w:val="single" w:color="auto" w:sz="4" w:space="0"/>
              <w:left w:val="nil"/>
              <w:bottom w:val="nil"/>
              <w:right w:val="nil"/>
              <w:insideH w:val="nil"/>
              <w:insideV w:val="nil"/>
            </w:tcBorders>
            <w:vAlign w:val="center"/>
          </w:tcPr>
          <w:p w14:paraId="3C9630EB">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标签不清、信息错误、样本错放</w:t>
            </w:r>
          </w:p>
        </w:tc>
        <w:tc>
          <w:tcPr>
            <w:tcW w:w="1871" w:type="dxa"/>
            <w:tcBorders>
              <w:top w:val="single" w:color="auto" w:sz="4" w:space="0"/>
              <w:left w:val="nil"/>
              <w:bottom w:val="nil"/>
              <w:right w:val="nil"/>
              <w:insideH w:val="nil"/>
              <w:insideV w:val="nil"/>
            </w:tcBorders>
            <w:vAlign w:val="center"/>
          </w:tcPr>
          <w:p w14:paraId="68DF6A8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后续追溯困难、误用样本</w:t>
            </w:r>
          </w:p>
        </w:tc>
        <w:tc>
          <w:tcPr>
            <w:tcW w:w="2321" w:type="dxa"/>
            <w:tcBorders>
              <w:top w:val="single" w:color="auto" w:sz="4" w:space="0"/>
              <w:left w:val="nil"/>
              <w:bottom w:val="nil"/>
              <w:right w:val="nil"/>
              <w:insideH w:val="nil"/>
              <w:insideV w:val="nil"/>
            </w:tcBorders>
            <w:vAlign w:val="center"/>
          </w:tcPr>
          <w:p w14:paraId="5E05CD7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转运前双人核对标签和记录</w:t>
            </w:r>
          </w:p>
        </w:tc>
        <w:tc>
          <w:tcPr>
            <w:tcW w:w="1452" w:type="dxa"/>
            <w:tcBorders>
              <w:top w:val="single" w:color="auto" w:sz="4" w:space="0"/>
              <w:left w:val="nil"/>
              <w:bottom w:val="nil"/>
              <w:right w:val="nil"/>
              <w:insideH w:val="nil"/>
              <w:insideV w:val="nil"/>
            </w:tcBorders>
            <w:vAlign w:val="center"/>
          </w:tcPr>
          <w:p w14:paraId="1FA8896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样本责任人</w:t>
            </w:r>
          </w:p>
        </w:tc>
      </w:tr>
      <w:tr w14:paraId="7F332B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56" w:type="dxa"/>
            <w:tcBorders>
              <w:top w:val="nil"/>
              <w:left w:val="nil"/>
              <w:bottom w:val="nil"/>
              <w:right w:val="nil"/>
              <w:insideH w:val="nil"/>
              <w:insideV w:val="nil"/>
            </w:tcBorders>
            <w:vAlign w:val="center"/>
          </w:tcPr>
          <w:p w14:paraId="252A9CF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选择容器与二次包装</w:t>
            </w:r>
          </w:p>
        </w:tc>
        <w:tc>
          <w:tcPr>
            <w:tcW w:w="2304" w:type="dxa"/>
            <w:tcBorders>
              <w:top w:val="nil"/>
              <w:left w:val="nil"/>
              <w:bottom w:val="nil"/>
              <w:right w:val="nil"/>
              <w:insideH w:val="nil"/>
              <w:insideV w:val="nil"/>
            </w:tcBorders>
            <w:vAlign w:val="center"/>
          </w:tcPr>
          <w:p w14:paraId="6ED50B58">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容器不耐压、封口不严、包装不完整</w:t>
            </w:r>
          </w:p>
        </w:tc>
        <w:tc>
          <w:tcPr>
            <w:tcW w:w="1871" w:type="dxa"/>
            <w:tcBorders>
              <w:top w:val="nil"/>
              <w:left w:val="nil"/>
              <w:bottom w:val="nil"/>
              <w:right w:val="nil"/>
              <w:insideH w:val="nil"/>
              <w:insideV w:val="nil"/>
            </w:tcBorders>
            <w:vAlign w:val="center"/>
          </w:tcPr>
          <w:p w14:paraId="7E2117B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泄漏、污染扩散</w:t>
            </w:r>
          </w:p>
        </w:tc>
        <w:tc>
          <w:tcPr>
            <w:tcW w:w="2321" w:type="dxa"/>
            <w:tcBorders>
              <w:top w:val="nil"/>
              <w:left w:val="nil"/>
              <w:bottom w:val="nil"/>
              <w:right w:val="nil"/>
              <w:insideH w:val="nil"/>
              <w:insideV w:val="nil"/>
            </w:tcBorders>
            <w:vAlign w:val="center"/>
          </w:tcPr>
          <w:p w14:paraId="5697C54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采用适配容器并进行二次承载</w:t>
            </w:r>
          </w:p>
        </w:tc>
        <w:tc>
          <w:tcPr>
            <w:tcW w:w="1452" w:type="dxa"/>
            <w:tcBorders>
              <w:top w:val="nil"/>
              <w:left w:val="nil"/>
              <w:bottom w:val="nil"/>
              <w:right w:val="nil"/>
              <w:insideH w:val="nil"/>
              <w:insideV w:val="nil"/>
            </w:tcBorders>
            <w:vAlign w:val="center"/>
          </w:tcPr>
          <w:p w14:paraId="17785A7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转运人员</w:t>
            </w:r>
          </w:p>
        </w:tc>
      </w:tr>
      <w:tr w14:paraId="56E5CC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56" w:type="dxa"/>
            <w:tcBorders>
              <w:top w:val="nil"/>
              <w:left w:val="nil"/>
              <w:bottom w:val="nil"/>
              <w:right w:val="nil"/>
              <w:insideH w:val="nil"/>
              <w:insideV w:val="nil"/>
            </w:tcBorders>
            <w:vAlign w:val="center"/>
          </w:tcPr>
          <w:p w14:paraId="691E3D6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佩戴个人防护用品</w:t>
            </w:r>
          </w:p>
        </w:tc>
        <w:tc>
          <w:tcPr>
            <w:tcW w:w="2304" w:type="dxa"/>
            <w:tcBorders>
              <w:top w:val="nil"/>
              <w:left w:val="nil"/>
              <w:bottom w:val="nil"/>
              <w:right w:val="nil"/>
              <w:insideH w:val="nil"/>
              <w:insideV w:val="nil"/>
            </w:tcBorders>
            <w:vAlign w:val="center"/>
          </w:tcPr>
          <w:p w14:paraId="4827220A">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防护用品选择不当或穿戴不规范</w:t>
            </w:r>
          </w:p>
        </w:tc>
        <w:tc>
          <w:tcPr>
            <w:tcW w:w="1871" w:type="dxa"/>
            <w:tcBorders>
              <w:top w:val="nil"/>
              <w:left w:val="nil"/>
              <w:bottom w:val="nil"/>
              <w:right w:val="nil"/>
              <w:insideH w:val="nil"/>
              <w:insideV w:val="nil"/>
            </w:tcBorders>
            <w:vAlign w:val="center"/>
          </w:tcPr>
          <w:p w14:paraId="2051B04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人员暴露、污染自身衣物</w:t>
            </w:r>
          </w:p>
        </w:tc>
        <w:tc>
          <w:tcPr>
            <w:tcW w:w="2321" w:type="dxa"/>
            <w:tcBorders>
              <w:top w:val="nil"/>
              <w:left w:val="nil"/>
              <w:bottom w:val="nil"/>
              <w:right w:val="nil"/>
              <w:insideH w:val="nil"/>
              <w:insideV w:val="nil"/>
            </w:tcBorders>
            <w:vAlign w:val="center"/>
          </w:tcPr>
          <w:p w14:paraId="78E36030">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按风险等级穿戴手套、口罩、防护服等</w:t>
            </w:r>
          </w:p>
        </w:tc>
        <w:tc>
          <w:tcPr>
            <w:tcW w:w="1452" w:type="dxa"/>
            <w:tcBorders>
              <w:top w:val="nil"/>
              <w:left w:val="nil"/>
              <w:bottom w:val="nil"/>
              <w:right w:val="nil"/>
              <w:insideH w:val="nil"/>
              <w:insideV w:val="nil"/>
            </w:tcBorders>
            <w:vAlign w:val="center"/>
          </w:tcPr>
          <w:p w14:paraId="45EE029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转运人员</w:t>
            </w:r>
          </w:p>
        </w:tc>
      </w:tr>
      <w:tr w14:paraId="2AC3F6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56" w:type="dxa"/>
            <w:tcBorders>
              <w:top w:val="nil"/>
              <w:left w:val="nil"/>
              <w:bottom w:val="nil"/>
              <w:right w:val="nil"/>
              <w:insideH w:val="nil"/>
              <w:insideV w:val="nil"/>
            </w:tcBorders>
            <w:vAlign w:val="center"/>
          </w:tcPr>
          <w:p w14:paraId="48DF165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确定转运路线</w:t>
            </w:r>
          </w:p>
        </w:tc>
        <w:tc>
          <w:tcPr>
            <w:tcW w:w="2304" w:type="dxa"/>
            <w:tcBorders>
              <w:top w:val="nil"/>
              <w:left w:val="nil"/>
              <w:bottom w:val="nil"/>
              <w:right w:val="nil"/>
              <w:insideH w:val="nil"/>
              <w:insideV w:val="nil"/>
            </w:tcBorders>
            <w:vAlign w:val="center"/>
          </w:tcPr>
          <w:p w14:paraId="31698ED4">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路线经过人员密集区域或路程过长</w:t>
            </w:r>
          </w:p>
        </w:tc>
        <w:tc>
          <w:tcPr>
            <w:tcW w:w="1871" w:type="dxa"/>
            <w:tcBorders>
              <w:top w:val="nil"/>
              <w:left w:val="nil"/>
              <w:bottom w:val="nil"/>
              <w:right w:val="nil"/>
              <w:insideH w:val="nil"/>
              <w:insideV w:val="nil"/>
            </w:tcBorders>
            <w:vAlign w:val="center"/>
          </w:tcPr>
          <w:p w14:paraId="399938D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碰撞、跌落、影响他人安全</w:t>
            </w:r>
          </w:p>
        </w:tc>
        <w:tc>
          <w:tcPr>
            <w:tcW w:w="2321" w:type="dxa"/>
            <w:tcBorders>
              <w:top w:val="nil"/>
              <w:left w:val="nil"/>
              <w:bottom w:val="nil"/>
              <w:right w:val="nil"/>
              <w:insideH w:val="nil"/>
              <w:insideV w:val="nil"/>
            </w:tcBorders>
            <w:vAlign w:val="center"/>
          </w:tcPr>
          <w:p w14:paraId="4625E060">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优先选择固定且相对独立路线</w:t>
            </w:r>
          </w:p>
        </w:tc>
        <w:tc>
          <w:tcPr>
            <w:tcW w:w="1452" w:type="dxa"/>
            <w:tcBorders>
              <w:top w:val="nil"/>
              <w:left w:val="nil"/>
              <w:bottom w:val="nil"/>
              <w:right w:val="nil"/>
              <w:insideH w:val="nil"/>
              <w:insideV w:val="nil"/>
            </w:tcBorders>
            <w:vAlign w:val="center"/>
          </w:tcPr>
          <w:p w14:paraId="361DA80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转运人员/管理员</w:t>
            </w:r>
          </w:p>
        </w:tc>
      </w:tr>
      <w:tr w14:paraId="5E798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56" w:type="dxa"/>
            <w:tcBorders>
              <w:top w:val="nil"/>
              <w:left w:val="nil"/>
              <w:bottom w:val="nil"/>
              <w:right w:val="nil"/>
              <w:insideH w:val="nil"/>
              <w:insideV w:val="nil"/>
            </w:tcBorders>
            <w:vAlign w:val="center"/>
          </w:tcPr>
          <w:p w14:paraId="3AD9290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实施转运</w:t>
            </w:r>
          </w:p>
        </w:tc>
        <w:tc>
          <w:tcPr>
            <w:tcW w:w="2304" w:type="dxa"/>
            <w:tcBorders>
              <w:top w:val="nil"/>
              <w:left w:val="nil"/>
              <w:bottom w:val="nil"/>
              <w:right w:val="nil"/>
              <w:insideH w:val="nil"/>
              <w:insideV w:val="nil"/>
            </w:tcBorders>
            <w:vAlign w:val="center"/>
          </w:tcPr>
          <w:p w14:paraId="380891CB">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搬运不稳、途中停留、随意放置</w:t>
            </w:r>
          </w:p>
        </w:tc>
        <w:tc>
          <w:tcPr>
            <w:tcW w:w="1871" w:type="dxa"/>
            <w:tcBorders>
              <w:top w:val="nil"/>
              <w:left w:val="nil"/>
              <w:bottom w:val="nil"/>
              <w:right w:val="nil"/>
              <w:insideH w:val="nil"/>
              <w:insideV w:val="nil"/>
            </w:tcBorders>
            <w:vAlign w:val="center"/>
          </w:tcPr>
          <w:p w14:paraId="3BCDE9D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容器破损、样本遗失</w:t>
            </w:r>
          </w:p>
        </w:tc>
        <w:tc>
          <w:tcPr>
            <w:tcW w:w="2321" w:type="dxa"/>
            <w:tcBorders>
              <w:top w:val="nil"/>
              <w:left w:val="nil"/>
              <w:bottom w:val="nil"/>
              <w:right w:val="nil"/>
              <w:insideH w:val="nil"/>
              <w:insideV w:val="nil"/>
            </w:tcBorders>
            <w:vAlign w:val="center"/>
          </w:tcPr>
          <w:p w14:paraId="658FE54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保持平稳搬运，中途不得随意开启</w:t>
            </w:r>
          </w:p>
        </w:tc>
        <w:tc>
          <w:tcPr>
            <w:tcW w:w="1452" w:type="dxa"/>
            <w:tcBorders>
              <w:top w:val="nil"/>
              <w:left w:val="nil"/>
              <w:bottom w:val="nil"/>
              <w:right w:val="nil"/>
              <w:insideH w:val="nil"/>
              <w:insideV w:val="nil"/>
            </w:tcBorders>
            <w:vAlign w:val="center"/>
          </w:tcPr>
          <w:p w14:paraId="5C5C5D70">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转运人员</w:t>
            </w:r>
          </w:p>
        </w:tc>
      </w:tr>
      <w:tr w14:paraId="0C80B4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56" w:type="dxa"/>
            <w:tcBorders>
              <w:top w:val="nil"/>
              <w:left w:val="nil"/>
              <w:bottom w:val="nil"/>
              <w:right w:val="nil"/>
              <w:insideH w:val="nil"/>
              <w:insideV w:val="nil"/>
            </w:tcBorders>
            <w:vAlign w:val="center"/>
          </w:tcPr>
          <w:p w14:paraId="764F46F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交接签收</w:t>
            </w:r>
          </w:p>
        </w:tc>
        <w:tc>
          <w:tcPr>
            <w:tcW w:w="2304" w:type="dxa"/>
            <w:tcBorders>
              <w:top w:val="nil"/>
              <w:left w:val="nil"/>
              <w:bottom w:val="nil"/>
              <w:right w:val="nil"/>
              <w:insideH w:val="nil"/>
              <w:insideV w:val="nil"/>
            </w:tcBorders>
            <w:vAlign w:val="center"/>
          </w:tcPr>
          <w:p w14:paraId="5A631DD1">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交接人不明确、未记录时间和数量</w:t>
            </w:r>
          </w:p>
        </w:tc>
        <w:tc>
          <w:tcPr>
            <w:tcW w:w="1871" w:type="dxa"/>
            <w:tcBorders>
              <w:top w:val="nil"/>
              <w:left w:val="nil"/>
              <w:bottom w:val="nil"/>
              <w:right w:val="nil"/>
              <w:insideH w:val="nil"/>
              <w:insideV w:val="nil"/>
            </w:tcBorders>
            <w:vAlign w:val="center"/>
          </w:tcPr>
          <w:p w14:paraId="277BC6E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责任不清、账物不符</w:t>
            </w:r>
          </w:p>
        </w:tc>
        <w:tc>
          <w:tcPr>
            <w:tcW w:w="2321" w:type="dxa"/>
            <w:tcBorders>
              <w:top w:val="nil"/>
              <w:left w:val="nil"/>
              <w:bottom w:val="nil"/>
              <w:right w:val="nil"/>
              <w:insideH w:val="nil"/>
              <w:insideV w:val="nil"/>
            </w:tcBorders>
            <w:vAlign w:val="center"/>
          </w:tcPr>
          <w:p w14:paraId="528A359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按交接单签字确认</w:t>
            </w:r>
          </w:p>
        </w:tc>
        <w:tc>
          <w:tcPr>
            <w:tcW w:w="1452" w:type="dxa"/>
            <w:tcBorders>
              <w:top w:val="nil"/>
              <w:left w:val="nil"/>
              <w:bottom w:val="nil"/>
              <w:right w:val="nil"/>
              <w:insideH w:val="nil"/>
              <w:insideV w:val="nil"/>
            </w:tcBorders>
            <w:vAlign w:val="center"/>
          </w:tcPr>
          <w:p w14:paraId="1B36484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双方责任人</w:t>
            </w:r>
          </w:p>
        </w:tc>
      </w:tr>
      <w:tr w14:paraId="4A1303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56" w:type="dxa"/>
            <w:tcBorders>
              <w:top w:val="nil"/>
              <w:left w:val="nil"/>
              <w:bottom w:val="single" w:color="auto" w:sz="12" w:space="0"/>
              <w:right w:val="nil"/>
              <w:insideH w:val="nil"/>
              <w:insideV w:val="nil"/>
            </w:tcBorders>
            <w:vAlign w:val="center"/>
          </w:tcPr>
          <w:p w14:paraId="40995603">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异常情况处置</w:t>
            </w:r>
          </w:p>
        </w:tc>
        <w:tc>
          <w:tcPr>
            <w:tcW w:w="2304" w:type="dxa"/>
            <w:tcBorders>
              <w:top w:val="nil"/>
              <w:left w:val="nil"/>
              <w:bottom w:val="single" w:color="auto" w:sz="12" w:space="0"/>
              <w:right w:val="nil"/>
              <w:insideH w:val="nil"/>
              <w:insideV w:val="nil"/>
            </w:tcBorders>
            <w:vAlign w:val="center"/>
          </w:tcPr>
          <w:p w14:paraId="55857DD1">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突发泄漏、容器松脱、人员接触</w:t>
            </w:r>
          </w:p>
        </w:tc>
        <w:tc>
          <w:tcPr>
            <w:tcW w:w="1871" w:type="dxa"/>
            <w:tcBorders>
              <w:top w:val="nil"/>
              <w:left w:val="nil"/>
              <w:bottom w:val="single" w:color="auto" w:sz="12" w:space="0"/>
              <w:right w:val="nil"/>
              <w:insideH w:val="nil"/>
              <w:insideV w:val="nil"/>
            </w:tcBorders>
            <w:vAlign w:val="center"/>
          </w:tcPr>
          <w:p w14:paraId="7D3894C3">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污染扩大、报告延迟</w:t>
            </w:r>
          </w:p>
        </w:tc>
        <w:tc>
          <w:tcPr>
            <w:tcW w:w="2321" w:type="dxa"/>
            <w:tcBorders>
              <w:top w:val="nil"/>
              <w:left w:val="nil"/>
              <w:bottom w:val="single" w:color="auto" w:sz="12" w:space="0"/>
              <w:right w:val="nil"/>
              <w:insideH w:val="nil"/>
              <w:insideV w:val="nil"/>
            </w:tcBorders>
            <w:vAlign w:val="center"/>
          </w:tcPr>
          <w:p w14:paraId="7EAFF4D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立即隔离、消毒、报告并记录</w:t>
            </w:r>
          </w:p>
        </w:tc>
        <w:tc>
          <w:tcPr>
            <w:tcW w:w="1452" w:type="dxa"/>
            <w:tcBorders>
              <w:top w:val="nil"/>
              <w:left w:val="nil"/>
              <w:bottom w:val="single" w:color="auto" w:sz="12" w:space="0"/>
              <w:right w:val="nil"/>
              <w:insideH w:val="nil"/>
              <w:insideV w:val="nil"/>
            </w:tcBorders>
            <w:vAlign w:val="center"/>
          </w:tcPr>
          <w:p w14:paraId="3F520EEA">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现场人员</w:t>
            </w:r>
          </w:p>
        </w:tc>
      </w:tr>
    </w:tbl>
    <w:p w14:paraId="5670525D">
      <w:pPr>
        <w:spacing w:after="0" w:line="360" w:lineRule="auto"/>
        <w:ind w:firstLine="480"/>
        <w:jc w:val="both"/>
      </w:pPr>
    </w:p>
    <w:p w14:paraId="699ACE53">
      <w:pPr>
        <w:spacing w:after="0" w:line="360" w:lineRule="auto"/>
        <w:ind w:firstLine="480"/>
        <w:jc w:val="both"/>
      </w:pPr>
      <w:r>
        <w:rPr>
          <w:rFonts w:ascii="Times New Roman" w:hAnsi="Times New Roman" w:eastAsia="宋体" w:cs="Times New Roman"/>
          <w:sz w:val="24"/>
        </w:rPr>
        <w:t>典型事故场景分析有助于把安全管理要求转化为具体的风险识别能力。生物实验室常见风险包括样本泄漏、针刺伤、感染性废弃物处置不当、设备异常和试剂误用等。</w:t>
      </w:r>
    </w:p>
    <w:p w14:paraId="72EA3AAA">
      <w:pPr>
        <w:spacing w:after="0" w:line="360" w:lineRule="auto"/>
        <w:ind w:firstLine="480"/>
        <w:jc w:val="both"/>
      </w:pPr>
      <w:r>
        <w:rPr>
          <w:rFonts w:ascii="Times New Roman" w:hAnsi="Times New Roman" w:eastAsia="宋体" w:cs="Times New Roman"/>
          <w:sz w:val="24"/>
        </w:rPr>
        <w:t>以样本泄漏为例，风险可能来源于容器密封不严、转运路径不清、操作台面拥挤或人员防护不到位。处置时需要及时限制污染范围、进行消毒处理并完成记录。</w:t>
      </w:r>
    </w:p>
    <w:p w14:paraId="1ED976E8">
      <w:pPr>
        <w:spacing w:after="0" w:line="360" w:lineRule="auto"/>
        <w:ind w:firstLine="480"/>
        <w:jc w:val="both"/>
      </w:pPr>
      <w:r>
        <w:rPr>
          <w:rFonts w:ascii="Times New Roman" w:hAnsi="Times New Roman" w:eastAsia="宋体" w:cs="Times New Roman"/>
          <w:sz w:val="24"/>
        </w:rPr>
        <w:t>以针刺伤为例，风险往往与锐器使用、废弃物分类和操作习惯有关。实验人员发生针刺伤后，应按规定进行局部处理、报告和医学评估，不能自行简单处理后继续实验。</w:t>
      </w:r>
    </w:p>
    <w:p w14:paraId="17B37288">
      <w:pPr>
        <w:spacing w:after="0" w:line="360" w:lineRule="auto"/>
        <w:ind w:firstLine="480"/>
        <w:jc w:val="both"/>
      </w:pPr>
      <w:r>
        <w:rPr>
          <w:rFonts w:ascii="Times New Roman" w:hAnsi="Times New Roman" w:eastAsia="宋体" w:cs="Times New Roman"/>
          <w:sz w:val="24"/>
        </w:rPr>
        <w:t>以设备异常为例，高压灭菌锅压力异常、离心机震动明显或冰箱温度失控，都可能影响实验安全。此类情况需要及时停用设备并报告责任人，避免继续使用造成更大风险。</w:t>
      </w:r>
    </w:p>
    <w:p w14:paraId="5A3D937C">
      <w:pPr>
        <w:spacing w:after="0" w:line="360" w:lineRule="auto"/>
        <w:ind w:firstLine="480"/>
        <w:jc w:val="both"/>
      </w:pPr>
      <w:r>
        <w:t>通过对典型场景进行分析，实验室可以把抽象的安全要求转化为更具体的操作提示，也便于在培训和检查中发现重点问题。 应急物资配置直接影响事故初期处置效果，表4-14列出常用应急物资及其用途，为实验室根据风险场景配置物资提供参考。</w:t>
      </w:r>
    </w:p>
    <w:p w14:paraId="4185175F">
      <w:pPr>
        <w:tabs>
          <w:tab w:val="left" w:pos="8170"/>
        </w:tabs>
        <w:bidi w:val="0"/>
        <w:jc w:val="left"/>
        <w:rPr>
          <w:rFonts w:hint="eastAsia" w:eastAsia="宋体"/>
          <w:lang w:val="en-US" w:eastAsia="zh-CN"/>
        </w:rPr>
      </w:pPr>
    </w:p>
    <w:p w14:paraId="6C8F30C1">
      <w:pPr>
        <w:keepNext/>
        <w:spacing w:before="60" w:after="60" w:line="360" w:lineRule="auto"/>
        <w:jc w:val="both"/>
        <w:rPr>
          <w:rFonts w:hint="eastAsia" w:ascii="黑体" w:hAnsi="黑体" w:eastAsia="黑体" w:cs="Times New Roman"/>
          <w:sz w:val="21"/>
          <w:szCs w:val="21"/>
          <w:lang w:val="en-US" w:eastAsia="zh-CN"/>
        </w:rPr>
      </w:pPr>
    </w:p>
    <w:p w14:paraId="18269C9C">
      <w:pPr>
        <w:keepNext/>
        <w:spacing w:before="60" w:after="60" w:line="360" w:lineRule="auto"/>
        <w:jc w:val="both"/>
        <w:rPr>
          <w:rFonts w:hint="eastAsia" w:ascii="黑体" w:hAnsi="黑体" w:eastAsia="黑体" w:cs="Times New Roman"/>
          <w:sz w:val="21"/>
          <w:szCs w:val="21"/>
          <w:lang w:val="en-US" w:eastAsia="zh-CN"/>
        </w:rPr>
      </w:pPr>
    </w:p>
    <w:p w14:paraId="074FF236">
      <w:pPr>
        <w:keepNext/>
        <w:spacing w:before="60" w:after="60" w:line="360" w:lineRule="auto"/>
        <w:jc w:val="center"/>
      </w:pPr>
      <w:r>
        <w:rPr>
          <w:rFonts w:ascii="黑体" w:hAnsi="黑体" w:eastAsia="黑体" w:cs="Times New Roman"/>
          <w:sz w:val="21"/>
          <w:szCs w:val="21"/>
        </w:rPr>
        <w:t>表4-14 高校生物实验室常用应急物资配置表（示例）</w:t>
      </w:r>
    </w:p>
    <w:tbl>
      <w:tblPr>
        <w:tblStyle w:val="36"/>
        <w:tblW w:w="1021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6"/>
        <w:gridCol w:w="2856"/>
        <w:gridCol w:w="1806"/>
        <w:gridCol w:w="2566"/>
        <w:gridCol w:w="1600"/>
      </w:tblGrid>
      <w:tr w14:paraId="7FFA15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0" w:hRule="atLeast"/>
          <w:tblHeader/>
          <w:jc w:val="center"/>
        </w:trPr>
        <w:tc>
          <w:tcPr>
            <w:tcW w:w="1386" w:type="dxa"/>
            <w:tcBorders>
              <w:top w:val="single" w:color="auto" w:sz="12" w:space="0"/>
              <w:left w:val="nil"/>
              <w:bottom w:val="single" w:color="auto" w:sz="4" w:space="0"/>
              <w:right w:val="nil"/>
              <w:insideH w:val="nil"/>
              <w:insideV w:val="nil"/>
            </w:tcBorders>
            <w:vAlign w:val="center"/>
          </w:tcPr>
          <w:p w14:paraId="210BC641">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物资类别</w:t>
            </w:r>
          </w:p>
        </w:tc>
        <w:tc>
          <w:tcPr>
            <w:tcW w:w="2856" w:type="dxa"/>
            <w:tcBorders>
              <w:top w:val="single" w:color="auto" w:sz="12" w:space="0"/>
              <w:left w:val="nil"/>
              <w:bottom w:val="single" w:color="auto" w:sz="4" w:space="0"/>
              <w:right w:val="nil"/>
              <w:insideH w:val="nil"/>
              <w:insideV w:val="nil"/>
            </w:tcBorders>
            <w:vAlign w:val="center"/>
          </w:tcPr>
          <w:p w14:paraId="5BC16DC6">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典型物资</w:t>
            </w:r>
          </w:p>
        </w:tc>
        <w:tc>
          <w:tcPr>
            <w:tcW w:w="1806" w:type="dxa"/>
            <w:tcBorders>
              <w:top w:val="single" w:color="auto" w:sz="12" w:space="0"/>
              <w:left w:val="nil"/>
              <w:bottom w:val="single" w:color="auto" w:sz="4" w:space="0"/>
              <w:right w:val="nil"/>
              <w:insideH w:val="nil"/>
              <w:insideV w:val="nil"/>
            </w:tcBorders>
            <w:vAlign w:val="center"/>
          </w:tcPr>
          <w:p w14:paraId="269D2DAE">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主要用途</w:t>
            </w:r>
          </w:p>
        </w:tc>
        <w:tc>
          <w:tcPr>
            <w:tcW w:w="2566" w:type="dxa"/>
            <w:tcBorders>
              <w:top w:val="single" w:color="auto" w:sz="12" w:space="0"/>
              <w:left w:val="nil"/>
              <w:bottom w:val="single" w:color="auto" w:sz="4" w:space="0"/>
              <w:right w:val="nil"/>
              <w:insideH w:val="nil"/>
              <w:insideV w:val="nil"/>
            </w:tcBorders>
            <w:vAlign w:val="center"/>
          </w:tcPr>
          <w:p w14:paraId="76EE4380">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管理要点</w:t>
            </w:r>
          </w:p>
        </w:tc>
        <w:tc>
          <w:tcPr>
            <w:tcW w:w="1600" w:type="dxa"/>
            <w:tcBorders>
              <w:top w:val="single" w:color="auto" w:sz="12" w:space="0"/>
              <w:left w:val="nil"/>
              <w:bottom w:val="single" w:color="auto" w:sz="4" w:space="0"/>
              <w:right w:val="nil"/>
              <w:insideH w:val="nil"/>
              <w:insideV w:val="nil"/>
            </w:tcBorders>
            <w:vAlign w:val="center"/>
          </w:tcPr>
          <w:p w14:paraId="2DA076CB">
            <w:pPr>
              <w:snapToGrid w:val="0"/>
              <w:spacing w:after="0" w:line="240" w:lineRule="auto"/>
              <w:ind w:left="0" w:leftChars="0" w:right="0" w:rightChars="0" w:firstLine="0" w:firstLineChars="0"/>
              <w:jc w:val="center"/>
              <w:rPr>
                <w:rFonts w:ascii="Times New Roman" w:eastAsia="宋体"/>
                <w:b w:val="0"/>
                <w:bCs/>
                <w:sz w:val="21"/>
              </w:rPr>
            </w:pPr>
            <w:r>
              <w:rPr>
                <w:rFonts w:ascii="Times New Roman" w:hAnsi="Times New Roman" w:eastAsia="宋体" w:cs="Times New Roman"/>
                <w:b w:val="0"/>
                <w:bCs/>
                <w:sz w:val="21"/>
                <w:szCs w:val="21"/>
              </w:rPr>
              <w:t>建议检查周期</w:t>
            </w:r>
          </w:p>
        </w:tc>
      </w:tr>
      <w:tr w14:paraId="036FF4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single" w:color="auto" w:sz="4" w:space="0"/>
              <w:left w:val="nil"/>
              <w:bottom w:val="nil"/>
              <w:right w:val="nil"/>
              <w:insideH w:val="nil"/>
              <w:insideV w:val="nil"/>
            </w:tcBorders>
            <w:vAlign w:val="center"/>
          </w:tcPr>
          <w:p w14:paraId="38231AF6">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个人防护</w:t>
            </w:r>
          </w:p>
        </w:tc>
        <w:tc>
          <w:tcPr>
            <w:tcW w:w="2856" w:type="dxa"/>
            <w:tcBorders>
              <w:top w:val="single" w:color="auto" w:sz="4" w:space="0"/>
              <w:left w:val="nil"/>
              <w:bottom w:val="nil"/>
              <w:right w:val="nil"/>
              <w:insideH w:val="nil"/>
              <w:insideV w:val="nil"/>
            </w:tcBorders>
            <w:vAlign w:val="center"/>
          </w:tcPr>
          <w:p w14:paraId="35CE1FE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一次性手套、口罩、防护服、护目镜</w:t>
            </w:r>
          </w:p>
        </w:tc>
        <w:tc>
          <w:tcPr>
            <w:tcW w:w="1806" w:type="dxa"/>
            <w:tcBorders>
              <w:top w:val="single" w:color="auto" w:sz="4" w:space="0"/>
              <w:left w:val="nil"/>
              <w:bottom w:val="nil"/>
              <w:right w:val="nil"/>
              <w:insideH w:val="nil"/>
              <w:insideV w:val="nil"/>
            </w:tcBorders>
            <w:vAlign w:val="center"/>
          </w:tcPr>
          <w:p w14:paraId="3FAB37F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防止暴露和交叉污染</w:t>
            </w:r>
          </w:p>
        </w:tc>
        <w:tc>
          <w:tcPr>
            <w:tcW w:w="2566" w:type="dxa"/>
            <w:tcBorders>
              <w:top w:val="single" w:color="auto" w:sz="4" w:space="0"/>
              <w:left w:val="nil"/>
              <w:bottom w:val="nil"/>
              <w:right w:val="nil"/>
              <w:insideH w:val="nil"/>
              <w:insideV w:val="nil"/>
            </w:tcBorders>
            <w:vAlign w:val="center"/>
          </w:tcPr>
          <w:p w14:paraId="268EBE0C">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规格齐全、数量充足、便于取用</w:t>
            </w:r>
          </w:p>
        </w:tc>
        <w:tc>
          <w:tcPr>
            <w:tcW w:w="1600" w:type="dxa"/>
            <w:tcBorders>
              <w:top w:val="single" w:color="auto" w:sz="4" w:space="0"/>
              <w:left w:val="nil"/>
              <w:bottom w:val="nil"/>
              <w:right w:val="nil"/>
              <w:insideH w:val="nil"/>
              <w:insideV w:val="nil"/>
            </w:tcBorders>
            <w:vAlign w:val="center"/>
          </w:tcPr>
          <w:p w14:paraId="4D1D987E">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每月</w:t>
            </w:r>
          </w:p>
        </w:tc>
      </w:tr>
      <w:tr w14:paraId="6E7B1D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78F89EAB">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消毒用品</w:t>
            </w:r>
          </w:p>
        </w:tc>
        <w:tc>
          <w:tcPr>
            <w:tcW w:w="2856" w:type="dxa"/>
            <w:tcBorders>
              <w:top w:val="nil"/>
              <w:left w:val="nil"/>
              <w:bottom w:val="nil"/>
              <w:right w:val="nil"/>
              <w:insideH w:val="nil"/>
              <w:insideV w:val="nil"/>
            </w:tcBorders>
            <w:vAlign w:val="center"/>
          </w:tcPr>
          <w:p w14:paraId="74EC0B4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酒精、含氯消毒剂、消毒湿巾</w:t>
            </w:r>
          </w:p>
        </w:tc>
        <w:tc>
          <w:tcPr>
            <w:tcW w:w="1806" w:type="dxa"/>
            <w:tcBorders>
              <w:top w:val="nil"/>
              <w:left w:val="nil"/>
              <w:bottom w:val="nil"/>
              <w:right w:val="nil"/>
              <w:insideH w:val="nil"/>
              <w:insideV w:val="nil"/>
            </w:tcBorders>
            <w:vAlign w:val="center"/>
          </w:tcPr>
          <w:p w14:paraId="1E79275E">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污染区域初步消毒</w:t>
            </w:r>
          </w:p>
        </w:tc>
        <w:tc>
          <w:tcPr>
            <w:tcW w:w="2566" w:type="dxa"/>
            <w:tcBorders>
              <w:top w:val="nil"/>
              <w:left w:val="nil"/>
              <w:bottom w:val="nil"/>
              <w:right w:val="nil"/>
              <w:insideH w:val="nil"/>
              <w:insideV w:val="nil"/>
            </w:tcBorders>
            <w:vAlign w:val="center"/>
          </w:tcPr>
          <w:p w14:paraId="28E7F7C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浓度标识清楚、注意有效期</w:t>
            </w:r>
          </w:p>
        </w:tc>
        <w:tc>
          <w:tcPr>
            <w:tcW w:w="1600" w:type="dxa"/>
            <w:tcBorders>
              <w:top w:val="nil"/>
              <w:left w:val="nil"/>
              <w:bottom w:val="nil"/>
              <w:right w:val="nil"/>
              <w:insideH w:val="nil"/>
              <w:insideV w:val="nil"/>
            </w:tcBorders>
            <w:vAlign w:val="center"/>
          </w:tcPr>
          <w:p w14:paraId="66192A5D">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每月</w:t>
            </w:r>
          </w:p>
        </w:tc>
      </w:tr>
      <w:tr w14:paraId="5671FF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04372B3F">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吸附/封装</w:t>
            </w:r>
          </w:p>
        </w:tc>
        <w:tc>
          <w:tcPr>
            <w:tcW w:w="2856" w:type="dxa"/>
            <w:tcBorders>
              <w:top w:val="nil"/>
              <w:left w:val="nil"/>
              <w:bottom w:val="nil"/>
              <w:right w:val="nil"/>
              <w:insideH w:val="nil"/>
              <w:insideV w:val="nil"/>
            </w:tcBorders>
            <w:vAlign w:val="center"/>
          </w:tcPr>
          <w:p w14:paraId="5382BAF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吸附垫、垃圾袋、封口袋、收纳箱</w:t>
            </w:r>
          </w:p>
        </w:tc>
        <w:tc>
          <w:tcPr>
            <w:tcW w:w="1806" w:type="dxa"/>
            <w:tcBorders>
              <w:top w:val="nil"/>
              <w:left w:val="nil"/>
              <w:bottom w:val="nil"/>
              <w:right w:val="nil"/>
              <w:insideH w:val="nil"/>
              <w:insideV w:val="nil"/>
            </w:tcBorders>
            <w:vAlign w:val="center"/>
          </w:tcPr>
          <w:p w14:paraId="594BA6F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泄漏吸附与污染物封装</w:t>
            </w:r>
          </w:p>
        </w:tc>
        <w:tc>
          <w:tcPr>
            <w:tcW w:w="2566" w:type="dxa"/>
            <w:tcBorders>
              <w:top w:val="nil"/>
              <w:left w:val="nil"/>
              <w:bottom w:val="nil"/>
              <w:right w:val="nil"/>
              <w:insideH w:val="nil"/>
              <w:insideV w:val="nil"/>
            </w:tcBorders>
            <w:vAlign w:val="center"/>
          </w:tcPr>
          <w:p w14:paraId="4650462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与风险类型匹配、易于快速使用</w:t>
            </w:r>
          </w:p>
        </w:tc>
        <w:tc>
          <w:tcPr>
            <w:tcW w:w="1600" w:type="dxa"/>
            <w:tcBorders>
              <w:top w:val="nil"/>
              <w:left w:val="nil"/>
              <w:bottom w:val="nil"/>
              <w:right w:val="nil"/>
              <w:insideH w:val="nil"/>
              <w:insideV w:val="nil"/>
            </w:tcBorders>
            <w:vAlign w:val="center"/>
          </w:tcPr>
          <w:p w14:paraId="109F9DB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每月</w:t>
            </w:r>
          </w:p>
        </w:tc>
      </w:tr>
      <w:tr w14:paraId="13C412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6E5BD894">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锐器处置</w:t>
            </w:r>
          </w:p>
        </w:tc>
        <w:tc>
          <w:tcPr>
            <w:tcW w:w="2856" w:type="dxa"/>
            <w:tcBorders>
              <w:top w:val="nil"/>
              <w:left w:val="nil"/>
              <w:bottom w:val="nil"/>
              <w:right w:val="nil"/>
              <w:insideH w:val="nil"/>
              <w:insideV w:val="nil"/>
            </w:tcBorders>
            <w:vAlign w:val="center"/>
          </w:tcPr>
          <w:p w14:paraId="54909B0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锐器盒、长柄夹、厚壁容器</w:t>
            </w:r>
          </w:p>
        </w:tc>
        <w:tc>
          <w:tcPr>
            <w:tcW w:w="1806" w:type="dxa"/>
            <w:tcBorders>
              <w:top w:val="nil"/>
              <w:left w:val="nil"/>
              <w:bottom w:val="nil"/>
              <w:right w:val="nil"/>
              <w:insideH w:val="nil"/>
              <w:insideV w:val="nil"/>
            </w:tcBorders>
            <w:vAlign w:val="center"/>
          </w:tcPr>
          <w:p w14:paraId="4A983FB9">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锐器收集与防刺伤</w:t>
            </w:r>
          </w:p>
        </w:tc>
        <w:tc>
          <w:tcPr>
            <w:tcW w:w="2566" w:type="dxa"/>
            <w:tcBorders>
              <w:top w:val="nil"/>
              <w:left w:val="nil"/>
              <w:bottom w:val="nil"/>
              <w:right w:val="nil"/>
              <w:insideH w:val="nil"/>
              <w:insideV w:val="nil"/>
            </w:tcBorders>
            <w:vAlign w:val="center"/>
          </w:tcPr>
          <w:p w14:paraId="4DD1706D">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位置固定、不得超量使用</w:t>
            </w:r>
          </w:p>
        </w:tc>
        <w:tc>
          <w:tcPr>
            <w:tcW w:w="1600" w:type="dxa"/>
            <w:tcBorders>
              <w:top w:val="nil"/>
              <w:left w:val="nil"/>
              <w:bottom w:val="nil"/>
              <w:right w:val="nil"/>
              <w:insideH w:val="nil"/>
              <w:insideV w:val="nil"/>
            </w:tcBorders>
            <w:vAlign w:val="center"/>
          </w:tcPr>
          <w:p w14:paraId="76D2E5BA">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每月</w:t>
            </w:r>
          </w:p>
        </w:tc>
      </w:tr>
      <w:tr w14:paraId="062154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64066AC6">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急救用品</w:t>
            </w:r>
          </w:p>
        </w:tc>
        <w:tc>
          <w:tcPr>
            <w:tcW w:w="2856" w:type="dxa"/>
            <w:tcBorders>
              <w:top w:val="nil"/>
              <w:left w:val="nil"/>
              <w:bottom w:val="nil"/>
              <w:right w:val="nil"/>
              <w:insideH w:val="nil"/>
              <w:insideV w:val="nil"/>
            </w:tcBorders>
            <w:vAlign w:val="center"/>
          </w:tcPr>
          <w:p w14:paraId="653B298F">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碘伏、纱布、创可贴、止血用品</w:t>
            </w:r>
          </w:p>
        </w:tc>
        <w:tc>
          <w:tcPr>
            <w:tcW w:w="1806" w:type="dxa"/>
            <w:tcBorders>
              <w:top w:val="nil"/>
              <w:left w:val="nil"/>
              <w:bottom w:val="nil"/>
              <w:right w:val="nil"/>
              <w:insideH w:val="nil"/>
              <w:insideV w:val="nil"/>
            </w:tcBorders>
            <w:vAlign w:val="center"/>
          </w:tcPr>
          <w:p w14:paraId="29B647EA">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先期救护</w:t>
            </w:r>
          </w:p>
        </w:tc>
        <w:tc>
          <w:tcPr>
            <w:tcW w:w="2566" w:type="dxa"/>
            <w:tcBorders>
              <w:top w:val="nil"/>
              <w:left w:val="nil"/>
              <w:bottom w:val="nil"/>
              <w:right w:val="nil"/>
              <w:insideH w:val="nil"/>
              <w:insideV w:val="nil"/>
            </w:tcBorders>
            <w:vAlign w:val="center"/>
          </w:tcPr>
          <w:p w14:paraId="50F1A43D">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避免过期、及时补充</w:t>
            </w:r>
          </w:p>
        </w:tc>
        <w:tc>
          <w:tcPr>
            <w:tcW w:w="1600" w:type="dxa"/>
            <w:tcBorders>
              <w:top w:val="nil"/>
              <w:left w:val="nil"/>
              <w:bottom w:val="nil"/>
              <w:right w:val="nil"/>
              <w:insideH w:val="nil"/>
              <w:insideV w:val="nil"/>
            </w:tcBorders>
            <w:vAlign w:val="center"/>
          </w:tcPr>
          <w:p w14:paraId="613695E5">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每月</w:t>
            </w:r>
          </w:p>
        </w:tc>
      </w:tr>
      <w:tr w14:paraId="69A747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47C4B130">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冲洗装置</w:t>
            </w:r>
          </w:p>
        </w:tc>
        <w:tc>
          <w:tcPr>
            <w:tcW w:w="2856" w:type="dxa"/>
            <w:tcBorders>
              <w:top w:val="nil"/>
              <w:left w:val="nil"/>
              <w:bottom w:val="nil"/>
              <w:right w:val="nil"/>
              <w:insideH w:val="nil"/>
              <w:insideV w:val="nil"/>
            </w:tcBorders>
            <w:vAlign w:val="center"/>
          </w:tcPr>
          <w:p w14:paraId="5FCE602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洗眼器、应急冲淋</w:t>
            </w:r>
          </w:p>
        </w:tc>
        <w:tc>
          <w:tcPr>
            <w:tcW w:w="1806" w:type="dxa"/>
            <w:tcBorders>
              <w:top w:val="nil"/>
              <w:left w:val="nil"/>
              <w:bottom w:val="nil"/>
              <w:right w:val="nil"/>
              <w:insideH w:val="nil"/>
              <w:insideV w:val="nil"/>
            </w:tcBorders>
            <w:vAlign w:val="center"/>
          </w:tcPr>
          <w:p w14:paraId="0B4B3FE4">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暴露后冲洗</w:t>
            </w:r>
          </w:p>
        </w:tc>
        <w:tc>
          <w:tcPr>
            <w:tcW w:w="2566" w:type="dxa"/>
            <w:tcBorders>
              <w:top w:val="nil"/>
              <w:left w:val="nil"/>
              <w:bottom w:val="nil"/>
              <w:right w:val="nil"/>
              <w:insideH w:val="nil"/>
              <w:insideV w:val="nil"/>
            </w:tcBorders>
            <w:vAlign w:val="center"/>
          </w:tcPr>
          <w:p w14:paraId="60DEB623">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保证通畅、周边无遮挡</w:t>
            </w:r>
          </w:p>
        </w:tc>
        <w:tc>
          <w:tcPr>
            <w:tcW w:w="1600" w:type="dxa"/>
            <w:tcBorders>
              <w:top w:val="nil"/>
              <w:left w:val="nil"/>
              <w:bottom w:val="nil"/>
              <w:right w:val="nil"/>
              <w:insideH w:val="nil"/>
              <w:insideV w:val="nil"/>
            </w:tcBorders>
            <w:vAlign w:val="center"/>
          </w:tcPr>
          <w:p w14:paraId="5AFE5247">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每周/每月</w:t>
            </w:r>
          </w:p>
        </w:tc>
      </w:tr>
      <w:tr w14:paraId="454866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insideH w:val="nil"/>
              <w:insideV w:val="nil"/>
            </w:tcBorders>
            <w:vAlign w:val="center"/>
          </w:tcPr>
          <w:p w14:paraId="516B43E9">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应急照明</w:t>
            </w:r>
          </w:p>
        </w:tc>
        <w:tc>
          <w:tcPr>
            <w:tcW w:w="2856" w:type="dxa"/>
            <w:tcBorders>
              <w:top w:val="nil"/>
              <w:left w:val="nil"/>
              <w:bottom w:val="nil"/>
              <w:right w:val="nil"/>
              <w:insideH w:val="nil"/>
              <w:insideV w:val="nil"/>
            </w:tcBorders>
            <w:vAlign w:val="center"/>
          </w:tcPr>
          <w:p w14:paraId="1B192766">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手电、备用灯具</w:t>
            </w:r>
          </w:p>
        </w:tc>
        <w:tc>
          <w:tcPr>
            <w:tcW w:w="1806" w:type="dxa"/>
            <w:tcBorders>
              <w:top w:val="nil"/>
              <w:left w:val="nil"/>
              <w:bottom w:val="nil"/>
              <w:right w:val="nil"/>
              <w:insideH w:val="nil"/>
              <w:insideV w:val="nil"/>
            </w:tcBorders>
            <w:vAlign w:val="center"/>
          </w:tcPr>
          <w:p w14:paraId="2F09412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停电和夜间处置</w:t>
            </w:r>
          </w:p>
        </w:tc>
        <w:tc>
          <w:tcPr>
            <w:tcW w:w="2566" w:type="dxa"/>
            <w:tcBorders>
              <w:top w:val="nil"/>
              <w:left w:val="nil"/>
              <w:bottom w:val="nil"/>
              <w:right w:val="nil"/>
              <w:insideH w:val="nil"/>
              <w:insideV w:val="nil"/>
            </w:tcBorders>
            <w:vAlign w:val="center"/>
          </w:tcPr>
          <w:p w14:paraId="111571DA">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电量检查、备用状态</w:t>
            </w:r>
          </w:p>
        </w:tc>
        <w:tc>
          <w:tcPr>
            <w:tcW w:w="1600" w:type="dxa"/>
            <w:tcBorders>
              <w:top w:val="nil"/>
              <w:left w:val="nil"/>
              <w:bottom w:val="nil"/>
              <w:right w:val="nil"/>
              <w:insideH w:val="nil"/>
              <w:insideV w:val="nil"/>
            </w:tcBorders>
            <w:vAlign w:val="center"/>
          </w:tcPr>
          <w:p w14:paraId="7EBD7542">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每月</w:t>
            </w:r>
          </w:p>
        </w:tc>
      </w:tr>
      <w:tr w14:paraId="2E5712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86" w:type="dxa"/>
            <w:tcBorders>
              <w:top w:val="nil"/>
              <w:left w:val="nil"/>
              <w:bottom w:val="single" w:color="auto" w:sz="12" w:space="0"/>
              <w:right w:val="nil"/>
              <w:insideH w:val="nil"/>
              <w:insideV w:val="nil"/>
            </w:tcBorders>
            <w:vAlign w:val="center"/>
          </w:tcPr>
          <w:p w14:paraId="05950514">
            <w:pPr>
              <w:snapToGrid w:val="0"/>
              <w:spacing w:after="0" w:line="240" w:lineRule="auto"/>
              <w:ind w:left="0" w:leftChars="0" w:right="0" w:rightChars="0" w:firstLine="0" w:firstLineChars="0"/>
              <w:jc w:val="center"/>
              <w:rPr>
                <w:rFonts w:ascii="Times New Roman" w:eastAsia="宋体"/>
                <w:sz w:val="21"/>
              </w:rPr>
            </w:pPr>
            <w:r>
              <w:rPr>
                <w:rFonts w:ascii="Times New Roman" w:hAnsi="Times New Roman" w:eastAsia="宋体" w:cs="Times New Roman"/>
                <w:sz w:val="21"/>
                <w:szCs w:val="21"/>
              </w:rPr>
              <w:t>信息类物资</w:t>
            </w:r>
          </w:p>
        </w:tc>
        <w:tc>
          <w:tcPr>
            <w:tcW w:w="2856" w:type="dxa"/>
            <w:tcBorders>
              <w:top w:val="nil"/>
              <w:left w:val="nil"/>
              <w:bottom w:val="single" w:color="auto" w:sz="12" w:space="0"/>
              <w:right w:val="nil"/>
              <w:insideH w:val="nil"/>
              <w:insideV w:val="nil"/>
            </w:tcBorders>
            <w:vAlign w:val="center"/>
          </w:tcPr>
          <w:p w14:paraId="40F08FA8">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应急流程卡、联络电话、岗位分工表</w:t>
            </w:r>
          </w:p>
        </w:tc>
        <w:tc>
          <w:tcPr>
            <w:tcW w:w="1806" w:type="dxa"/>
            <w:tcBorders>
              <w:top w:val="nil"/>
              <w:left w:val="nil"/>
              <w:bottom w:val="single" w:color="auto" w:sz="12" w:space="0"/>
              <w:right w:val="nil"/>
              <w:insideH w:val="nil"/>
              <w:insideV w:val="nil"/>
            </w:tcBorders>
            <w:vAlign w:val="center"/>
          </w:tcPr>
          <w:p w14:paraId="67C3ED21">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指导处置与快速联络</w:t>
            </w:r>
          </w:p>
        </w:tc>
        <w:tc>
          <w:tcPr>
            <w:tcW w:w="2566" w:type="dxa"/>
            <w:tcBorders>
              <w:top w:val="nil"/>
              <w:left w:val="nil"/>
              <w:bottom w:val="single" w:color="auto" w:sz="12" w:space="0"/>
              <w:right w:val="nil"/>
              <w:insideH w:val="nil"/>
              <w:insideV w:val="nil"/>
            </w:tcBorders>
            <w:vAlign w:val="center"/>
          </w:tcPr>
          <w:p w14:paraId="626D07AB">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内容更新及时、位置醒目</w:t>
            </w:r>
          </w:p>
        </w:tc>
        <w:tc>
          <w:tcPr>
            <w:tcW w:w="1600" w:type="dxa"/>
            <w:tcBorders>
              <w:top w:val="nil"/>
              <w:left w:val="nil"/>
              <w:bottom w:val="single" w:color="auto" w:sz="12" w:space="0"/>
              <w:right w:val="nil"/>
              <w:insideH w:val="nil"/>
              <w:insideV w:val="nil"/>
            </w:tcBorders>
            <w:vAlign w:val="center"/>
          </w:tcPr>
          <w:p w14:paraId="0BCC0E8E">
            <w:pPr>
              <w:snapToGrid w:val="0"/>
              <w:spacing w:after="0" w:line="240" w:lineRule="auto"/>
              <w:ind w:left="0" w:leftChars="0" w:right="0" w:rightChars="0" w:firstLine="0" w:firstLineChars="0"/>
              <w:jc w:val="left"/>
              <w:rPr>
                <w:rFonts w:ascii="Times New Roman" w:eastAsia="宋体"/>
                <w:sz w:val="21"/>
              </w:rPr>
            </w:pPr>
            <w:r>
              <w:rPr>
                <w:rFonts w:ascii="Times New Roman" w:hAnsi="Times New Roman" w:eastAsia="宋体" w:cs="Times New Roman"/>
                <w:sz w:val="21"/>
                <w:szCs w:val="21"/>
              </w:rPr>
              <w:t>每季度</w:t>
            </w:r>
          </w:p>
        </w:tc>
      </w:tr>
    </w:tbl>
    <w:p w14:paraId="5D6D0207">
      <w:pPr>
        <w:spacing w:after="0" w:line="360" w:lineRule="auto"/>
        <w:ind w:firstLine="480"/>
        <w:jc w:val="both"/>
      </w:pPr>
    </w:p>
    <w:p w14:paraId="6043013B">
      <w:pPr>
        <w:spacing w:before="0" w:after="0" w:line="360" w:lineRule="auto"/>
        <w:ind w:firstLine="420"/>
        <w:jc w:val="both"/>
      </w:pPr>
      <w:r>
        <w:rPr>
          <w:rFonts w:ascii="Times New Roman" w:hAnsi="Times New Roman" w:eastAsia="宋体"/>
          <w:sz w:val="24"/>
        </w:rPr>
        <w:t>除人员、设备、材料和流程本身的改进外，优化策略还需要明确实施顺序。高校生物实验室往往同时承担教学实验和科研任务，如果一次性提出过多要求，容易造成基层执行压力过大，最后变成表面化整改。因此，较为可行的做法是按照基础梳理、重点整改、运行固化和持续提升四个阶段推进，把复杂治理任务分解为若干可以检查、可以记录、可以复盘的工作。</w:t>
      </w:r>
    </w:p>
    <w:p w14:paraId="7A4A8B02">
      <w:pPr>
        <w:spacing w:before="0" w:after="0" w:line="360" w:lineRule="auto"/>
        <w:ind w:firstLine="420"/>
        <w:jc w:val="both"/>
      </w:pPr>
      <w:r>
        <w:rPr>
          <w:rFonts w:ascii="Times New Roman" w:hAnsi="Times New Roman" w:eastAsia="宋体"/>
          <w:sz w:val="24"/>
        </w:rPr>
        <w:t>在基础梳理阶段，重点是摸清实验室人员、设备、样本、试剂、危废和制度文件的底数，形成基础台账。只有先弄清楚谁在使用实验室、哪些设备属于关键设备、哪些样本和试剂需要重点管控，后续风险分级和责任落实才有依据。在重点整改阶段，应把高风险设备、感染性废弃物、公共冰箱、共享实验区域和应急物资作为优先对象，避免平均用力。</w:t>
      </w:r>
    </w:p>
    <w:p w14:paraId="0F262C04">
      <w:pPr>
        <w:spacing w:before="0" w:after="0" w:line="360" w:lineRule="auto"/>
        <w:ind w:firstLine="420"/>
        <w:jc w:val="both"/>
        <w:rPr>
          <w:rFonts w:ascii="黑体" w:hAnsi="黑体" w:eastAsia="黑体"/>
          <w:sz w:val="21"/>
        </w:rPr>
      </w:pPr>
      <w:r>
        <w:t>运行固化阶段更强调制度与日常工作的结合。培训、检查、点检、台账更新和隐患整改不能只在迎检时集中完成，而应嵌入学期初、实验前、项目启动、设备使用和废弃物转运等日常节点。持续提升阶段则需要通过数据分析和复盘，把反复出现的问题转化为制度修订、培训更新和资源投入依据。 优化策略的落实需要分阶段推进，表4-15以年度计划形式安排基础梳理、重点整改、运行固化和持续提升等工作，避免整改任务一次性堆积。</w:t>
      </w:r>
    </w:p>
    <w:p w14:paraId="62F81391">
      <w:pPr>
        <w:keepNext/>
        <w:spacing w:before="60" w:after="60" w:line="360" w:lineRule="auto"/>
        <w:jc w:val="center"/>
      </w:pPr>
      <w:r>
        <w:rPr>
          <w:rFonts w:ascii="黑体" w:hAnsi="黑体" w:eastAsia="黑体"/>
          <w:sz w:val="21"/>
        </w:rPr>
        <w:t>表4-15 高校生物实验室安全管理年度推进计划（示例）</w:t>
      </w:r>
    </w:p>
    <w:tbl>
      <w:tblPr>
        <w:tblStyle w:val="37"/>
        <w:tblW w:w="9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176"/>
        <w:gridCol w:w="1597"/>
        <w:gridCol w:w="3218"/>
        <w:gridCol w:w="1927"/>
        <w:gridCol w:w="1580"/>
      </w:tblGrid>
      <w:tr w14:paraId="3DD4C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301" w:hRule="atLeast"/>
          <w:tblHeader/>
          <w:jc w:val="center"/>
        </w:trPr>
        <w:tc>
          <w:tcPr>
            <w:tcW w:w="1176" w:type="dxa"/>
            <w:tcBorders>
              <w:top w:val="single" w:color="auto" w:sz="12" w:space="0"/>
              <w:left w:val="nil"/>
              <w:bottom w:val="single" w:color="auto" w:sz="4" w:space="0"/>
              <w:right w:val="nil"/>
            </w:tcBorders>
            <w:shd w:val="clear" w:color="auto" w:fill="FFFFFF" w:themeFill="background1"/>
            <w:vAlign w:val="center"/>
          </w:tcPr>
          <w:p w14:paraId="4C0D1A24">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阶段</w:t>
            </w:r>
          </w:p>
        </w:tc>
        <w:tc>
          <w:tcPr>
            <w:tcW w:w="1597" w:type="dxa"/>
            <w:tcBorders>
              <w:top w:val="single" w:color="auto" w:sz="12" w:space="0"/>
              <w:left w:val="nil"/>
              <w:bottom w:val="single" w:color="auto" w:sz="4" w:space="0"/>
              <w:right w:val="nil"/>
            </w:tcBorders>
            <w:shd w:val="clear" w:color="auto" w:fill="FFFFFF" w:themeFill="background1"/>
            <w:vAlign w:val="center"/>
          </w:tcPr>
          <w:p w14:paraId="61BFBC06">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重点任务</w:t>
            </w:r>
          </w:p>
        </w:tc>
        <w:tc>
          <w:tcPr>
            <w:tcW w:w="3218" w:type="dxa"/>
            <w:tcBorders>
              <w:top w:val="single" w:color="auto" w:sz="12" w:space="0"/>
              <w:left w:val="nil"/>
              <w:bottom w:val="single" w:color="auto" w:sz="4" w:space="0"/>
              <w:right w:val="nil"/>
            </w:tcBorders>
            <w:shd w:val="clear" w:color="auto" w:fill="FFFFFF" w:themeFill="background1"/>
            <w:vAlign w:val="center"/>
          </w:tcPr>
          <w:p w14:paraId="77AEB2FD">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主要内容</w:t>
            </w:r>
          </w:p>
        </w:tc>
        <w:tc>
          <w:tcPr>
            <w:tcW w:w="1927" w:type="dxa"/>
            <w:tcBorders>
              <w:top w:val="single" w:color="auto" w:sz="12" w:space="0"/>
              <w:left w:val="nil"/>
              <w:bottom w:val="single" w:color="auto" w:sz="4" w:space="0"/>
              <w:right w:val="nil"/>
            </w:tcBorders>
            <w:shd w:val="clear" w:color="auto" w:fill="FFFFFF" w:themeFill="background1"/>
            <w:vAlign w:val="center"/>
          </w:tcPr>
          <w:p w14:paraId="788E2E13">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输出成果</w:t>
            </w:r>
          </w:p>
        </w:tc>
        <w:tc>
          <w:tcPr>
            <w:tcW w:w="1580" w:type="dxa"/>
            <w:tcBorders>
              <w:top w:val="single" w:color="auto" w:sz="12" w:space="0"/>
              <w:left w:val="nil"/>
              <w:bottom w:val="single" w:color="auto" w:sz="4" w:space="0"/>
              <w:right w:val="nil"/>
            </w:tcBorders>
            <w:shd w:val="clear" w:color="auto" w:fill="FFFFFF" w:themeFill="background1"/>
            <w:vAlign w:val="center"/>
          </w:tcPr>
          <w:p w14:paraId="0D530B95">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责任主体</w:t>
            </w:r>
          </w:p>
        </w:tc>
      </w:tr>
      <w:tr w14:paraId="08A1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552" w:hRule="atLeast"/>
          <w:jc w:val="center"/>
        </w:trPr>
        <w:tc>
          <w:tcPr>
            <w:tcW w:w="1176" w:type="dxa"/>
            <w:tcBorders>
              <w:top w:val="single" w:color="auto" w:sz="4" w:space="0"/>
              <w:left w:val="nil"/>
              <w:bottom w:val="nil"/>
              <w:right w:val="nil"/>
            </w:tcBorders>
            <w:shd w:val="clear" w:color="auto" w:fill="FFFFFF" w:themeFill="background1"/>
            <w:vAlign w:val="center"/>
          </w:tcPr>
          <w:p w14:paraId="17DCDF9B">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基础梳理</w:t>
            </w:r>
          </w:p>
        </w:tc>
        <w:tc>
          <w:tcPr>
            <w:tcW w:w="1597" w:type="dxa"/>
            <w:tcBorders>
              <w:top w:val="single" w:color="auto" w:sz="4" w:space="0"/>
              <w:left w:val="nil"/>
              <w:bottom w:val="nil"/>
              <w:right w:val="nil"/>
            </w:tcBorders>
            <w:shd w:val="clear" w:color="auto" w:fill="FFFFFF" w:themeFill="background1"/>
            <w:vAlign w:val="center"/>
          </w:tcPr>
          <w:p w14:paraId="261FA5C1">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摸清管理底数</w:t>
            </w:r>
          </w:p>
        </w:tc>
        <w:tc>
          <w:tcPr>
            <w:tcW w:w="3218" w:type="dxa"/>
            <w:tcBorders>
              <w:top w:val="single" w:color="auto" w:sz="4" w:space="0"/>
              <w:left w:val="nil"/>
              <w:bottom w:val="nil"/>
              <w:right w:val="nil"/>
            </w:tcBorders>
            <w:shd w:val="clear" w:color="auto" w:fill="FFFFFF" w:themeFill="background1"/>
            <w:vAlign w:val="center"/>
          </w:tcPr>
          <w:p w14:paraId="51C4B768">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整理人员名单、设备清单、样本试剂台账、危废流程和现行制度</w:t>
            </w:r>
          </w:p>
        </w:tc>
        <w:tc>
          <w:tcPr>
            <w:tcW w:w="1927" w:type="dxa"/>
            <w:tcBorders>
              <w:top w:val="single" w:color="auto" w:sz="4" w:space="0"/>
              <w:left w:val="nil"/>
              <w:bottom w:val="nil"/>
              <w:right w:val="nil"/>
            </w:tcBorders>
            <w:shd w:val="clear" w:color="auto" w:fill="FFFFFF" w:themeFill="background1"/>
            <w:vAlign w:val="center"/>
          </w:tcPr>
          <w:p w14:paraId="194FB08C">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基础台账、风险对象清单</w:t>
            </w:r>
          </w:p>
        </w:tc>
        <w:tc>
          <w:tcPr>
            <w:tcW w:w="1580" w:type="dxa"/>
            <w:tcBorders>
              <w:top w:val="single" w:color="auto" w:sz="4" w:space="0"/>
              <w:left w:val="nil"/>
              <w:bottom w:val="nil"/>
              <w:right w:val="nil"/>
            </w:tcBorders>
            <w:shd w:val="clear" w:color="auto" w:fill="FFFFFF" w:themeFill="background1"/>
            <w:vAlign w:val="center"/>
          </w:tcPr>
          <w:p w14:paraId="20B68C24">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学院/实验室</w:t>
            </w:r>
          </w:p>
        </w:tc>
      </w:tr>
      <w:tr w14:paraId="0236C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jc w:val="center"/>
        </w:trPr>
        <w:tc>
          <w:tcPr>
            <w:tcW w:w="1176" w:type="dxa"/>
            <w:tcBorders>
              <w:top w:val="nil"/>
              <w:left w:val="nil"/>
              <w:bottom w:val="nil"/>
              <w:right w:val="nil"/>
            </w:tcBorders>
            <w:shd w:val="clear" w:color="auto" w:fill="FFFFFF" w:themeFill="background1"/>
            <w:vAlign w:val="center"/>
          </w:tcPr>
          <w:p w14:paraId="04E94349">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重点整改</w:t>
            </w:r>
          </w:p>
        </w:tc>
        <w:tc>
          <w:tcPr>
            <w:tcW w:w="1597" w:type="dxa"/>
            <w:tcBorders>
              <w:top w:val="nil"/>
              <w:left w:val="nil"/>
              <w:bottom w:val="nil"/>
              <w:right w:val="nil"/>
            </w:tcBorders>
            <w:shd w:val="clear" w:color="auto" w:fill="FFFFFF" w:themeFill="background1"/>
            <w:vAlign w:val="center"/>
          </w:tcPr>
          <w:p w14:paraId="09CBB966">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解决突出隐患</w:t>
            </w:r>
          </w:p>
        </w:tc>
        <w:tc>
          <w:tcPr>
            <w:tcW w:w="3218" w:type="dxa"/>
            <w:tcBorders>
              <w:top w:val="nil"/>
              <w:left w:val="nil"/>
              <w:bottom w:val="nil"/>
              <w:right w:val="nil"/>
            </w:tcBorders>
            <w:shd w:val="clear" w:color="auto" w:fill="FFFFFF" w:themeFill="background1"/>
            <w:vAlign w:val="center"/>
          </w:tcPr>
          <w:p w14:paraId="2B9D3C81">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优先整改关键设备异常、危废分类不清、公共区域混放和应急物资不足等问题</w:t>
            </w:r>
          </w:p>
        </w:tc>
        <w:tc>
          <w:tcPr>
            <w:tcW w:w="1927" w:type="dxa"/>
            <w:tcBorders>
              <w:top w:val="nil"/>
              <w:left w:val="nil"/>
              <w:bottom w:val="nil"/>
              <w:right w:val="nil"/>
            </w:tcBorders>
            <w:shd w:val="clear" w:color="auto" w:fill="FFFFFF" w:themeFill="background1"/>
            <w:vAlign w:val="center"/>
          </w:tcPr>
          <w:p w14:paraId="289997F0">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整改记录、复查结论</w:t>
            </w:r>
          </w:p>
        </w:tc>
        <w:tc>
          <w:tcPr>
            <w:tcW w:w="1580" w:type="dxa"/>
            <w:tcBorders>
              <w:top w:val="nil"/>
              <w:left w:val="nil"/>
              <w:bottom w:val="nil"/>
              <w:right w:val="nil"/>
            </w:tcBorders>
            <w:shd w:val="clear" w:color="auto" w:fill="FFFFFF" w:themeFill="background1"/>
            <w:vAlign w:val="center"/>
          </w:tcPr>
          <w:p w14:paraId="117019B5">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实验室负责人/管理员</w:t>
            </w:r>
          </w:p>
        </w:tc>
      </w:tr>
      <w:tr w14:paraId="3ECA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814" w:hRule="atLeast"/>
          <w:jc w:val="center"/>
        </w:trPr>
        <w:tc>
          <w:tcPr>
            <w:tcW w:w="1176" w:type="dxa"/>
            <w:tcBorders>
              <w:top w:val="nil"/>
              <w:left w:val="nil"/>
              <w:bottom w:val="nil"/>
              <w:right w:val="nil"/>
            </w:tcBorders>
            <w:shd w:val="clear" w:color="auto" w:fill="FFFFFF" w:themeFill="background1"/>
            <w:vAlign w:val="center"/>
          </w:tcPr>
          <w:p w14:paraId="43A0CDA6">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运行固化</w:t>
            </w:r>
          </w:p>
        </w:tc>
        <w:tc>
          <w:tcPr>
            <w:tcW w:w="1597" w:type="dxa"/>
            <w:tcBorders>
              <w:top w:val="nil"/>
              <w:left w:val="nil"/>
              <w:bottom w:val="nil"/>
              <w:right w:val="nil"/>
            </w:tcBorders>
            <w:shd w:val="clear" w:color="auto" w:fill="FFFFFF" w:themeFill="background1"/>
            <w:vAlign w:val="center"/>
          </w:tcPr>
          <w:p w14:paraId="7E73459A">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形成日常机制</w:t>
            </w:r>
          </w:p>
        </w:tc>
        <w:tc>
          <w:tcPr>
            <w:tcW w:w="3218" w:type="dxa"/>
            <w:tcBorders>
              <w:top w:val="nil"/>
              <w:left w:val="nil"/>
              <w:bottom w:val="nil"/>
              <w:right w:val="nil"/>
            </w:tcBorders>
            <w:shd w:val="clear" w:color="auto" w:fill="FFFFFF" w:themeFill="background1"/>
            <w:vAlign w:val="center"/>
          </w:tcPr>
          <w:p w14:paraId="5528BB4E">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把培训、点检、盘点、检查和复训纳入固定周期，减少临时性管理</w:t>
            </w:r>
          </w:p>
        </w:tc>
        <w:tc>
          <w:tcPr>
            <w:tcW w:w="1927" w:type="dxa"/>
            <w:tcBorders>
              <w:top w:val="nil"/>
              <w:left w:val="nil"/>
              <w:bottom w:val="nil"/>
              <w:right w:val="nil"/>
            </w:tcBorders>
            <w:shd w:val="clear" w:color="auto" w:fill="FFFFFF" w:themeFill="background1"/>
            <w:vAlign w:val="center"/>
          </w:tcPr>
          <w:p w14:paraId="4FE97402">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月度检查表、点检表、复训记录</w:t>
            </w:r>
          </w:p>
        </w:tc>
        <w:tc>
          <w:tcPr>
            <w:tcW w:w="1580" w:type="dxa"/>
            <w:tcBorders>
              <w:top w:val="nil"/>
              <w:left w:val="nil"/>
              <w:bottom w:val="nil"/>
              <w:right w:val="nil"/>
            </w:tcBorders>
            <w:shd w:val="clear" w:color="auto" w:fill="FFFFFF" w:themeFill="background1"/>
            <w:vAlign w:val="center"/>
          </w:tcPr>
          <w:p w14:paraId="0DD097EA">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实验室负责人/设备责任人</w:t>
            </w:r>
          </w:p>
        </w:tc>
      </w:tr>
      <w:tr w14:paraId="70CB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jc w:val="center"/>
        </w:trPr>
        <w:tc>
          <w:tcPr>
            <w:tcW w:w="1176" w:type="dxa"/>
            <w:tcBorders>
              <w:top w:val="nil"/>
              <w:left w:val="nil"/>
              <w:bottom w:val="nil"/>
              <w:right w:val="nil"/>
            </w:tcBorders>
            <w:shd w:val="clear" w:color="auto" w:fill="FFFFFF" w:themeFill="background1"/>
            <w:vAlign w:val="center"/>
          </w:tcPr>
          <w:p w14:paraId="17A53A86">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评价反馈</w:t>
            </w:r>
          </w:p>
        </w:tc>
        <w:tc>
          <w:tcPr>
            <w:tcW w:w="1597" w:type="dxa"/>
            <w:tcBorders>
              <w:top w:val="nil"/>
              <w:left w:val="nil"/>
              <w:bottom w:val="nil"/>
              <w:right w:val="nil"/>
            </w:tcBorders>
            <w:shd w:val="clear" w:color="auto" w:fill="FFFFFF" w:themeFill="background1"/>
            <w:vAlign w:val="center"/>
          </w:tcPr>
          <w:p w14:paraId="79EC4498">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开展效果评估</w:t>
            </w:r>
          </w:p>
        </w:tc>
        <w:tc>
          <w:tcPr>
            <w:tcW w:w="3218" w:type="dxa"/>
            <w:tcBorders>
              <w:top w:val="nil"/>
              <w:left w:val="nil"/>
              <w:bottom w:val="nil"/>
              <w:right w:val="nil"/>
            </w:tcBorders>
            <w:shd w:val="clear" w:color="auto" w:fill="FFFFFF" w:themeFill="background1"/>
            <w:vAlign w:val="center"/>
          </w:tcPr>
          <w:p w14:paraId="64719CD9">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统计隐患数量、整改及时率、培训通过率和重复问题，分析薄弱环节</w:t>
            </w:r>
          </w:p>
        </w:tc>
        <w:tc>
          <w:tcPr>
            <w:tcW w:w="1927" w:type="dxa"/>
            <w:tcBorders>
              <w:top w:val="nil"/>
              <w:left w:val="nil"/>
              <w:bottom w:val="nil"/>
              <w:right w:val="nil"/>
            </w:tcBorders>
            <w:shd w:val="clear" w:color="auto" w:fill="FFFFFF" w:themeFill="background1"/>
            <w:vAlign w:val="center"/>
          </w:tcPr>
          <w:p w14:paraId="01E0C616">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季度分析报告、改进清单</w:t>
            </w:r>
          </w:p>
        </w:tc>
        <w:tc>
          <w:tcPr>
            <w:tcW w:w="1580" w:type="dxa"/>
            <w:tcBorders>
              <w:top w:val="nil"/>
              <w:left w:val="nil"/>
              <w:bottom w:val="nil"/>
              <w:right w:val="nil"/>
            </w:tcBorders>
            <w:shd w:val="clear" w:color="auto" w:fill="FFFFFF" w:themeFill="background1"/>
            <w:vAlign w:val="center"/>
          </w:tcPr>
          <w:p w14:paraId="0F1E3F33">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学院/学校管理部门</w:t>
            </w:r>
          </w:p>
        </w:tc>
      </w:tr>
      <w:tr w14:paraId="69B77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1176" w:type="dxa"/>
            <w:tcBorders>
              <w:top w:val="nil"/>
              <w:left w:val="nil"/>
              <w:bottom w:val="single" w:color="auto" w:sz="12" w:space="0"/>
              <w:right w:val="nil"/>
            </w:tcBorders>
            <w:shd w:val="clear" w:color="auto" w:fill="FFFFFF" w:themeFill="background1"/>
            <w:vAlign w:val="center"/>
          </w:tcPr>
          <w:p w14:paraId="46B4E10A">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持续提升</w:t>
            </w:r>
          </w:p>
        </w:tc>
        <w:tc>
          <w:tcPr>
            <w:tcW w:w="1597" w:type="dxa"/>
            <w:tcBorders>
              <w:top w:val="nil"/>
              <w:left w:val="nil"/>
              <w:bottom w:val="single" w:color="auto" w:sz="12" w:space="0"/>
              <w:right w:val="nil"/>
            </w:tcBorders>
            <w:shd w:val="clear" w:color="auto" w:fill="FFFFFF" w:themeFill="background1"/>
            <w:vAlign w:val="center"/>
          </w:tcPr>
          <w:p w14:paraId="6CB96750">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修订优化制度</w:t>
            </w:r>
          </w:p>
        </w:tc>
        <w:tc>
          <w:tcPr>
            <w:tcW w:w="3218" w:type="dxa"/>
            <w:tcBorders>
              <w:top w:val="nil"/>
              <w:left w:val="nil"/>
              <w:bottom w:val="single" w:color="auto" w:sz="12" w:space="0"/>
              <w:right w:val="nil"/>
            </w:tcBorders>
            <w:shd w:val="clear" w:color="auto" w:fill="FFFFFF" w:themeFill="background1"/>
            <w:vAlign w:val="center"/>
          </w:tcPr>
          <w:p w14:paraId="5E7AEFE2">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根据复盘结果调整SOP、培训内容、资源投入和现场布局</w:t>
            </w:r>
          </w:p>
        </w:tc>
        <w:tc>
          <w:tcPr>
            <w:tcW w:w="1927" w:type="dxa"/>
            <w:tcBorders>
              <w:top w:val="nil"/>
              <w:left w:val="nil"/>
              <w:bottom w:val="single" w:color="auto" w:sz="12" w:space="0"/>
              <w:right w:val="nil"/>
            </w:tcBorders>
            <w:shd w:val="clear" w:color="auto" w:fill="FFFFFF" w:themeFill="background1"/>
            <w:vAlign w:val="center"/>
          </w:tcPr>
          <w:p w14:paraId="75F21118">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制度修订稿、下一轮计划</w:t>
            </w:r>
          </w:p>
        </w:tc>
        <w:tc>
          <w:tcPr>
            <w:tcW w:w="1580" w:type="dxa"/>
            <w:tcBorders>
              <w:top w:val="nil"/>
              <w:left w:val="nil"/>
              <w:bottom w:val="single" w:color="auto" w:sz="12" w:space="0"/>
              <w:right w:val="nil"/>
            </w:tcBorders>
            <w:shd w:val="clear" w:color="auto" w:fill="FFFFFF" w:themeFill="background1"/>
            <w:vAlign w:val="center"/>
          </w:tcPr>
          <w:p w14:paraId="4E22F54D">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学校/学院/实验室</w:t>
            </w:r>
          </w:p>
        </w:tc>
      </w:tr>
    </w:tbl>
    <w:p w14:paraId="69D672B6">
      <w:pPr>
        <w:spacing w:before="0" w:after="0" w:line="360" w:lineRule="auto"/>
        <w:ind w:firstLine="420"/>
        <w:jc w:val="both"/>
      </w:pPr>
      <w:r>
        <w:rPr>
          <w:rFonts w:ascii="Times New Roman" w:hAnsi="Times New Roman" w:eastAsia="宋体"/>
          <w:sz w:val="24"/>
        </w:rPr>
        <w:t>隐患治理是安全管理能否落地的重要环节。高校生物实验室的隐患既包括现场能够直接看到的问题，也包括记录不完整、责任不清、培训不到位等过程性问题。如果只把明显的物品堆放、标识缺失作为隐患，而忽视台账、点检和复查等管理过程，很多风险仍会在日常运行中反复出现。</w:t>
      </w:r>
    </w:p>
    <w:p w14:paraId="3A109A74">
      <w:pPr>
        <w:spacing w:before="0" w:after="0" w:line="360" w:lineRule="auto"/>
        <w:ind w:firstLine="420"/>
        <w:jc w:val="both"/>
      </w:pPr>
      <w:r>
        <w:rPr>
          <w:rFonts w:ascii="Times New Roman" w:hAnsi="Times New Roman" w:eastAsia="宋体"/>
          <w:sz w:val="24"/>
        </w:rPr>
        <w:t>因此，建议建立实验室隐患库，将每次检查、事故复盘、设备异常和人员反馈中发现的问题统一记录。隐患库不只是问题清单，更应包含问题类别、风险等级、责任人、整改期限、复查结果和是否重复出现等信息。这样既方便追踪单个问题是否解决，也便于分析同类问题为什么反复发生。</w:t>
      </w:r>
    </w:p>
    <w:p w14:paraId="55EECC4B">
      <w:pPr>
        <w:spacing w:before="0" w:after="0" w:line="360" w:lineRule="auto"/>
        <w:ind w:firstLine="420"/>
        <w:jc w:val="both"/>
      </w:pPr>
      <w:r>
        <w:t>隐患库的价值还体现在资源配置上。对于低风险、容易整改的问题，可以由实验室直接完成；对于涉及空间改造、设备更换、信息化平台建设等问题，则需要学院或学校层面统筹支持。通过分类管理，可以避免所有问题都停留在实验室内部自行解决，也能防止简单问题长期拖延。 隐患管理需要形成可追踪台账，表4-16将隐患类别、责任人、整改期限和复查结果等内容纳入同一表格，有助于防止同类问题反复出现。</w:t>
      </w:r>
      <w:r>
        <w:rPr>
          <w:rFonts w:ascii="宋体" w:hAnsi="宋体" w:eastAsia="宋体" w:cs="宋体"/>
          <w:sz w:val="24"/>
          <w:szCs w:val="24"/>
        </w:rPr>
        <w:t>同时，隐患库还应与实验室日常检查、专项整改和年度评价相结合，不能只在检查时临时填写。管理人员可定期对隐患库进行分类统计，分析高频问题集中在哪些区域、设备或人员环节，并据此调整培训内容、检查重点和资源投入。对于重复出现的隐患，应提高风险等级，追究整改责任，防止隐患治理停留在“发现—整改—再出现”的循环中</w:t>
      </w:r>
    </w:p>
    <w:p w14:paraId="78A1482C">
      <w:pPr>
        <w:keepNext/>
        <w:spacing w:before="60" w:after="60" w:line="360" w:lineRule="auto"/>
        <w:jc w:val="center"/>
      </w:pPr>
      <w:r>
        <w:rPr>
          <w:rFonts w:ascii="黑体" w:hAnsi="黑体" w:eastAsia="黑体"/>
          <w:sz w:val="21"/>
        </w:rPr>
        <w:t>表4-16 高校生物实验室隐患库分类与跟踪表（示例）</w:t>
      </w:r>
    </w:p>
    <w:tbl>
      <w:tblPr>
        <w:tblStyle w:val="37"/>
        <w:tblW w:w="102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3186"/>
        <w:gridCol w:w="1386"/>
        <w:gridCol w:w="2258"/>
        <w:gridCol w:w="2049"/>
      </w:tblGrid>
      <w:tr w14:paraId="2102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386" w:type="dxa"/>
            <w:tcBorders>
              <w:top w:val="single" w:color="auto" w:sz="12" w:space="0"/>
              <w:left w:val="nil"/>
              <w:bottom w:val="single" w:color="auto" w:sz="4" w:space="0"/>
              <w:right w:val="nil"/>
            </w:tcBorders>
            <w:shd w:val="clear" w:color="auto" w:fill="FFFFFF" w:themeFill="background1"/>
            <w:vAlign w:val="center"/>
          </w:tcPr>
          <w:p w14:paraId="4C73C8A6">
            <w:pPr>
              <w:keepNext/>
              <w:snapToGrid w:val="0"/>
              <w:spacing w:after="0" w:line="240" w:lineRule="auto"/>
              <w:ind w:left="0" w:leftChars="0" w:right="0" w:rightChars="0" w:firstLine="0" w:firstLineChars="0"/>
              <w:jc w:val="center"/>
              <w:rPr>
                <w:rFonts w:ascii="Times New Roman" w:hAnsi="Times New Roman" w:eastAsia="宋体" w:cs="Times New Roman"/>
                <w:b w:val="0"/>
                <w:bCs/>
                <w:sz w:val="21"/>
                <w:szCs w:val="21"/>
              </w:rPr>
            </w:pPr>
            <w:r>
              <w:rPr>
                <w:rFonts w:ascii="Times New Roman" w:hAnsi="Times New Roman" w:eastAsia="宋体" w:cs="Times New Roman"/>
                <w:b w:val="0"/>
                <w:bCs/>
                <w:sz w:val="21"/>
                <w:szCs w:val="21"/>
              </w:rPr>
              <w:t>隐患类别</w:t>
            </w:r>
          </w:p>
        </w:tc>
        <w:tc>
          <w:tcPr>
            <w:tcW w:w="3186" w:type="dxa"/>
            <w:tcBorders>
              <w:top w:val="single" w:color="auto" w:sz="12" w:space="0"/>
              <w:left w:val="nil"/>
              <w:bottom w:val="single" w:color="auto" w:sz="4" w:space="0"/>
              <w:right w:val="nil"/>
            </w:tcBorders>
            <w:shd w:val="clear" w:color="auto" w:fill="FFFFFF" w:themeFill="background1"/>
            <w:vAlign w:val="center"/>
          </w:tcPr>
          <w:p w14:paraId="02A5351F">
            <w:pPr>
              <w:keepNext/>
              <w:snapToGrid w:val="0"/>
              <w:spacing w:after="0" w:line="240" w:lineRule="auto"/>
              <w:ind w:left="0" w:leftChars="0" w:right="0" w:rightChars="0" w:firstLine="0" w:firstLineChars="0"/>
              <w:jc w:val="center"/>
              <w:rPr>
                <w:rFonts w:ascii="Times New Roman" w:hAnsi="Times New Roman" w:eastAsia="宋体" w:cs="Times New Roman"/>
                <w:b w:val="0"/>
                <w:bCs/>
                <w:sz w:val="21"/>
                <w:szCs w:val="21"/>
              </w:rPr>
            </w:pPr>
            <w:r>
              <w:rPr>
                <w:rFonts w:ascii="Times New Roman" w:hAnsi="Times New Roman" w:eastAsia="宋体" w:cs="Times New Roman"/>
                <w:b w:val="0"/>
                <w:bCs/>
                <w:sz w:val="21"/>
                <w:szCs w:val="21"/>
              </w:rPr>
              <w:t>典型问题</w:t>
            </w:r>
          </w:p>
        </w:tc>
        <w:tc>
          <w:tcPr>
            <w:tcW w:w="1386" w:type="dxa"/>
            <w:tcBorders>
              <w:top w:val="single" w:color="auto" w:sz="12" w:space="0"/>
              <w:left w:val="nil"/>
              <w:bottom w:val="single" w:color="auto" w:sz="4" w:space="0"/>
              <w:right w:val="nil"/>
            </w:tcBorders>
            <w:shd w:val="clear" w:color="auto" w:fill="FFFFFF" w:themeFill="background1"/>
            <w:vAlign w:val="center"/>
          </w:tcPr>
          <w:p w14:paraId="0DBC17D5">
            <w:pPr>
              <w:keepNext/>
              <w:snapToGrid w:val="0"/>
              <w:spacing w:after="0" w:line="240" w:lineRule="auto"/>
              <w:ind w:left="0" w:leftChars="0" w:right="0" w:rightChars="0" w:firstLine="0" w:firstLineChars="0"/>
              <w:jc w:val="center"/>
              <w:rPr>
                <w:rFonts w:ascii="Times New Roman" w:hAnsi="Times New Roman" w:eastAsia="宋体" w:cs="Times New Roman"/>
                <w:b w:val="0"/>
                <w:bCs/>
                <w:sz w:val="21"/>
                <w:szCs w:val="21"/>
              </w:rPr>
            </w:pPr>
            <w:r>
              <w:rPr>
                <w:rFonts w:ascii="Times New Roman" w:hAnsi="Times New Roman" w:eastAsia="宋体" w:cs="Times New Roman"/>
                <w:b w:val="0"/>
                <w:bCs/>
                <w:sz w:val="21"/>
                <w:szCs w:val="21"/>
              </w:rPr>
              <w:t>风险判断</w:t>
            </w:r>
          </w:p>
        </w:tc>
        <w:tc>
          <w:tcPr>
            <w:tcW w:w="2258" w:type="dxa"/>
            <w:tcBorders>
              <w:top w:val="single" w:color="auto" w:sz="12" w:space="0"/>
              <w:left w:val="nil"/>
              <w:bottom w:val="single" w:color="auto" w:sz="4" w:space="0"/>
              <w:right w:val="nil"/>
            </w:tcBorders>
            <w:shd w:val="clear" w:color="auto" w:fill="FFFFFF" w:themeFill="background1"/>
            <w:vAlign w:val="center"/>
          </w:tcPr>
          <w:p w14:paraId="64AE4607">
            <w:pPr>
              <w:keepNext/>
              <w:snapToGrid w:val="0"/>
              <w:spacing w:after="0" w:line="240" w:lineRule="auto"/>
              <w:ind w:left="0" w:leftChars="0" w:right="0" w:rightChars="0" w:firstLine="0" w:firstLineChars="0"/>
              <w:jc w:val="center"/>
              <w:rPr>
                <w:rFonts w:ascii="Times New Roman" w:hAnsi="Times New Roman" w:eastAsia="宋体" w:cs="Times New Roman"/>
                <w:b w:val="0"/>
                <w:bCs/>
                <w:sz w:val="21"/>
                <w:szCs w:val="21"/>
              </w:rPr>
            </w:pPr>
            <w:r>
              <w:rPr>
                <w:rFonts w:ascii="Times New Roman" w:hAnsi="Times New Roman" w:eastAsia="宋体" w:cs="Times New Roman"/>
                <w:b w:val="0"/>
                <w:bCs/>
                <w:sz w:val="21"/>
                <w:szCs w:val="21"/>
              </w:rPr>
              <w:t>整改重点</w:t>
            </w:r>
          </w:p>
        </w:tc>
        <w:tc>
          <w:tcPr>
            <w:tcW w:w="2049" w:type="dxa"/>
            <w:tcBorders>
              <w:top w:val="single" w:color="auto" w:sz="12" w:space="0"/>
              <w:left w:val="nil"/>
              <w:bottom w:val="single" w:color="auto" w:sz="4" w:space="0"/>
              <w:right w:val="nil"/>
            </w:tcBorders>
            <w:shd w:val="clear" w:color="auto" w:fill="FFFFFF" w:themeFill="background1"/>
            <w:vAlign w:val="center"/>
          </w:tcPr>
          <w:p w14:paraId="4185171A">
            <w:pPr>
              <w:keepNext/>
              <w:snapToGrid w:val="0"/>
              <w:spacing w:after="0" w:line="240" w:lineRule="auto"/>
              <w:ind w:left="0" w:leftChars="0" w:right="0" w:rightChars="0" w:firstLine="0" w:firstLineChars="0"/>
              <w:jc w:val="center"/>
              <w:rPr>
                <w:rFonts w:ascii="Times New Roman" w:hAnsi="Times New Roman" w:eastAsia="宋体" w:cs="Times New Roman"/>
                <w:b w:val="0"/>
                <w:bCs/>
                <w:sz w:val="21"/>
                <w:szCs w:val="21"/>
              </w:rPr>
            </w:pPr>
            <w:r>
              <w:rPr>
                <w:rFonts w:ascii="Times New Roman" w:hAnsi="Times New Roman" w:eastAsia="宋体" w:cs="Times New Roman"/>
                <w:b w:val="0"/>
                <w:bCs/>
                <w:sz w:val="21"/>
                <w:szCs w:val="21"/>
              </w:rPr>
              <w:t>复查要求</w:t>
            </w:r>
          </w:p>
        </w:tc>
      </w:tr>
      <w:tr w14:paraId="15EB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6" w:type="dxa"/>
            <w:tcBorders>
              <w:top w:val="single" w:color="auto" w:sz="4" w:space="0"/>
              <w:left w:val="nil"/>
              <w:bottom w:val="nil"/>
              <w:right w:val="nil"/>
            </w:tcBorders>
            <w:shd w:val="clear" w:color="auto" w:fill="FFFFFF" w:themeFill="background1"/>
            <w:vAlign w:val="center"/>
          </w:tcPr>
          <w:p w14:paraId="2BF1F895">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人员行为类</w:t>
            </w:r>
          </w:p>
        </w:tc>
        <w:tc>
          <w:tcPr>
            <w:tcW w:w="3186" w:type="dxa"/>
            <w:tcBorders>
              <w:top w:val="single" w:color="auto" w:sz="4" w:space="0"/>
              <w:left w:val="nil"/>
              <w:bottom w:val="nil"/>
              <w:right w:val="nil"/>
            </w:tcBorders>
            <w:shd w:val="clear" w:color="auto" w:fill="FFFFFF" w:themeFill="background1"/>
            <w:vAlign w:val="center"/>
          </w:tcPr>
          <w:p w14:paraId="5814A562">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未按要求穿戴防护用品、操作后未及时清场、异常情况未报告</w:t>
            </w:r>
          </w:p>
        </w:tc>
        <w:tc>
          <w:tcPr>
            <w:tcW w:w="1386" w:type="dxa"/>
            <w:tcBorders>
              <w:top w:val="single" w:color="auto" w:sz="4" w:space="0"/>
              <w:left w:val="nil"/>
              <w:bottom w:val="nil"/>
              <w:right w:val="nil"/>
            </w:tcBorders>
            <w:shd w:val="clear" w:color="auto" w:fill="FFFFFF" w:themeFill="background1"/>
            <w:vAlign w:val="center"/>
          </w:tcPr>
          <w:p w14:paraId="37664B13">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中等至较高</w:t>
            </w:r>
          </w:p>
        </w:tc>
        <w:tc>
          <w:tcPr>
            <w:tcW w:w="2258" w:type="dxa"/>
            <w:tcBorders>
              <w:top w:val="single" w:color="auto" w:sz="4" w:space="0"/>
              <w:left w:val="nil"/>
              <w:bottom w:val="nil"/>
              <w:right w:val="nil"/>
            </w:tcBorders>
            <w:shd w:val="clear" w:color="auto" w:fill="FFFFFF" w:themeFill="background1"/>
            <w:vAlign w:val="center"/>
          </w:tcPr>
          <w:p w14:paraId="61E1958F">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现场提醒、补充培训、责任约谈</w:t>
            </w:r>
          </w:p>
        </w:tc>
        <w:tc>
          <w:tcPr>
            <w:tcW w:w="2049" w:type="dxa"/>
            <w:tcBorders>
              <w:top w:val="single" w:color="auto" w:sz="4" w:space="0"/>
              <w:left w:val="nil"/>
              <w:bottom w:val="nil"/>
              <w:right w:val="nil"/>
            </w:tcBorders>
            <w:shd w:val="clear" w:color="auto" w:fill="FFFFFF" w:themeFill="background1"/>
            <w:vAlign w:val="center"/>
          </w:tcPr>
          <w:p w14:paraId="0466CAB6">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检查后复查并记录是否重复</w:t>
            </w:r>
          </w:p>
        </w:tc>
      </w:tr>
      <w:tr w14:paraId="1B6F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tcBorders>
            <w:shd w:val="clear" w:color="auto" w:fill="FFFFFF" w:themeFill="background1"/>
            <w:vAlign w:val="center"/>
          </w:tcPr>
          <w:p w14:paraId="5C12E8F5">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设备设施类</w:t>
            </w:r>
          </w:p>
        </w:tc>
        <w:tc>
          <w:tcPr>
            <w:tcW w:w="3186" w:type="dxa"/>
            <w:tcBorders>
              <w:top w:val="nil"/>
              <w:left w:val="nil"/>
              <w:bottom w:val="nil"/>
              <w:right w:val="nil"/>
            </w:tcBorders>
            <w:shd w:val="clear" w:color="auto" w:fill="FFFFFF" w:themeFill="background1"/>
            <w:vAlign w:val="center"/>
          </w:tcPr>
          <w:p w14:paraId="193515E4">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生物安全柜未检测、离心机异常震动、冰箱温度记录缺失</w:t>
            </w:r>
          </w:p>
        </w:tc>
        <w:tc>
          <w:tcPr>
            <w:tcW w:w="1386" w:type="dxa"/>
            <w:tcBorders>
              <w:top w:val="nil"/>
              <w:left w:val="nil"/>
              <w:bottom w:val="nil"/>
              <w:right w:val="nil"/>
            </w:tcBorders>
            <w:shd w:val="clear" w:color="auto" w:fill="FFFFFF" w:themeFill="background1"/>
            <w:vAlign w:val="center"/>
          </w:tcPr>
          <w:p w14:paraId="3D2C09AE">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较高至重大</w:t>
            </w:r>
          </w:p>
        </w:tc>
        <w:tc>
          <w:tcPr>
            <w:tcW w:w="2258" w:type="dxa"/>
            <w:tcBorders>
              <w:top w:val="nil"/>
              <w:left w:val="nil"/>
              <w:bottom w:val="nil"/>
              <w:right w:val="nil"/>
            </w:tcBorders>
            <w:shd w:val="clear" w:color="auto" w:fill="FFFFFF" w:themeFill="background1"/>
            <w:vAlign w:val="center"/>
          </w:tcPr>
          <w:p w14:paraId="0B9760B5">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停用确认、维修检测、恢复验证</w:t>
            </w:r>
          </w:p>
        </w:tc>
        <w:tc>
          <w:tcPr>
            <w:tcW w:w="2049" w:type="dxa"/>
            <w:tcBorders>
              <w:top w:val="nil"/>
              <w:left w:val="nil"/>
              <w:bottom w:val="nil"/>
              <w:right w:val="nil"/>
            </w:tcBorders>
            <w:shd w:val="clear" w:color="auto" w:fill="FFFFFF" w:themeFill="background1"/>
            <w:vAlign w:val="center"/>
          </w:tcPr>
          <w:p w14:paraId="576CB3BF">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由设备责任人和管理员共同确认</w:t>
            </w:r>
          </w:p>
        </w:tc>
      </w:tr>
      <w:tr w14:paraId="4A783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tcBorders>
            <w:shd w:val="clear" w:color="auto" w:fill="FFFFFF" w:themeFill="background1"/>
            <w:vAlign w:val="center"/>
          </w:tcPr>
          <w:p w14:paraId="1C3FE5B4">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材料管理类</w:t>
            </w:r>
          </w:p>
        </w:tc>
        <w:tc>
          <w:tcPr>
            <w:tcW w:w="3186" w:type="dxa"/>
            <w:tcBorders>
              <w:top w:val="nil"/>
              <w:left w:val="nil"/>
              <w:bottom w:val="nil"/>
              <w:right w:val="nil"/>
            </w:tcBorders>
            <w:shd w:val="clear" w:color="auto" w:fill="FFFFFF" w:themeFill="background1"/>
            <w:vAlign w:val="center"/>
          </w:tcPr>
          <w:p w14:paraId="1630B689">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样本标签不清、试剂过期未清、危废混放或交接漏签</w:t>
            </w:r>
          </w:p>
        </w:tc>
        <w:tc>
          <w:tcPr>
            <w:tcW w:w="1386" w:type="dxa"/>
            <w:tcBorders>
              <w:top w:val="nil"/>
              <w:left w:val="nil"/>
              <w:bottom w:val="nil"/>
              <w:right w:val="nil"/>
            </w:tcBorders>
            <w:shd w:val="clear" w:color="auto" w:fill="FFFFFF" w:themeFill="background1"/>
            <w:vAlign w:val="center"/>
          </w:tcPr>
          <w:p w14:paraId="26330F53">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中等至较高</w:t>
            </w:r>
          </w:p>
        </w:tc>
        <w:tc>
          <w:tcPr>
            <w:tcW w:w="2258" w:type="dxa"/>
            <w:tcBorders>
              <w:top w:val="nil"/>
              <w:left w:val="nil"/>
              <w:bottom w:val="nil"/>
              <w:right w:val="nil"/>
            </w:tcBorders>
            <w:shd w:val="clear" w:color="auto" w:fill="FFFFFF" w:themeFill="background1"/>
            <w:vAlign w:val="center"/>
          </w:tcPr>
          <w:p w14:paraId="6583595C">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统一标签、盘点清理、完善交接</w:t>
            </w:r>
          </w:p>
        </w:tc>
        <w:tc>
          <w:tcPr>
            <w:tcW w:w="2049" w:type="dxa"/>
            <w:tcBorders>
              <w:top w:val="nil"/>
              <w:left w:val="nil"/>
              <w:bottom w:val="nil"/>
              <w:right w:val="nil"/>
            </w:tcBorders>
            <w:shd w:val="clear" w:color="auto" w:fill="FFFFFF" w:themeFill="background1"/>
            <w:vAlign w:val="center"/>
          </w:tcPr>
          <w:p w14:paraId="68FAE1E6">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账物核对并保留照片或记录</w:t>
            </w:r>
          </w:p>
        </w:tc>
      </w:tr>
      <w:tr w14:paraId="485D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tcBorders>
            <w:shd w:val="clear" w:color="auto" w:fill="FFFFFF" w:themeFill="background1"/>
            <w:vAlign w:val="center"/>
          </w:tcPr>
          <w:p w14:paraId="47FF2E01">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制度流程类</w:t>
            </w:r>
          </w:p>
        </w:tc>
        <w:tc>
          <w:tcPr>
            <w:tcW w:w="3186" w:type="dxa"/>
            <w:tcBorders>
              <w:top w:val="nil"/>
              <w:left w:val="nil"/>
              <w:bottom w:val="nil"/>
              <w:right w:val="nil"/>
            </w:tcBorders>
            <w:shd w:val="clear" w:color="auto" w:fill="FFFFFF" w:themeFill="background1"/>
            <w:vAlign w:val="center"/>
          </w:tcPr>
          <w:p w14:paraId="58E6E928">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SOP不具体、整改期限不清、应急报告路径不明确</w:t>
            </w:r>
          </w:p>
        </w:tc>
        <w:tc>
          <w:tcPr>
            <w:tcW w:w="1386" w:type="dxa"/>
            <w:tcBorders>
              <w:top w:val="nil"/>
              <w:left w:val="nil"/>
              <w:bottom w:val="nil"/>
              <w:right w:val="nil"/>
            </w:tcBorders>
            <w:shd w:val="clear" w:color="auto" w:fill="FFFFFF" w:themeFill="background1"/>
            <w:vAlign w:val="center"/>
          </w:tcPr>
          <w:p w14:paraId="6C28A3AE">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中等</w:t>
            </w:r>
          </w:p>
        </w:tc>
        <w:tc>
          <w:tcPr>
            <w:tcW w:w="2258" w:type="dxa"/>
            <w:tcBorders>
              <w:top w:val="nil"/>
              <w:left w:val="nil"/>
              <w:bottom w:val="nil"/>
              <w:right w:val="nil"/>
            </w:tcBorders>
            <w:shd w:val="clear" w:color="auto" w:fill="FFFFFF" w:themeFill="background1"/>
            <w:vAlign w:val="center"/>
          </w:tcPr>
          <w:p w14:paraId="20370AAF">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修订流程、明确责任和时限</w:t>
            </w:r>
          </w:p>
        </w:tc>
        <w:tc>
          <w:tcPr>
            <w:tcW w:w="2049" w:type="dxa"/>
            <w:tcBorders>
              <w:top w:val="nil"/>
              <w:left w:val="nil"/>
              <w:bottom w:val="nil"/>
              <w:right w:val="nil"/>
            </w:tcBorders>
            <w:shd w:val="clear" w:color="auto" w:fill="FFFFFF" w:themeFill="background1"/>
            <w:vAlign w:val="center"/>
          </w:tcPr>
          <w:p w14:paraId="70CFD3FE">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下次检查时核对执行记录</w:t>
            </w:r>
          </w:p>
        </w:tc>
      </w:tr>
      <w:tr w14:paraId="41D5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6" w:type="dxa"/>
            <w:tcBorders>
              <w:top w:val="nil"/>
              <w:left w:val="nil"/>
              <w:bottom w:val="nil"/>
              <w:right w:val="nil"/>
            </w:tcBorders>
            <w:shd w:val="clear" w:color="auto" w:fill="FFFFFF" w:themeFill="background1"/>
            <w:vAlign w:val="center"/>
          </w:tcPr>
          <w:p w14:paraId="13F27455">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环境现场类</w:t>
            </w:r>
          </w:p>
        </w:tc>
        <w:tc>
          <w:tcPr>
            <w:tcW w:w="3186" w:type="dxa"/>
            <w:tcBorders>
              <w:top w:val="nil"/>
              <w:left w:val="nil"/>
              <w:bottom w:val="nil"/>
              <w:right w:val="nil"/>
            </w:tcBorders>
            <w:shd w:val="clear" w:color="auto" w:fill="FFFFFF" w:themeFill="background1"/>
            <w:vAlign w:val="center"/>
          </w:tcPr>
          <w:p w14:paraId="6249AE5E">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通道堵塞、标识不清、清洁消毒记录不连续</w:t>
            </w:r>
          </w:p>
        </w:tc>
        <w:tc>
          <w:tcPr>
            <w:tcW w:w="1386" w:type="dxa"/>
            <w:tcBorders>
              <w:top w:val="nil"/>
              <w:left w:val="nil"/>
              <w:bottom w:val="nil"/>
              <w:right w:val="nil"/>
            </w:tcBorders>
            <w:shd w:val="clear" w:color="auto" w:fill="FFFFFF" w:themeFill="background1"/>
            <w:vAlign w:val="center"/>
          </w:tcPr>
          <w:p w14:paraId="7B9FF153">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一般至较高</w:t>
            </w:r>
          </w:p>
        </w:tc>
        <w:tc>
          <w:tcPr>
            <w:tcW w:w="2258" w:type="dxa"/>
            <w:tcBorders>
              <w:top w:val="nil"/>
              <w:left w:val="nil"/>
              <w:bottom w:val="nil"/>
              <w:right w:val="nil"/>
            </w:tcBorders>
            <w:shd w:val="clear" w:color="auto" w:fill="FFFFFF" w:themeFill="background1"/>
            <w:vAlign w:val="center"/>
          </w:tcPr>
          <w:p w14:paraId="29B6E339">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分区整理、补充标识、固定清洁周期</w:t>
            </w:r>
          </w:p>
        </w:tc>
        <w:tc>
          <w:tcPr>
            <w:tcW w:w="2049" w:type="dxa"/>
            <w:tcBorders>
              <w:top w:val="nil"/>
              <w:left w:val="nil"/>
              <w:bottom w:val="nil"/>
              <w:right w:val="nil"/>
            </w:tcBorders>
            <w:shd w:val="clear" w:color="auto" w:fill="FFFFFF" w:themeFill="background1"/>
            <w:vAlign w:val="center"/>
          </w:tcPr>
          <w:p w14:paraId="3EA8D156">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现场复核并纳入月度巡查</w:t>
            </w:r>
          </w:p>
        </w:tc>
      </w:tr>
      <w:tr w14:paraId="3479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6" w:type="dxa"/>
            <w:tcBorders>
              <w:top w:val="nil"/>
              <w:left w:val="nil"/>
              <w:bottom w:val="single" w:color="auto" w:sz="12" w:space="0"/>
              <w:right w:val="nil"/>
            </w:tcBorders>
            <w:shd w:val="clear" w:color="auto" w:fill="FFFFFF" w:themeFill="background1"/>
            <w:vAlign w:val="center"/>
          </w:tcPr>
          <w:p w14:paraId="6A3FF413">
            <w:pPr>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监测评价类</w:t>
            </w:r>
          </w:p>
        </w:tc>
        <w:tc>
          <w:tcPr>
            <w:tcW w:w="3186" w:type="dxa"/>
            <w:tcBorders>
              <w:top w:val="nil"/>
              <w:left w:val="nil"/>
              <w:bottom w:val="single" w:color="auto" w:sz="12" w:space="0"/>
              <w:right w:val="nil"/>
            </w:tcBorders>
            <w:shd w:val="clear" w:color="auto" w:fill="FFFFFF" w:themeFill="background1"/>
            <w:vAlign w:val="center"/>
          </w:tcPr>
          <w:p w14:paraId="495F7F0D">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检查数据分散、重复隐患未统计、整改效果缺少评价</w:t>
            </w:r>
          </w:p>
        </w:tc>
        <w:tc>
          <w:tcPr>
            <w:tcW w:w="1386" w:type="dxa"/>
            <w:tcBorders>
              <w:top w:val="nil"/>
              <w:left w:val="nil"/>
              <w:bottom w:val="single" w:color="auto" w:sz="12" w:space="0"/>
              <w:right w:val="nil"/>
            </w:tcBorders>
            <w:shd w:val="clear" w:color="auto" w:fill="FFFFFF" w:themeFill="background1"/>
            <w:vAlign w:val="center"/>
          </w:tcPr>
          <w:p w14:paraId="31CADCF2">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中等</w:t>
            </w:r>
          </w:p>
        </w:tc>
        <w:tc>
          <w:tcPr>
            <w:tcW w:w="2258" w:type="dxa"/>
            <w:tcBorders>
              <w:top w:val="nil"/>
              <w:left w:val="nil"/>
              <w:bottom w:val="single" w:color="auto" w:sz="12" w:space="0"/>
              <w:right w:val="nil"/>
            </w:tcBorders>
            <w:shd w:val="clear" w:color="auto" w:fill="FFFFFF" w:themeFill="background1"/>
            <w:vAlign w:val="center"/>
          </w:tcPr>
          <w:p w14:paraId="3FDE9A2B">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建立电子汇总表和季度分析</w:t>
            </w:r>
          </w:p>
        </w:tc>
        <w:tc>
          <w:tcPr>
            <w:tcW w:w="2049" w:type="dxa"/>
            <w:tcBorders>
              <w:top w:val="nil"/>
              <w:left w:val="nil"/>
              <w:bottom w:val="single" w:color="auto" w:sz="12" w:space="0"/>
              <w:right w:val="nil"/>
            </w:tcBorders>
            <w:shd w:val="clear" w:color="auto" w:fill="FFFFFF" w:themeFill="background1"/>
            <w:vAlign w:val="center"/>
          </w:tcPr>
          <w:p w14:paraId="5E582BD5">
            <w:pPr>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形成分析结论并反馈到培训和制度</w:t>
            </w:r>
          </w:p>
        </w:tc>
      </w:tr>
    </w:tbl>
    <w:p w14:paraId="2F0F4191">
      <w:pPr>
        <w:spacing w:before="0" w:after="0" w:line="360" w:lineRule="auto"/>
        <w:ind w:firstLine="420"/>
        <w:jc w:val="both"/>
      </w:pPr>
      <w:r>
        <w:rPr>
          <w:rFonts w:ascii="Times New Roman" w:hAnsi="Times New Roman" w:eastAsia="宋体"/>
          <w:sz w:val="24"/>
        </w:rPr>
        <w:t>为避免优化措施停留在文字层面，还需要建立落实情况复核机制。复核不同于一般检查，它更关注措施是否真正执行、执行以后是否有效、是否出现新的问题。例如，某实验室补充了危废容器和标签，复核时不仅要看容器是否已经摆放到位，还要检查实验人员是否按新要求分类、交接记录是否连续、混装问题是否减少。</w:t>
      </w:r>
    </w:p>
    <w:p w14:paraId="7FA88597">
      <w:pPr>
        <w:spacing w:before="0" w:after="0" w:line="360" w:lineRule="auto"/>
        <w:ind w:firstLine="420"/>
        <w:jc w:val="both"/>
      </w:pPr>
      <w:r>
        <w:rPr>
          <w:rFonts w:ascii="Times New Roman" w:hAnsi="Times New Roman" w:eastAsia="宋体"/>
          <w:sz w:val="24"/>
        </w:rPr>
        <w:t>复核指标应尽量具体。人员培训可以看培训覆盖率、现场抽问合格率和违规行为下降情况；设备管理可以看点检记录完整率、异常停用记录和维修闭合情况；材料管理可以看账物一致率、过期样本清理情况和废弃物交接完整性；制度流程可以看整改按期完成率和重复隐患比例。</w:t>
      </w:r>
    </w:p>
    <w:p w14:paraId="1101A628">
      <w:pPr>
        <w:spacing w:before="0" w:after="0" w:line="360" w:lineRule="auto"/>
        <w:ind w:firstLine="420"/>
        <w:jc w:val="both"/>
      </w:pPr>
      <w:r>
        <w:t>在实际操作中，复核表不宜设置过多指标。指标过多会增加基层负担，也容易导致填表多于管理。较合理的做法是选择能够反映关键风险的少量指标，并将其与月度检查、季度分析和年度评价结合起来，使复核结果真正用于改进。 为检验优化措施是否真正落地，表4-17设置复核内容和评价结果，用于对培训、设备、材料、制度和应急等措施进行阶段性检查。</w:t>
      </w:r>
    </w:p>
    <w:p w14:paraId="09DC5668">
      <w:pPr>
        <w:keepNext/>
        <w:spacing w:before="60" w:after="60" w:line="360" w:lineRule="auto"/>
        <w:jc w:val="center"/>
      </w:pPr>
      <w:r>
        <w:rPr>
          <w:rFonts w:ascii="黑体" w:hAnsi="黑体" w:eastAsia="黑体"/>
          <w:sz w:val="21"/>
        </w:rPr>
        <w:t>表4-17 优化措施落实情况复核表（示例）</w:t>
      </w:r>
    </w:p>
    <w:tbl>
      <w:tblPr>
        <w:tblStyle w:val="37"/>
        <w:tblW w:w="94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2631"/>
        <w:gridCol w:w="1957"/>
        <w:gridCol w:w="1982"/>
        <w:gridCol w:w="1631"/>
      </w:tblGrid>
      <w:tr w14:paraId="358A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03" w:type="dxa"/>
            <w:tcBorders>
              <w:top w:val="single" w:color="auto" w:sz="12" w:space="0"/>
              <w:left w:val="nil"/>
              <w:bottom w:val="single" w:color="auto" w:sz="4" w:space="0"/>
              <w:right w:val="nil"/>
            </w:tcBorders>
            <w:shd w:val="clear" w:color="auto" w:fill="FFFFFF" w:themeFill="background1"/>
            <w:vAlign w:val="center"/>
          </w:tcPr>
          <w:p w14:paraId="56B34E61">
            <w:pPr>
              <w:keepNext/>
              <w:snapToGrid w:val="0"/>
              <w:spacing w:after="0" w:line="240" w:lineRule="auto"/>
              <w:ind w:left="0" w:leftChars="0" w:right="0" w:rightChars="0" w:firstLine="0" w:firstLineChars="0"/>
              <w:jc w:val="center"/>
              <w:rPr>
                <w:rFonts w:ascii="Times New Roman" w:hAnsi="Times New Roman" w:eastAsia="宋体" w:cs="Times New Roman"/>
                <w:b w:val="0"/>
                <w:bCs/>
                <w:sz w:val="21"/>
                <w:szCs w:val="21"/>
              </w:rPr>
            </w:pPr>
            <w:r>
              <w:rPr>
                <w:rFonts w:ascii="Times New Roman" w:hAnsi="Times New Roman" w:eastAsia="宋体" w:cs="Times New Roman"/>
                <w:b w:val="0"/>
                <w:bCs/>
                <w:sz w:val="21"/>
                <w:szCs w:val="21"/>
              </w:rPr>
              <w:t>复核对象</w:t>
            </w:r>
          </w:p>
        </w:tc>
        <w:tc>
          <w:tcPr>
            <w:tcW w:w="2631" w:type="dxa"/>
            <w:tcBorders>
              <w:top w:val="single" w:color="auto" w:sz="12" w:space="0"/>
              <w:left w:val="nil"/>
              <w:bottom w:val="single" w:color="auto" w:sz="4" w:space="0"/>
              <w:right w:val="nil"/>
            </w:tcBorders>
            <w:shd w:val="clear" w:color="auto" w:fill="FFFFFF" w:themeFill="background1"/>
            <w:vAlign w:val="center"/>
          </w:tcPr>
          <w:p w14:paraId="3B93D36A">
            <w:pPr>
              <w:keepNext/>
              <w:snapToGrid w:val="0"/>
              <w:spacing w:after="0" w:line="240" w:lineRule="auto"/>
              <w:ind w:left="0" w:leftChars="0" w:right="0" w:rightChars="0" w:firstLine="0" w:firstLineChars="0"/>
              <w:jc w:val="center"/>
              <w:rPr>
                <w:rFonts w:ascii="Times New Roman" w:hAnsi="Times New Roman" w:eastAsia="宋体" w:cs="Times New Roman"/>
                <w:b w:val="0"/>
                <w:bCs/>
                <w:sz w:val="21"/>
                <w:szCs w:val="21"/>
              </w:rPr>
            </w:pPr>
            <w:r>
              <w:rPr>
                <w:rFonts w:ascii="Times New Roman" w:hAnsi="Times New Roman" w:eastAsia="宋体" w:cs="Times New Roman"/>
                <w:b w:val="0"/>
                <w:bCs/>
                <w:sz w:val="21"/>
                <w:szCs w:val="21"/>
              </w:rPr>
              <w:t>复核内容</w:t>
            </w:r>
          </w:p>
        </w:tc>
        <w:tc>
          <w:tcPr>
            <w:tcW w:w="1957" w:type="dxa"/>
            <w:tcBorders>
              <w:top w:val="single" w:color="auto" w:sz="12" w:space="0"/>
              <w:left w:val="nil"/>
              <w:bottom w:val="single" w:color="auto" w:sz="4" w:space="0"/>
              <w:right w:val="nil"/>
            </w:tcBorders>
            <w:shd w:val="clear" w:color="auto" w:fill="FFFFFF" w:themeFill="background1"/>
            <w:vAlign w:val="center"/>
          </w:tcPr>
          <w:p w14:paraId="354BEF06">
            <w:pPr>
              <w:keepNext/>
              <w:snapToGrid w:val="0"/>
              <w:spacing w:after="0" w:line="240" w:lineRule="auto"/>
              <w:ind w:left="0" w:leftChars="0" w:right="0" w:rightChars="0" w:firstLine="0" w:firstLineChars="0"/>
              <w:jc w:val="center"/>
              <w:rPr>
                <w:rFonts w:ascii="Times New Roman" w:hAnsi="Times New Roman" w:eastAsia="宋体" w:cs="Times New Roman"/>
                <w:b w:val="0"/>
                <w:bCs/>
                <w:sz w:val="21"/>
                <w:szCs w:val="21"/>
              </w:rPr>
            </w:pPr>
            <w:r>
              <w:rPr>
                <w:rFonts w:ascii="Times New Roman" w:hAnsi="Times New Roman" w:eastAsia="宋体" w:cs="Times New Roman"/>
                <w:b w:val="0"/>
                <w:bCs/>
                <w:sz w:val="21"/>
                <w:szCs w:val="21"/>
              </w:rPr>
              <w:t>判断依据</w:t>
            </w:r>
          </w:p>
        </w:tc>
        <w:tc>
          <w:tcPr>
            <w:tcW w:w="1982" w:type="dxa"/>
            <w:tcBorders>
              <w:top w:val="single" w:color="auto" w:sz="12" w:space="0"/>
              <w:left w:val="nil"/>
              <w:bottom w:val="single" w:color="auto" w:sz="4" w:space="0"/>
              <w:right w:val="nil"/>
            </w:tcBorders>
            <w:shd w:val="clear" w:color="auto" w:fill="FFFFFF" w:themeFill="background1"/>
            <w:vAlign w:val="center"/>
          </w:tcPr>
          <w:p w14:paraId="61FE8DD8">
            <w:pPr>
              <w:keepNext/>
              <w:snapToGrid w:val="0"/>
              <w:spacing w:after="0" w:line="240" w:lineRule="auto"/>
              <w:ind w:left="0" w:leftChars="0" w:right="0" w:rightChars="0" w:firstLine="0" w:firstLineChars="0"/>
              <w:jc w:val="center"/>
              <w:rPr>
                <w:rFonts w:ascii="Times New Roman" w:hAnsi="Times New Roman" w:eastAsia="宋体" w:cs="Times New Roman"/>
                <w:b w:val="0"/>
                <w:bCs/>
                <w:sz w:val="21"/>
                <w:szCs w:val="21"/>
              </w:rPr>
            </w:pPr>
            <w:r>
              <w:rPr>
                <w:rFonts w:ascii="Times New Roman" w:hAnsi="Times New Roman" w:eastAsia="宋体" w:cs="Times New Roman"/>
                <w:b w:val="0"/>
                <w:bCs/>
                <w:sz w:val="21"/>
                <w:szCs w:val="21"/>
              </w:rPr>
              <w:t>合格标准</w:t>
            </w:r>
          </w:p>
        </w:tc>
        <w:tc>
          <w:tcPr>
            <w:tcW w:w="1631" w:type="dxa"/>
            <w:tcBorders>
              <w:top w:val="single" w:color="auto" w:sz="12" w:space="0"/>
              <w:left w:val="nil"/>
              <w:bottom w:val="single" w:color="auto" w:sz="4" w:space="0"/>
              <w:right w:val="nil"/>
            </w:tcBorders>
            <w:shd w:val="clear" w:color="auto" w:fill="FFFFFF" w:themeFill="background1"/>
            <w:vAlign w:val="center"/>
          </w:tcPr>
          <w:p w14:paraId="03A0B1E6">
            <w:pPr>
              <w:keepNext/>
              <w:snapToGrid w:val="0"/>
              <w:spacing w:after="0" w:line="240" w:lineRule="auto"/>
              <w:ind w:left="0" w:leftChars="0" w:right="0" w:rightChars="0" w:firstLine="0" w:firstLineChars="0"/>
              <w:jc w:val="center"/>
              <w:rPr>
                <w:rFonts w:ascii="Times New Roman" w:hAnsi="Times New Roman" w:eastAsia="宋体" w:cs="Times New Roman"/>
                <w:b w:val="0"/>
                <w:bCs/>
                <w:sz w:val="21"/>
                <w:szCs w:val="21"/>
              </w:rPr>
            </w:pPr>
            <w:r>
              <w:rPr>
                <w:rFonts w:ascii="Times New Roman" w:hAnsi="Times New Roman" w:eastAsia="宋体" w:cs="Times New Roman"/>
                <w:b w:val="0"/>
                <w:bCs/>
                <w:sz w:val="21"/>
                <w:szCs w:val="21"/>
              </w:rPr>
              <w:t>改进方向</w:t>
            </w:r>
          </w:p>
        </w:tc>
      </w:tr>
      <w:tr w14:paraId="4CB2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single" w:color="auto" w:sz="4" w:space="0"/>
              <w:left w:val="nil"/>
              <w:bottom w:val="nil"/>
              <w:right w:val="nil"/>
            </w:tcBorders>
            <w:shd w:val="clear" w:color="auto" w:fill="FFFFFF" w:themeFill="background1"/>
            <w:vAlign w:val="center"/>
          </w:tcPr>
          <w:p w14:paraId="7C390FC9">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培训准入</w:t>
            </w:r>
          </w:p>
        </w:tc>
        <w:tc>
          <w:tcPr>
            <w:tcW w:w="2631" w:type="dxa"/>
            <w:tcBorders>
              <w:top w:val="single" w:color="auto" w:sz="4" w:space="0"/>
              <w:left w:val="nil"/>
              <w:bottom w:val="nil"/>
              <w:right w:val="nil"/>
            </w:tcBorders>
            <w:shd w:val="clear" w:color="auto" w:fill="FFFFFF" w:themeFill="background1"/>
            <w:vAlign w:val="center"/>
          </w:tcPr>
          <w:p w14:paraId="04DF26F7">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是否按人员类型完成分层培训和准入考核</w:t>
            </w:r>
          </w:p>
        </w:tc>
        <w:tc>
          <w:tcPr>
            <w:tcW w:w="1957" w:type="dxa"/>
            <w:tcBorders>
              <w:top w:val="single" w:color="auto" w:sz="4" w:space="0"/>
              <w:left w:val="nil"/>
              <w:bottom w:val="nil"/>
              <w:right w:val="nil"/>
            </w:tcBorders>
            <w:shd w:val="clear" w:color="auto" w:fill="FFFFFF" w:themeFill="background1"/>
            <w:vAlign w:val="center"/>
          </w:tcPr>
          <w:p w14:paraId="29C775FA">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培训记录、考核记录、现场抽问</w:t>
            </w:r>
          </w:p>
        </w:tc>
        <w:tc>
          <w:tcPr>
            <w:tcW w:w="1982" w:type="dxa"/>
            <w:tcBorders>
              <w:top w:val="single" w:color="auto" w:sz="4" w:space="0"/>
              <w:left w:val="nil"/>
              <w:bottom w:val="nil"/>
              <w:right w:val="nil"/>
            </w:tcBorders>
            <w:shd w:val="clear" w:color="auto" w:fill="FFFFFF" w:themeFill="background1"/>
            <w:vAlign w:val="center"/>
          </w:tcPr>
          <w:p w14:paraId="27AFD5DB">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覆盖率高且抽问结果基本符合要求</w:t>
            </w:r>
          </w:p>
        </w:tc>
        <w:tc>
          <w:tcPr>
            <w:tcW w:w="1631" w:type="dxa"/>
            <w:tcBorders>
              <w:top w:val="single" w:color="auto" w:sz="4" w:space="0"/>
              <w:left w:val="nil"/>
              <w:bottom w:val="nil"/>
              <w:right w:val="nil"/>
            </w:tcBorders>
            <w:shd w:val="clear" w:color="auto" w:fill="FFFFFF" w:themeFill="background1"/>
            <w:vAlign w:val="center"/>
          </w:tcPr>
          <w:p w14:paraId="0DD0AFB1">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补充专项培训和复训</w:t>
            </w:r>
          </w:p>
        </w:tc>
      </w:tr>
      <w:tr w14:paraId="6F65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shd w:val="clear" w:color="auto" w:fill="FFFFFF" w:themeFill="background1"/>
            <w:vAlign w:val="center"/>
          </w:tcPr>
          <w:p w14:paraId="50E2EE66">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设备点检</w:t>
            </w:r>
          </w:p>
        </w:tc>
        <w:tc>
          <w:tcPr>
            <w:tcW w:w="2631" w:type="dxa"/>
            <w:tcBorders>
              <w:top w:val="nil"/>
              <w:left w:val="nil"/>
              <w:bottom w:val="nil"/>
              <w:right w:val="nil"/>
            </w:tcBorders>
            <w:shd w:val="clear" w:color="auto" w:fill="FFFFFF" w:themeFill="background1"/>
            <w:vAlign w:val="center"/>
          </w:tcPr>
          <w:p w14:paraId="50F1BEC7">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关键设备是否有连续点检、异常停用和恢复验证</w:t>
            </w:r>
          </w:p>
        </w:tc>
        <w:tc>
          <w:tcPr>
            <w:tcW w:w="1957" w:type="dxa"/>
            <w:tcBorders>
              <w:top w:val="nil"/>
              <w:left w:val="nil"/>
              <w:bottom w:val="nil"/>
              <w:right w:val="nil"/>
            </w:tcBorders>
            <w:shd w:val="clear" w:color="auto" w:fill="FFFFFF" w:themeFill="background1"/>
            <w:vAlign w:val="center"/>
          </w:tcPr>
          <w:p w14:paraId="52C6CB21">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点检表、维修记录、停用标识</w:t>
            </w:r>
          </w:p>
        </w:tc>
        <w:tc>
          <w:tcPr>
            <w:tcW w:w="1982" w:type="dxa"/>
            <w:tcBorders>
              <w:top w:val="nil"/>
              <w:left w:val="nil"/>
              <w:bottom w:val="nil"/>
              <w:right w:val="nil"/>
            </w:tcBorders>
            <w:shd w:val="clear" w:color="auto" w:fill="FFFFFF" w:themeFill="background1"/>
            <w:vAlign w:val="center"/>
          </w:tcPr>
          <w:p w14:paraId="33BC209B">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记录连续、异常处理有闭合</w:t>
            </w:r>
          </w:p>
        </w:tc>
        <w:tc>
          <w:tcPr>
            <w:tcW w:w="1631" w:type="dxa"/>
            <w:tcBorders>
              <w:top w:val="nil"/>
              <w:left w:val="nil"/>
              <w:bottom w:val="nil"/>
              <w:right w:val="nil"/>
            </w:tcBorders>
            <w:shd w:val="clear" w:color="auto" w:fill="FFFFFF" w:themeFill="background1"/>
            <w:vAlign w:val="center"/>
          </w:tcPr>
          <w:p w14:paraId="52F54488">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优化点检表和责任分工</w:t>
            </w:r>
          </w:p>
        </w:tc>
      </w:tr>
      <w:tr w14:paraId="733A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shd w:val="clear" w:color="auto" w:fill="FFFFFF" w:themeFill="background1"/>
            <w:vAlign w:val="center"/>
          </w:tcPr>
          <w:p w14:paraId="5FD25C00">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材料追溯</w:t>
            </w:r>
          </w:p>
        </w:tc>
        <w:tc>
          <w:tcPr>
            <w:tcW w:w="2631" w:type="dxa"/>
            <w:tcBorders>
              <w:top w:val="nil"/>
              <w:left w:val="nil"/>
              <w:bottom w:val="nil"/>
              <w:right w:val="nil"/>
            </w:tcBorders>
            <w:shd w:val="clear" w:color="auto" w:fill="FFFFFF" w:themeFill="background1"/>
            <w:vAlign w:val="center"/>
          </w:tcPr>
          <w:p w14:paraId="50CA499B">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样本、试剂、废弃物流向是否清楚</w:t>
            </w:r>
          </w:p>
        </w:tc>
        <w:tc>
          <w:tcPr>
            <w:tcW w:w="1957" w:type="dxa"/>
            <w:tcBorders>
              <w:top w:val="nil"/>
              <w:left w:val="nil"/>
              <w:bottom w:val="nil"/>
              <w:right w:val="nil"/>
            </w:tcBorders>
            <w:shd w:val="clear" w:color="auto" w:fill="FFFFFF" w:themeFill="background1"/>
            <w:vAlign w:val="center"/>
          </w:tcPr>
          <w:p w14:paraId="2A0A8166">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台账、标签、交接单</w:t>
            </w:r>
          </w:p>
        </w:tc>
        <w:tc>
          <w:tcPr>
            <w:tcW w:w="1982" w:type="dxa"/>
            <w:tcBorders>
              <w:top w:val="nil"/>
              <w:left w:val="nil"/>
              <w:bottom w:val="nil"/>
              <w:right w:val="nil"/>
            </w:tcBorders>
            <w:shd w:val="clear" w:color="auto" w:fill="FFFFFF" w:themeFill="background1"/>
            <w:vAlign w:val="center"/>
          </w:tcPr>
          <w:p w14:paraId="304848FC">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账物基本一致，交接记录完整</w:t>
            </w:r>
          </w:p>
        </w:tc>
        <w:tc>
          <w:tcPr>
            <w:tcW w:w="1631" w:type="dxa"/>
            <w:tcBorders>
              <w:top w:val="nil"/>
              <w:left w:val="nil"/>
              <w:bottom w:val="nil"/>
              <w:right w:val="nil"/>
            </w:tcBorders>
            <w:shd w:val="clear" w:color="auto" w:fill="FFFFFF" w:themeFill="background1"/>
            <w:vAlign w:val="center"/>
          </w:tcPr>
          <w:p w14:paraId="4B0311A6">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统一标签和电子台账</w:t>
            </w:r>
          </w:p>
        </w:tc>
      </w:tr>
      <w:tr w14:paraId="2177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shd w:val="clear" w:color="auto" w:fill="FFFFFF" w:themeFill="background1"/>
            <w:vAlign w:val="center"/>
          </w:tcPr>
          <w:p w14:paraId="34D2BF69">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现场环境</w:t>
            </w:r>
          </w:p>
        </w:tc>
        <w:tc>
          <w:tcPr>
            <w:tcW w:w="2631" w:type="dxa"/>
            <w:tcBorders>
              <w:top w:val="nil"/>
              <w:left w:val="nil"/>
              <w:bottom w:val="nil"/>
              <w:right w:val="nil"/>
            </w:tcBorders>
            <w:shd w:val="clear" w:color="auto" w:fill="FFFFFF" w:themeFill="background1"/>
            <w:vAlign w:val="center"/>
          </w:tcPr>
          <w:p w14:paraId="47AB32DB">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功能分区、标识、通道和清洁消毒是否稳定</w:t>
            </w:r>
          </w:p>
        </w:tc>
        <w:tc>
          <w:tcPr>
            <w:tcW w:w="1957" w:type="dxa"/>
            <w:tcBorders>
              <w:top w:val="nil"/>
              <w:left w:val="nil"/>
              <w:bottom w:val="nil"/>
              <w:right w:val="nil"/>
            </w:tcBorders>
            <w:shd w:val="clear" w:color="auto" w:fill="FFFFFF" w:themeFill="background1"/>
            <w:vAlign w:val="center"/>
          </w:tcPr>
          <w:p w14:paraId="29547AF0">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现场照片、巡查记录</w:t>
            </w:r>
          </w:p>
        </w:tc>
        <w:tc>
          <w:tcPr>
            <w:tcW w:w="1982" w:type="dxa"/>
            <w:tcBorders>
              <w:top w:val="nil"/>
              <w:left w:val="nil"/>
              <w:bottom w:val="nil"/>
              <w:right w:val="nil"/>
            </w:tcBorders>
            <w:shd w:val="clear" w:color="auto" w:fill="FFFFFF" w:themeFill="background1"/>
            <w:vAlign w:val="center"/>
          </w:tcPr>
          <w:p w14:paraId="746BB2A7">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标识清楚、通道畅通、记录连续</w:t>
            </w:r>
          </w:p>
        </w:tc>
        <w:tc>
          <w:tcPr>
            <w:tcW w:w="1631" w:type="dxa"/>
            <w:tcBorders>
              <w:top w:val="nil"/>
              <w:left w:val="nil"/>
              <w:bottom w:val="nil"/>
              <w:right w:val="nil"/>
            </w:tcBorders>
            <w:shd w:val="clear" w:color="auto" w:fill="FFFFFF" w:themeFill="background1"/>
            <w:vAlign w:val="center"/>
          </w:tcPr>
          <w:p w14:paraId="42642707">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完善分区和清洁计划</w:t>
            </w:r>
          </w:p>
        </w:tc>
      </w:tr>
      <w:tr w14:paraId="774E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nil"/>
              <w:right w:val="nil"/>
            </w:tcBorders>
            <w:shd w:val="clear" w:color="auto" w:fill="FFFFFF" w:themeFill="background1"/>
            <w:vAlign w:val="center"/>
          </w:tcPr>
          <w:p w14:paraId="4288EBD2">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应急准备</w:t>
            </w:r>
          </w:p>
        </w:tc>
        <w:tc>
          <w:tcPr>
            <w:tcW w:w="2631" w:type="dxa"/>
            <w:tcBorders>
              <w:top w:val="nil"/>
              <w:left w:val="nil"/>
              <w:bottom w:val="nil"/>
              <w:right w:val="nil"/>
            </w:tcBorders>
            <w:shd w:val="clear" w:color="auto" w:fill="FFFFFF" w:themeFill="background1"/>
            <w:vAlign w:val="center"/>
          </w:tcPr>
          <w:p w14:paraId="11F2E691">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应急物资、处置流程和演练记录是否到位</w:t>
            </w:r>
          </w:p>
        </w:tc>
        <w:tc>
          <w:tcPr>
            <w:tcW w:w="1957" w:type="dxa"/>
            <w:tcBorders>
              <w:top w:val="nil"/>
              <w:left w:val="nil"/>
              <w:bottom w:val="nil"/>
              <w:right w:val="nil"/>
            </w:tcBorders>
            <w:shd w:val="clear" w:color="auto" w:fill="FFFFFF" w:themeFill="background1"/>
            <w:vAlign w:val="center"/>
          </w:tcPr>
          <w:p w14:paraId="095FB0BD">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物资清单、流程卡、演练记录</w:t>
            </w:r>
          </w:p>
        </w:tc>
        <w:tc>
          <w:tcPr>
            <w:tcW w:w="1982" w:type="dxa"/>
            <w:tcBorders>
              <w:top w:val="nil"/>
              <w:left w:val="nil"/>
              <w:bottom w:val="nil"/>
              <w:right w:val="nil"/>
            </w:tcBorders>
            <w:shd w:val="clear" w:color="auto" w:fill="FFFFFF" w:themeFill="background1"/>
            <w:vAlign w:val="center"/>
          </w:tcPr>
          <w:p w14:paraId="123E1811">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物资可用、人员知道处置步骤</w:t>
            </w:r>
          </w:p>
        </w:tc>
        <w:tc>
          <w:tcPr>
            <w:tcW w:w="1631" w:type="dxa"/>
            <w:tcBorders>
              <w:top w:val="nil"/>
              <w:left w:val="nil"/>
              <w:bottom w:val="nil"/>
              <w:right w:val="nil"/>
            </w:tcBorders>
            <w:shd w:val="clear" w:color="auto" w:fill="FFFFFF" w:themeFill="background1"/>
            <w:vAlign w:val="center"/>
          </w:tcPr>
          <w:p w14:paraId="00880D6B">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补充演练和流程卡</w:t>
            </w:r>
          </w:p>
        </w:tc>
      </w:tr>
      <w:tr w14:paraId="114A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3" w:type="dxa"/>
            <w:tcBorders>
              <w:top w:val="nil"/>
              <w:left w:val="nil"/>
              <w:bottom w:val="single" w:color="auto" w:sz="12" w:space="0"/>
              <w:right w:val="nil"/>
            </w:tcBorders>
            <w:shd w:val="clear" w:color="auto" w:fill="FFFFFF" w:themeFill="background1"/>
            <w:vAlign w:val="center"/>
          </w:tcPr>
          <w:p w14:paraId="1F9A38EC">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整改反馈</w:t>
            </w:r>
          </w:p>
        </w:tc>
        <w:tc>
          <w:tcPr>
            <w:tcW w:w="2631" w:type="dxa"/>
            <w:tcBorders>
              <w:top w:val="nil"/>
              <w:left w:val="nil"/>
              <w:bottom w:val="single" w:color="auto" w:sz="12" w:space="0"/>
              <w:right w:val="nil"/>
            </w:tcBorders>
            <w:shd w:val="clear" w:color="auto" w:fill="FFFFFF" w:themeFill="background1"/>
            <w:vAlign w:val="center"/>
          </w:tcPr>
          <w:p w14:paraId="1921374D">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隐患整改是否按期完成并进行复查</w:t>
            </w:r>
          </w:p>
        </w:tc>
        <w:tc>
          <w:tcPr>
            <w:tcW w:w="1957" w:type="dxa"/>
            <w:tcBorders>
              <w:top w:val="nil"/>
              <w:left w:val="nil"/>
              <w:bottom w:val="single" w:color="auto" w:sz="12" w:space="0"/>
              <w:right w:val="nil"/>
            </w:tcBorders>
            <w:shd w:val="clear" w:color="auto" w:fill="FFFFFF" w:themeFill="background1"/>
            <w:vAlign w:val="center"/>
          </w:tcPr>
          <w:p w14:paraId="3C0364BF">
            <w:pPr>
              <w:keepNext/>
              <w:snapToGrid w:val="0"/>
              <w:spacing w:after="0" w:line="240" w:lineRule="auto"/>
              <w:ind w:left="0" w:leftChars="0" w:right="0" w:rightChars="0" w:firstLine="0" w:firstLineChars="0"/>
              <w:jc w:val="left"/>
              <w:rPr>
                <w:rFonts w:ascii="Times New Roman" w:hAnsi="Times New Roman" w:eastAsia="宋体" w:cs="Times New Roman"/>
                <w:sz w:val="21"/>
                <w:szCs w:val="21"/>
              </w:rPr>
            </w:pPr>
            <w:r>
              <w:rPr>
                <w:rFonts w:ascii="Times New Roman" w:hAnsi="Times New Roman" w:eastAsia="宋体" w:cs="Times New Roman"/>
                <w:sz w:val="21"/>
                <w:szCs w:val="21"/>
              </w:rPr>
              <w:t>隐患库、整改记录、复查结论</w:t>
            </w:r>
          </w:p>
        </w:tc>
        <w:tc>
          <w:tcPr>
            <w:tcW w:w="1982" w:type="dxa"/>
            <w:tcBorders>
              <w:top w:val="nil"/>
              <w:left w:val="nil"/>
              <w:bottom w:val="single" w:color="auto" w:sz="12" w:space="0"/>
              <w:right w:val="nil"/>
            </w:tcBorders>
            <w:shd w:val="clear" w:color="auto" w:fill="FFFFFF" w:themeFill="background1"/>
            <w:vAlign w:val="center"/>
          </w:tcPr>
          <w:p w14:paraId="3BEACD0C">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整改有责任人、期限和复查结果</w:t>
            </w:r>
          </w:p>
        </w:tc>
        <w:tc>
          <w:tcPr>
            <w:tcW w:w="1631" w:type="dxa"/>
            <w:tcBorders>
              <w:top w:val="nil"/>
              <w:left w:val="nil"/>
              <w:bottom w:val="single" w:color="auto" w:sz="12" w:space="0"/>
              <w:right w:val="nil"/>
            </w:tcBorders>
            <w:shd w:val="clear" w:color="auto" w:fill="FFFFFF" w:themeFill="background1"/>
            <w:vAlign w:val="center"/>
          </w:tcPr>
          <w:p w14:paraId="3A0F9183">
            <w:pPr>
              <w:keepNext/>
              <w:snapToGrid w:val="0"/>
              <w:spacing w:after="0" w:line="240" w:lineRule="auto"/>
              <w:ind w:left="0" w:leftChars="0" w:right="0" w:rightChars="0"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分析重复隐患并修订制度</w:t>
            </w:r>
          </w:p>
        </w:tc>
      </w:tr>
    </w:tbl>
    <w:p w14:paraId="60CE0FF9">
      <w:pPr>
        <w:spacing w:before="0" w:after="0" w:line="360" w:lineRule="auto"/>
        <w:ind w:firstLine="420"/>
        <w:jc w:val="both"/>
      </w:pPr>
      <w:r>
        <w:rPr>
          <w:rFonts w:ascii="Times New Roman" w:hAnsi="Times New Roman" w:eastAsia="宋体"/>
          <w:sz w:val="24"/>
        </w:rPr>
        <w:t>保障机制方面，学校和学院应当为实验室安全管理提供必要的制度、经费和人员支持。生物实验室安全管理并不是某一名管理员能够独立完成的事务，涉及设备维护、危废处置、场地改造、信息平台、应急物资和专业培训等多个方面。如果缺少经费和组织保障，很多措施即使写入制度，也难以长期执行。</w:t>
      </w:r>
    </w:p>
    <w:p w14:paraId="627EEED7">
      <w:pPr>
        <w:spacing w:before="0" w:after="0" w:line="360" w:lineRule="auto"/>
        <w:ind w:firstLine="420"/>
        <w:jc w:val="both"/>
      </w:pPr>
      <w:r>
        <w:rPr>
          <w:rFonts w:ascii="Times New Roman" w:hAnsi="Times New Roman" w:eastAsia="宋体"/>
          <w:sz w:val="24"/>
        </w:rPr>
        <w:t>经费保障应优先投向关键风险环节。例如，生物安全柜检测、高压灭菌锅维护、低温冰箱温度监测、危废专用容器、应急物资更新和信息化台账建设等，都是直接影响实验室安全运行的基础条件。对于短期内难以完成的大型改造，可以先通过分区标识、流程优化和责任挂牌等方式降低风险，再逐步推进硬件提升。</w:t>
      </w:r>
    </w:p>
    <w:p w14:paraId="2F3A7176">
      <w:pPr>
        <w:spacing w:before="0" w:after="0" w:line="360" w:lineRule="auto"/>
        <w:ind w:firstLine="420"/>
        <w:jc w:val="both"/>
      </w:pPr>
      <w:r>
        <w:rPr>
          <w:rFonts w:ascii="Times New Roman" w:hAnsi="Times New Roman" w:eastAsia="宋体"/>
          <w:sz w:val="24"/>
        </w:rPr>
        <w:t>人员保障同样重要。实验室安全管理需要既懂专业实验流程、又熟悉安全要求的人员参与。对于实验技术人员和安全管理员，应减少只把其视为事务性人员的倾向，而应赋予其现场监督、设备管理和培训指导职责，并在工作量核算、培训机会和考核评价中体现安全管理贡献。</w:t>
      </w:r>
    </w:p>
    <w:p w14:paraId="7DBD202E">
      <w:pPr>
        <w:spacing w:before="0" w:after="0" w:line="360" w:lineRule="auto"/>
        <w:ind w:firstLine="420"/>
        <w:jc w:val="both"/>
      </w:pPr>
      <w:r>
        <w:t>资料归档是容易被忽视但十分关键的工作。培训记录、设备点检表、样本试剂台账、废弃物交接单、检查整改记录、应急演练记录和事故复盘材料，都应按照统一目录保存。这样既便于接受检查，也便于在发生异常时快速追溯原因，避免因为资料分散导致责任和过程难以确认。 资料归档是持续改进的重要基础，表4-18将培训记录、设备点检、样本台账、危废交接、整改复查和事故复盘等资料纳入清单，便于后续检查和追溯。</w:t>
      </w:r>
    </w:p>
    <w:p w14:paraId="389BE71B">
      <w:pPr>
        <w:keepNext/>
        <w:spacing w:before="60" w:after="60" w:line="360" w:lineRule="auto"/>
        <w:jc w:val="center"/>
      </w:pPr>
      <w:r>
        <w:rPr>
          <w:rFonts w:ascii="黑体" w:hAnsi="黑体" w:eastAsia="黑体"/>
          <w:sz w:val="21"/>
        </w:rPr>
        <w:t>表4-18 高校生物实验室安全管理保障与归档清单（示例）</w:t>
      </w:r>
    </w:p>
    <w:tbl>
      <w:tblPr>
        <w:tblStyle w:val="37"/>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2628"/>
        <w:gridCol w:w="2554"/>
        <w:gridCol w:w="1632"/>
        <w:gridCol w:w="1376"/>
      </w:tblGrid>
      <w:tr w14:paraId="7643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15" w:type="dxa"/>
            <w:tcBorders>
              <w:top w:val="single" w:color="auto" w:sz="12" w:space="0"/>
              <w:left w:val="nil"/>
              <w:bottom w:val="single" w:color="auto" w:sz="4" w:space="0"/>
              <w:right w:val="nil"/>
            </w:tcBorders>
            <w:shd w:val="clear" w:color="auto" w:fill="FFFFFF" w:themeFill="background1"/>
            <w:vAlign w:val="center"/>
          </w:tcPr>
          <w:p w14:paraId="3D993D84">
            <w:pPr>
              <w:keepNext/>
              <w:snapToGrid w:val="0"/>
              <w:spacing w:before="0" w:after="0" w:line="240" w:lineRule="auto"/>
              <w:ind w:left="0" w:leftChars="0" w:right="0" w:rightChars="0" w:firstLine="0" w:firstLineChars="0"/>
              <w:jc w:val="center"/>
              <w:rPr>
                <w:rFonts w:ascii="Times New Roman" w:hAnsi="Times New Roman" w:eastAsia="宋体"/>
                <w:b w:val="0"/>
                <w:sz w:val="21"/>
              </w:rPr>
            </w:pPr>
            <w:r>
              <w:rPr>
                <w:rFonts w:ascii="Times New Roman" w:hAnsi="Times New Roman" w:eastAsia="宋体"/>
                <w:b w:val="0"/>
                <w:sz w:val="21"/>
              </w:rPr>
              <w:t>保障内容</w:t>
            </w:r>
          </w:p>
        </w:tc>
        <w:tc>
          <w:tcPr>
            <w:tcW w:w="2628" w:type="dxa"/>
            <w:tcBorders>
              <w:top w:val="single" w:color="auto" w:sz="12" w:space="0"/>
              <w:left w:val="nil"/>
              <w:bottom w:val="single" w:color="auto" w:sz="4" w:space="0"/>
              <w:right w:val="nil"/>
            </w:tcBorders>
            <w:shd w:val="clear" w:color="auto" w:fill="FFFFFF" w:themeFill="background1"/>
            <w:vAlign w:val="center"/>
          </w:tcPr>
          <w:p w14:paraId="624B6260">
            <w:pPr>
              <w:keepNext/>
              <w:snapToGrid w:val="0"/>
              <w:spacing w:before="0" w:after="0" w:line="240" w:lineRule="auto"/>
              <w:ind w:left="0" w:leftChars="0" w:right="0" w:rightChars="0" w:firstLine="0" w:firstLineChars="0"/>
              <w:jc w:val="center"/>
              <w:rPr>
                <w:rFonts w:ascii="Times New Roman" w:hAnsi="Times New Roman" w:eastAsia="宋体"/>
                <w:b w:val="0"/>
                <w:sz w:val="21"/>
              </w:rPr>
            </w:pPr>
            <w:r>
              <w:rPr>
                <w:rFonts w:ascii="Times New Roman" w:hAnsi="Times New Roman" w:eastAsia="宋体"/>
                <w:b w:val="0"/>
                <w:sz w:val="21"/>
              </w:rPr>
              <w:t>具体要求</w:t>
            </w:r>
          </w:p>
        </w:tc>
        <w:tc>
          <w:tcPr>
            <w:tcW w:w="2554" w:type="dxa"/>
            <w:tcBorders>
              <w:top w:val="single" w:color="auto" w:sz="12" w:space="0"/>
              <w:left w:val="nil"/>
              <w:bottom w:val="single" w:color="auto" w:sz="4" w:space="0"/>
              <w:right w:val="nil"/>
            </w:tcBorders>
            <w:shd w:val="clear" w:color="auto" w:fill="FFFFFF" w:themeFill="background1"/>
            <w:vAlign w:val="center"/>
          </w:tcPr>
          <w:p w14:paraId="7AD251BE">
            <w:pPr>
              <w:keepNext/>
              <w:snapToGrid w:val="0"/>
              <w:spacing w:before="0" w:after="0" w:line="240" w:lineRule="auto"/>
              <w:ind w:left="0" w:leftChars="0" w:right="0" w:rightChars="0" w:firstLine="0" w:firstLineChars="0"/>
              <w:jc w:val="center"/>
              <w:rPr>
                <w:rFonts w:ascii="Times New Roman" w:hAnsi="Times New Roman" w:eastAsia="宋体"/>
                <w:b w:val="0"/>
                <w:sz w:val="21"/>
              </w:rPr>
            </w:pPr>
            <w:r>
              <w:rPr>
                <w:rFonts w:ascii="Times New Roman" w:hAnsi="Times New Roman" w:eastAsia="宋体"/>
                <w:b w:val="0"/>
                <w:sz w:val="21"/>
              </w:rPr>
              <w:t>主要资料</w:t>
            </w:r>
          </w:p>
        </w:tc>
        <w:tc>
          <w:tcPr>
            <w:tcW w:w="1632" w:type="dxa"/>
            <w:tcBorders>
              <w:top w:val="single" w:color="auto" w:sz="12" w:space="0"/>
              <w:left w:val="nil"/>
              <w:bottom w:val="single" w:color="auto" w:sz="4" w:space="0"/>
              <w:right w:val="nil"/>
            </w:tcBorders>
            <w:shd w:val="clear" w:color="auto" w:fill="FFFFFF" w:themeFill="background1"/>
            <w:vAlign w:val="center"/>
          </w:tcPr>
          <w:p w14:paraId="6CD54586">
            <w:pPr>
              <w:keepNext/>
              <w:snapToGrid w:val="0"/>
              <w:spacing w:before="0" w:after="0" w:line="240" w:lineRule="auto"/>
              <w:ind w:left="0" w:leftChars="0" w:right="0" w:rightChars="0" w:firstLine="0" w:firstLineChars="0"/>
              <w:jc w:val="center"/>
              <w:rPr>
                <w:rFonts w:ascii="Times New Roman" w:hAnsi="Times New Roman" w:eastAsia="宋体"/>
                <w:b w:val="0"/>
                <w:sz w:val="21"/>
              </w:rPr>
            </w:pPr>
            <w:r>
              <w:rPr>
                <w:rFonts w:ascii="Times New Roman" w:hAnsi="Times New Roman" w:eastAsia="宋体"/>
                <w:b w:val="0"/>
                <w:sz w:val="21"/>
              </w:rPr>
              <w:t>保存方式</w:t>
            </w:r>
          </w:p>
        </w:tc>
        <w:tc>
          <w:tcPr>
            <w:tcW w:w="1376" w:type="dxa"/>
            <w:tcBorders>
              <w:top w:val="single" w:color="auto" w:sz="12" w:space="0"/>
              <w:left w:val="nil"/>
              <w:bottom w:val="single" w:color="auto" w:sz="4" w:space="0"/>
              <w:right w:val="nil"/>
            </w:tcBorders>
            <w:shd w:val="clear" w:color="auto" w:fill="FFFFFF" w:themeFill="background1"/>
            <w:vAlign w:val="center"/>
          </w:tcPr>
          <w:p w14:paraId="32F5E52B">
            <w:pPr>
              <w:keepNext/>
              <w:snapToGrid w:val="0"/>
              <w:spacing w:before="0" w:after="0" w:line="240" w:lineRule="auto"/>
              <w:ind w:left="0" w:leftChars="0" w:right="0" w:rightChars="0" w:firstLine="0" w:firstLineChars="0"/>
              <w:jc w:val="center"/>
              <w:rPr>
                <w:rFonts w:ascii="Times New Roman" w:hAnsi="Times New Roman" w:eastAsia="宋体"/>
                <w:b w:val="0"/>
                <w:sz w:val="21"/>
              </w:rPr>
            </w:pPr>
            <w:r>
              <w:rPr>
                <w:rFonts w:ascii="Times New Roman" w:hAnsi="Times New Roman" w:eastAsia="宋体"/>
                <w:b w:val="0"/>
                <w:sz w:val="21"/>
              </w:rPr>
              <w:t>使用场景</w:t>
            </w:r>
          </w:p>
        </w:tc>
      </w:tr>
      <w:tr w14:paraId="1C95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auto" w:sz="4" w:space="0"/>
              <w:left w:val="nil"/>
              <w:bottom w:val="nil"/>
              <w:right w:val="nil"/>
            </w:tcBorders>
            <w:vAlign w:val="center"/>
          </w:tcPr>
          <w:p w14:paraId="36BC150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制度保障</w:t>
            </w:r>
          </w:p>
        </w:tc>
        <w:tc>
          <w:tcPr>
            <w:tcW w:w="2628" w:type="dxa"/>
            <w:tcBorders>
              <w:top w:val="single" w:color="auto" w:sz="4" w:space="0"/>
              <w:left w:val="nil"/>
              <w:bottom w:val="nil"/>
              <w:right w:val="nil"/>
            </w:tcBorders>
            <w:vAlign w:val="center"/>
          </w:tcPr>
          <w:p w14:paraId="3D3592FD">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建立准入、设备、材料、危废、应急和整改制度</w:t>
            </w:r>
          </w:p>
        </w:tc>
        <w:tc>
          <w:tcPr>
            <w:tcW w:w="2554" w:type="dxa"/>
            <w:tcBorders>
              <w:top w:val="single" w:color="auto" w:sz="4" w:space="0"/>
              <w:left w:val="nil"/>
              <w:bottom w:val="nil"/>
              <w:right w:val="nil"/>
            </w:tcBorders>
            <w:vAlign w:val="center"/>
          </w:tcPr>
          <w:p w14:paraId="2A29DF6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制度文本、SOP、流程卡</w:t>
            </w:r>
          </w:p>
        </w:tc>
        <w:tc>
          <w:tcPr>
            <w:tcW w:w="1632" w:type="dxa"/>
            <w:tcBorders>
              <w:top w:val="single" w:color="auto" w:sz="4" w:space="0"/>
              <w:left w:val="nil"/>
              <w:bottom w:val="nil"/>
              <w:right w:val="nil"/>
            </w:tcBorders>
            <w:vAlign w:val="center"/>
          </w:tcPr>
          <w:p w14:paraId="2F3F7D05">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纸质+电子</w:t>
            </w:r>
          </w:p>
        </w:tc>
        <w:tc>
          <w:tcPr>
            <w:tcW w:w="1376" w:type="dxa"/>
            <w:tcBorders>
              <w:top w:val="single" w:color="auto" w:sz="4" w:space="0"/>
              <w:left w:val="nil"/>
              <w:bottom w:val="nil"/>
              <w:right w:val="nil"/>
            </w:tcBorders>
            <w:vAlign w:val="center"/>
          </w:tcPr>
          <w:p w14:paraId="27ABD48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日常执行、检查依据</w:t>
            </w:r>
          </w:p>
        </w:tc>
      </w:tr>
      <w:tr w14:paraId="0E86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nil"/>
              <w:left w:val="nil"/>
              <w:bottom w:val="nil"/>
              <w:right w:val="nil"/>
            </w:tcBorders>
            <w:vAlign w:val="center"/>
          </w:tcPr>
          <w:p w14:paraId="288FDB73">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经费保障</w:t>
            </w:r>
          </w:p>
        </w:tc>
        <w:tc>
          <w:tcPr>
            <w:tcW w:w="2628" w:type="dxa"/>
            <w:tcBorders>
              <w:top w:val="nil"/>
              <w:left w:val="nil"/>
              <w:bottom w:val="nil"/>
              <w:right w:val="nil"/>
            </w:tcBorders>
            <w:vAlign w:val="center"/>
          </w:tcPr>
          <w:p w14:paraId="40DDF728">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支持检测维护、物资补充、平台建设和场地改善</w:t>
            </w:r>
          </w:p>
        </w:tc>
        <w:tc>
          <w:tcPr>
            <w:tcW w:w="2554" w:type="dxa"/>
            <w:tcBorders>
              <w:top w:val="nil"/>
              <w:left w:val="nil"/>
              <w:bottom w:val="nil"/>
              <w:right w:val="nil"/>
            </w:tcBorders>
            <w:vAlign w:val="center"/>
          </w:tcPr>
          <w:p w14:paraId="72D1359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预算记录、采购记录、维护合同</w:t>
            </w:r>
          </w:p>
        </w:tc>
        <w:tc>
          <w:tcPr>
            <w:tcW w:w="1632" w:type="dxa"/>
            <w:tcBorders>
              <w:top w:val="nil"/>
              <w:left w:val="nil"/>
              <w:bottom w:val="nil"/>
              <w:right w:val="nil"/>
            </w:tcBorders>
            <w:vAlign w:val="center"/>
          </w:tcPr>
          <w:p w14:paraId="5E03A0ED">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电子归档</w:t>
            </w:r>
          </w:p>
        </w:tc>
        <w:tc>
          <w:tcPr>
            <w:tcW w:w="1376" w:type="dxa"/>
            <w:tcBorders>
              <w:top w:val="nil"/>
              <w:left w:val="nil"/>
              <w:bottom w:val="nil"/>
              <w:right w:val="nil"/>
            </w:tcBorders>
            <w:vAlign w:val="center"/>
          </w:tcPr>
          <w:p w14:paraId="5DF66DBE">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资源配置、年度评价</w:t>
            </w:r>
          </w:p>
        </w:tc>
      </w:tr>
      <w:tr w14:paraId="0182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nil"/>
              <w:left w:val="nil"/>
              <w:bottom w:val="nil"/>
              <w:right w:val="nil"/>
            </w:tcBorders>
            <w:vAlign w:val="center"/>
          </w:tcPr>
          <w:p w14:paraId="44D6B248">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人员保障</w:t>
            </w:r>
          </w:p>
        </w:tc>
        <w:tc>
          <w:tcPr>
            <w:tcW w:w="2628" w:type="dxa"/>
            <w:tcBorders>
              <w:top w:val="nil"/>
              <w:left w:val="nil"/>
              <w:bottom w:val="nil"/>
              <w:right w:val="nil"/>
            </w:tcBorders>
            <w:vAlign w:val="center"/>
          </w:tcPr>
          <w:p w14:paraId="43D9E488">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明确负责人、管理员、设备责任人和样本责任人</w:t>
            </w:r>
          </w:p>
        </w:tc>
        <w:tc>
          <w:tcPr>
            <w:tcW w:w="2554" w:type="dxa"/>
            <w:tcBorders>
              <w:top w:val="nil"/>
              <w:left w:val="nil"/>
              <w:bottom w:val="nil"/>
              <w:right w:val="nil"/>
            </w:tcBorders>
            <w:vAlign w:val="center"/>
          </w:tcPr>
          <w:p w14:paraId="5F478619">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岗位清单、培训记录、考核记录</w:t>
            </w:r>
          </w:p>
        </w:tc>
        <w:tc>
          <w:tcPr>
            <w:tcW w:w="1632" w:type="dxa"/>
            <w:tcBorders>
              <w:top w:val="nil"/>
              <w:left w:val="nil"/>
              <w:bottom w:val="nil"/>
              <w:right w:val="nil"/>
            </w:tcBorders>
            <w:vAlign w:val="center"/>
          </w:tcPr>
          <w:p w14:paraId="38CA1E7D">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纸质+电子</w:t>
            </w:r>
          </w:p>
        </w:tc>
        <w:tc>
          <w:tcPr>
            <w:tcW w:w="1376" w:type="dxa"/>
            <w:tcBorders>
              <w:top w:val="nil"/>
              <w:left w:val="nil"/>
              <w:bottom w:val="nil"/>
              <w:right w:val="nil"/>
            </w:tcBorders>
            <w:vAlign w:val="center"/>
          </w:tcPr>
          <w:p w14:paraId="491D27C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责任追溯、培训安排</w:t>
            </w:r>
          </w:p>
        </w:tc>
      </w:tr>
      <w:tr w14:paraId="24F0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nil"/>
              <w:left w:val="nil"/>
              <w:bottom w:val="nil"/>
              <w:right w:val="nil"/>
            </w:tcBorders>
            <w:vAlign w:val="center"/>
          </w:tcPr>
          <w:p w14:paraId="49E12068">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物资保障</w:t>
            </w:r>
          </w:p>
        </w:tc>
        <w:tc>
          <w:tcPr>
            <w:tcW w:w="2628" w:type="dxa"/>
            <w:tcBorders>
              <w:top w:val="nil"/>
              <w:left w:val="nil"/>
              <w:bottom w:val="nil"/>
              <w:right w:val="nil"/>
            </w:tcBorders>
            <w:vAlign w:val="center"/>
          </w:tcPr>
          <w:p w14:paraId="50D69E45">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定期补充个人防护、消毒用品、应急包和危废容器</w:t>
            </w:r>
          </w:p>
        </w:tc>
        <w:tc>
          <w:tcPr>
            <w:tcW w:w="2554" w:type="dxa"/>
            <w:tcBorders>
              <w:top w:val="nil"/>
              <w:left w:val="nil"/>
              <w:bottom w:val="nil"/>
              <w:right w:val="nil"/>
            </w:tcBorders>
            <w:vAlign w:val="center"/>
          </w:tcPr>
          <w:p w14:paraId="79B958B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物资清单、领用记录、盘点表</w:t>
            </w:r>
          </w:p>
        </w:tc>
        <w:tc>
          <w:tcPr>
            <w:tcW w:w="1632" w:type="dxa"/>
            <w:tcBorders>
              <w:top w:val="nil"/>
              <w:left w:val="nil"/>
              <w:bottom w:val="nil"/>
              <w:right w:val="nil"/>
            </w:tcBorders>
            <w:vAlign w:val="center"/>
          </w:tcPr>
          <w:p w14:paraId="17E37C86">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现场+电子</w:t>
            </w:r>
          </w:p>
        </w:tc>
        <w:tc>
          <w:tcPr>
            <w:tcW w:w="1376" w:type="dxa"/>
            <w:tcBorders>
              <w:top w:val="nil"/>
              <w:left w:val="nil"/>
              <w:bottom w:val="nil"/>
              <w:right w:val="nil"/>
            </w:tcBorders>
            <w:vAlign w:val="center"/>
          </w:tcPr>
          <w:p w14:paraId="3C3D1647">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应急处置、日常巡查</w:t>
            </w:r>
          </w:p>
        </w:tc>
      </w:tr>
      <w:tr w14:paraId="217B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nil"/>
              <w:left w:val="nil"/>
              <w:bottom w:val="nil"/>
              <w:right w:val="nil"/>
            </w:tcBorders>
            <w:vAlign w:val="center"/>
          </w:tcPr>
          <w:p w14:paraId="7961631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信息保障</w:t>
            </w:r>
          </w:p>
        </w:tc>
        <w:tc>
          <w:tcPr>
            <w:tcW w:w="2628" w:type="dxa"/>
            <w:tcBorders>
              <w:top w:val="nil"/>
              <w:left w:val="nil"/>
              <w:bottom w:val="nil"/>
              <w:right w:val="nil"/>
            </w:tcBorders>
            <w:vAlign w:val="center"/>
          </w:tcPr>
          <w:p w14:paraId="775AA21C">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统一台账、隐患库和整改反馈记录</w:t>
            </w:r>
          </w:p>
        </w:tc>
        <w:tc>
          <w:tcPr>
            <w:tcW w:w="2554" w:type="dxa"/>
            <w:tcBorders>
              <w:top w:val="nil"/>
              <w:left w:val="nil"/>
              <w:bottom w:val="nil"/>
              <w:right w:val="nil"/>
            </w:tcBorders>
            <w:vAlign w:val="center"/>
          </w:tcPr>
          <w:p w14:paraId="05DF4C0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电子台账、隐患清单、复查结论</w:t>
            </w:r>
          </w:p>
        </w:tc>
        <w:tc>
          <w:tcPr>
            <w:tcW w:w="1632" w:type="dxa"/>
            <w:tcBorders>
              <w:top w:val="nil"/>
              <w:left w:val="nil"/>
              <w:bottom w:val="nil"/>
              <w:right w:val="nil"/>
            </w:tcBorders>
            <w:vAlign w:val="center"/>
          </w:tcPr>
          <w:p w14:paraId="3939839B">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电子平台/共享表格</w:t>
            </w:r>
          </w:p>
        </w:tc>
        <w:tc>
          <w:tcPr>
            <w:tcW w:w="1376" w:type="dxa"/>
            <w:tcBorders>
              <w:top w:val="nil"/>
              <w:left w:val="nil"/>
              <w:bottom w:val="nil"/>
              <w:right w:val="nil"/>
            </w:tcBorders>
            <w:vAlign w:val="center"/>
          </w:tcPr>
          <w:p w14:paraId="5211B20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统计分析、持续改进</w:t>
            </w:r>
          </w:p>
        </w:tc>
      </w:tr>
      <w:tr w14:paraId="7FD0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nil"/>
              <w:left w:val="nil"/>
              <w:bottom w:val="single" w:color="auto" w:sz="12" w:space="0"/>
              <w:right w:val="nil"/>
            </w:tcBorders>
            <w:vAlign w:val="center"/>
          </w:tcPr>
          <w:p w14:paraId="32A7E00E">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档案保障</w:t>
            </w:r>
          </w:p>
        </w:tc>
        <w:tc>
          <w:tcPr>
            <w:tcW w:w="2628" w:type="dxa"/>
            <w:tcBorders>
              <w:top w:val="nil"/>
              <w:left w:val="nil"/>
              <w:bottom w:val="single" w:color="auto" w:sz="12" w:space="0"/>
              <w:right w:val="nil"/>
            </w:tcBorders>
            <w:vAlign w:val="center"/>
          </w:tcPr>
          <w:p w14:paraId="3BC15796">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对关键记录分类保存并定期核查完整性</w:t>
            </w:r>
          </w:p>
        </w:tc>
        <w:tc>
          <w:tcPr>
            <w:tcW w:w="2554" w:type="dxa"/>
            <w:tcBorders>
              <w:top w:val="nil"/>
              <w:left w:val="nil"/>
              <w:bottom w:val="single" w:color="auto" w:sz="12" w:space="0"/>
              <w:right w:val="nil"/>
            </w:tcBorders>
            <w:vAlign w:val="center"/>
          </w:tcPr>
          <w:p w14:paraId="2D609B3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检查表、点检表、交接单、演练记录</w:t>
            </w:r>
          </w:p>
        </w:tc>
        <w:tc>
          <w:tcPr>
            <w:tcW w:w="1632" w:type="dxa"/>
            <w:tcBorders>
              <w:top w:val="nil"/>
              <w:left w:val="nil"/>
              <w:bottom w:val="single" w:color="auto" w:sz="12" w:space="0"/>
              <w:right w:val="nil"/>
            </w:tcBorders>
            <w:vAlign w:val="center"/>
          </w:tcPr>
          <w:p w14:paraId="3A5BC730">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z w:val="21"/>
              </w:rPr>
              <w:t>分类编号保存</w:t>
            </w:r>
          </w:p>
        </w:tc>
        <w:tc>
          <w:tcPr>
            <w:tcW w:w="1376" w:type="dxa"/>
            <w:tcBorders>
              <w:top w:val="nil"/>
              <w:left w:val="nil"/>
              <w:bottom w:val="single" w:color="auto" w:sz="12" w:space="0"/>
              <w:right w:val="nil"/>
            </w:tcBorders>
            <w:vAlign w:val="center"/>
          </w:tcPr>
          <w:p w14:paraId="330AAC46">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sz w:val="21"/>
              </w:rPr>
              <w:t>追溯原因、证明整改</w:t>
            </w:r>
          </w:p>
        </w:tc>
      </w:tr>
    </w:tbl>
    <w:p w14:paraId="628196F7">
      <w:pPr>
        <w:spacing w:before="0" w:after="0" w:line="360" w:lineRule="auto"/>
        <w:ind w:firstLine="420"/>
        <w:jc w:val="both"/>
      </w:pPr>
      <w:r>
        <w:rPr>
          <w:rFonts w:ascii="Times New Roman" w:hAnsi="Times New Roman" w:eastAsia="宋体"/>
          <w:sz w:val="24"/>
        </w:rPr>
        <w:t>从实施效果看，上述保障措施能够把第四章提出的优化策略连接成一个较完整的运行链条。责任清单回答谁来做，年度计划回答什么时候做，隐患库回答发现问题后如何跟踪，复核表回答整改是否有效，保障与归档清单则回答措施能否长期维持。只有这些环节相互配合，实验室安全管理才不会停留在临时性整改层面。</w:t>
      </w:r>
    </w:p>
    <w:p w14:paraId="05C5A254">
      <w:pPr>
        <w:spacing w:before="0" w:after="0" w:line="360" w:lineRule="auto"/>
        <w:ind w:firstLine="420"/>
        <w:jc w:val="both"/>
      </w:pPr>
      <w:r>
        <w:rPr>
          <w:rFonts w:ascii="Times New Roman" w:hAnsi="Times New Roman" w:eastAsia="宋体"/>
          <w:sz w:val="24"/>
        </w:rPr>
        <w:t>需要说明的是，不同高校的实验室规模、学科方向和资源条件存在差异，具体指标和表单可以根据实际情况调整。对于教学任务较重的实验室，可以突出学生准入、现场指导和集中实验后的清场检查；对于科研任务较重的实验室，则应更加重视样本试剂追溯、共享设备维护和长期保存材料盘点。优化策略并不要求所有实验室采用完全相同的模式，而是要求围绕风险特点建立适合自身的管理工具。</w:t>
      </w:r>
    </w:p>
    <w:p w14:paraId="5F9E79F8">
      <w:pPr>
        <w:spacing w:before="0" w:after="0" w:line="360" w:lineRule="auto"/>
        <w:ind w:firstLine="420"/>
        <w:jc w:val="both"/>
      </w:pPr>
      <w:r>
        <w:rPr>
          <w:rFonts w:ascii="Times New Roman" w:hAnsi="Times New Roman" w:eastAsia="宋体"/>
          <w:sz w:val="24"/>
        </w:rPr>
        <w:t>综上，第四章的优化建议应理解为一个由责任、培训、设备、材料、流程、环境、监测和保障共同构成的体系。其核心不是增加管理负担，而是把原本分散、临时和经验化的工作转化为有计划、有记录、有复核的过程，从而提高高校生物实验室安全管理的稳定性和可持续性。</w:t>
      </w:r>
    </w:p>
    <w:p w14:paraId="6BCC2AB1">
      <w:pPr>
        <w:spacing w:before="0" w:after="0" w:line="360" w:lineRule="auto"/>
        <w:ind w:firstLine="420"/>
        <w:jc w:val="both"/>
      </w:pPr>
      <w:r>
        <w:rPr>
          <w:rFonts w:ascii="Times New Roman" w:hAnsi="Times New Roman" w:eastAsia="宋体"/>
          <w:sz w:val="24"/>
        </w:rPr>
        <w:t>在具体推进过程中，还应注意优化措施之间的先后关系。若培训、设备点检、材料台账和隐患整改同时启动，但没有统一的时间安排和资料模板，基层实验室容易出现重复填报和记录口径不一致的问题。因此，学院层面可以先统一表单和基本要求，再由各实验室结合自身风险特点补充细节，这样既能保持管理标准一致，又能保留实验室自主调整空间。</w:t>
      </w:r>
    </w:p>
    <w:p w14:paraId="3243197A">
      <w:pPr>
        <w:spacing w:before="0" w:after="0" w:line="360" w:lineRule="auto"/>
        <w:ind w:firstLine="420"/>
        <w:jc w:val="both"/>
      </w:pPr>
      <w:r>
        <w:rPr>
          <w:rFonts w:ascii="Times New Roman" w:hAnsi="Times New Roman" w:eastAsia="宋体"/>
          <w:sz w:val="24"/>
        </w:rPr>
        <w:t>同时，安全管理效果不宜只看某一次检查是否合格，而应结合一段时间内的趋势变化进行判断。比如，若某实验室连续数月出现同类隐患，说明问题并未真正解决；若培训后现场违规次数下降、设备异常能够及时停用并复核、危废交接记录更加完整，则说明优化措施已经开始转化为实际管理成效。</w:t>
      </w:r>
    </w:p>
    <w:p w14:paraId="11C20B01">
      <w:pPr>
        <w:keepNext/>
        <w:spacing w:after="0" w:line="360" w:lineRule="auto"/>
        <w:ind w:firstLine="480" w:firstLineChars="200"/>
        <w:outlineLvl w:val="1"/>
      </w:pPr>
      <w:bookmarkStart w:id="82" w:name="_Toc16278"/>
      <w:bookmarkStart w:id="83" w:name="_Toc2982"/>
      <w:bookmarkStart w:id="84" w:name="_Toc20328"/>
      <w:bookmarkStart w:id="85" w:name="_Toc5543"/>
      <w:r>
        <w:rPr>
          <w:rFonts w:ascii="Times New Roman" w:hAnsi="Times New Roman" w:eastAsia="黑体"/>
          <w:sz w:val="24"/>
        </w:rPr>
        <w:t>4.6　本章小结</w:t>
      </w:r>
      <w:bookmarkEnd w:id="82"/>
      <w:bookmarkEnd w:id="83"/>
      <w:bookmarkEnd w:id="84"/>
      <w:bookmarkEnd w:id="85"/>
    </w:p>
    <w:p w14:paraId="5C2CEDAB">
      <w:pPr>
        <w:spacing w:before="0" w:after="0" w:line="360" w:lineRule="auto"/>
        <w:ind w:firstLine="420"/>
        <w:jc w:val="both"/>
      </w:pPr>
      <w:r>
        <w:rPr>
          <w:rFonts w:ascii="Times New Roman" w:hAnsi="Times New Roman" w:eastAsia="宋体"/>
          <w:sz w:val="24"/>
        </w:rPr>
        <w:t>本章在前文成因分析基础上，围绕责任体系、培训准入、设备设施、样本试剂与废弃物、制度流程、环境文化、智能监管、风险分级、岗位职责、关键设备点检、JSA作业风险分析、应急物资配置、年度实施计划、隐患库建设、复核评价和资料归档等方面提出了高校生物实验室安全管理优化策略。与一般性对策不同，本章更强调措施之间的对应关系和反馈关系，力求使优化建议既有安全工程分析基础，也具有较强的现场可操作性。</w:t>
      </w:r>
    </w:p>
    <w:p w14:paraId="42A69DD3">
      <w:pPr>
        <w:spacing w:after="0" w:line="360" w:lineRule="auto"/>
        <w:ind w:firstLine="480"/>
        <w:jc w:val="both"/>
      </w:pPr>
      <w:r>
        <w:rPr>
          <w:rFonts w:ascii="Times New Roman" w:hAnsi="Times New Roman" w:eastAsia="宋体" w:cs="Times New Roman"/>
          <w:sz w:val="24"/>
        </w:rPr>
        <w:t>高校生物实验室安全管理优化不能简单理解为增加制度文件，而应把责任、人员、设备、材料、流程、环境和监测等要素嵌入实验室运行全过程。只有在责任清楚、培训有效、设备可靠、材料可追溯、制度可执行、环境可支撑并辅以持续监测和定期复盘的前提下，安全管理才能由被动应对转向主动预防，由单点治理转向系统治理。</w:t>
      </w:r>
    </w:p>
    <w:p w14:paraId="0D01864A">
      <w:pPr>
        <w:pageBreakBefore/>
        <w:spacing w:after="0" w:line="360" w:lineRule="auto"/>
      </w:pPr>
      <w:r>
        <w:rPr>
          <w:szCs w:val="24"/>
        </w:rPr>
        <w:t xml:space="preserve"> </w:t>
      </w:r>
    </w:p>
    <w:p w14:paraId="0E89882C">
      <w:pPr>
        <w:keepNext/>
        <w:spacing w:after="360" w:line="360" w:lineRule="auto"/>
        <w:jc w:val="center"/>
        <w:outlineLvl w:val="0"/>
      </w:pPr>
      <w:bookmarkStart w:id="86" w:name="_Toc12215"/>
      <w:bookmarkStart w:id="87" w:name="_Toc2242"/>
      <w:bookmarkStart w:id="88" w:name="_Toc15608"/>
      <w:bookmarkStart w:id="89" w:name="_Toc31527"/>
      <w:r>
        <w:rPr>
          <w:rFonts w:ascii="Times New Roman" w:hAnsi="Times New Roman" w:eastAsia="黑体" w:cs="黑体"/>
          <w:sz w:val="32"/>
        </w:rPr>
        <w:t>第5章　结论与展望</w:t>
      </w:r>
      <w:bookmarkEnd w:id="86"/>
      <w:bookmarkEnd w:id="87"/>
      <w:bookmarkEnd w:id="88"/>
      <w:bookmarkEnd w:id="89"/>
    </w:p>
    <w:p w14:paraId="4D39B7CE">
      <w:pPr>
        <w:keepNext/>
        <w:spacing w:after="0" w:line="360" w:lineRule="auto"/>
        <w:ind w:firstLine="480" w:firstLineChars="200"/>
        <w:outlineLvl w:val="1"/>
      </w:pPr>
      <w:bookmarkStart w:id="90" w:name="_Toc13457"/>
      <w:bookmarkStart w:id="91" w:name="_Toc1136"/>
      <w:bookmarkStart w:id="92" w:name="_Toc32498"/>
      <w:bookmarkStart w:id="93" w:name="_Toc17561"/>
      <w:r>
        <w:rPr>
          <w:rFonts w:ascii="Times New Roman" w:hAnsi="Times New Roman" w:eastAsia="黑体" w:cs="黑体"/>
          <w:sz w:val="24"/>
        </w:rPr>
        <w:t>5.1　研究结论</w:t>
      </w:r>
      <w:bookmarkEnd w:id="90"/>
      <w:bookmarkEnd w:id="91"/>
      <w:bookmarkEnd w:id="92"/>
      <w:bookmarkEnd w:id="93"/>
    </w:p>
    <w:p w14:paraId="3A4D400A">
      <w:pPr>
        <w:spacing w:after="0" w:line="360" w:lineRule="auto"/>
        <w:ind w:firstLine="480"/>
        <w:jc w:val="both"/>
      </w:pPr>
      <w:r>
        <w:t>本文围绕人机料法环视角下高校生物实验室安全管理开展研究，结合前文对管理现状、问题成因、风险分析和优化策略的讨论，得出以下结论：</w:t>
      </w:r>
    </w:p>
    <w:p w14:paraId="5EE6E7C9">
      <w:pPr>
        <w:spacing w:after="0" w:line="360" w:lineRule="auto"/>
        <w:ind w:firstLine="480"/>
        <w:jc w:val="both"/>
        <w:rPr>
          <w:rFonts w:hint="eastAsia" w:ascii="宋体" w:hAnsi="宋体" w:eastAsia="宋体" w:cs="宋体"/>
        </w:rPr>
      </w:pPr>
      <w:r>
        <w:rPr>
          <w:rFonts w:hint="eastAsia" w:ascii="宋体" w:hAnsi="宋体" w:eastAsia="宋体" w:cs="宋体"/>
        </w:rPr>
        <w:t>（1）高校生物实验室安全管理具有明显的系统性。实验过程中人员行为、设备状态、样本试剂与废弃物、操作流程、现场环境和监测评价相互影响，安全风险往往是多个要素共同作用的结果。因此，高校生物实验室安全管理需要从整体角度统筹各类管理要素，不能只依靠单项制度或临时检查解决问题。</w:t>
      </w:r>
    </w:p>
    <w:p w14:paraId="5E3D3FC0">
      <w:pPr>
        <w:spacing w:after="0" w:line="360" w:lineRule="auto"/>
        <w:ind w:firstLine="480"/>
        <w:jc w:val="both"/>
        <w:rPr>
          <w:rFonts w:hint="eastAsia" w:ascii="宋体" w:hAnsi="宋体" w:eastAsia="宋体" w:cs="宋体"/>
        </w:rPr>
      </w:pPr>
      <w:r>
        <w:rPr>
          <w:rFonts w:hint="eastAsia" w:ascii="宋体" w:hAnsi="宋体" w:eastAsia="宋体" w:cs="宋体"/>
        </w:rPr>
        <w:t>（2）当前高校生物实验室已经具备一定的制度基础，但日常运行中仍存在制度要求与具体执行衔接不紧密的情况。这主要表现为培训针对性不足、设备点检和维护记录不完整、样本试剂与废弃物追溯不连续、隐患整改复查不充分、资料归档分散等方面。由此可见，安全管理的关键在于把制度要求转化为稳定、可记录、可核查的日常管理行为。</w:t>
      </w:r>
    </w:p>
    <w:p w14:paraId="66C53A1C">
      <w:pPr>
        <w:spacing w:after="0" w:line="360" w:lineRule="auto"/>
        <w:ind w:firstLine="480"/>
        <w:jc w:val="both"/>
        <w:rPr>
          <w:rFonts w:hint="eastAsia" w:ascii="宋体" w:hAnsi="宋体" w:eastAsia="宋体" w:cs="宋体"/>
        </w:rPr>
      </w:pPr>
      <w:r>
        <w:rPr>
          <w:rFonts w:hint="eastAsia" w:ascii="宋体" w:hAnsi="宋体" w:eastAsia="宋体" w:cs="宋体"/>
        </w:rPr>
        <w:t>（3）人机料法环视角能够较好解释高校生物实验室安全问题的形成机理。从人员看，安全意识、操作能力和岗位责任直接影响实验行为；从设备、材料、方法和环境看，设施维护、试剂样本管理、操作流程和现场条件共同决定实验室风险水平；从监测评价看，检查记录、隐患统计和整改复核影响管理改进效果。将这些要素纳入同一分析框架，有助于找到问题之间的关联。</w:t>
      </w:r>
    </w:p>
    <w:p w14:paraId="5CD5C694">
      <w:pPr>
        <w:spacing w:after="0" w:line="360" w:lineRule="auto"/>
        <w:ind w:firstLine="480"/>
        <w:jc w:val="both"/>
        <w:rPr>
          <w:rFonts w:hint="eastAsia" w:ascii="宋体" w:hAnsi="宋体" w:eastAsia="宋体" w:cs="宋体"/>
        </w:rPr>
      </w:pPr>
      <w:r>
        <w:rPr>
          <w:rFonts w:hint="eastAsia" w:ascii="宋体" w:hAnsi="宋体" w:eastAsia="宋体" w:cs="宋体"/>
        </w:rPr>
        <w:t>（4）鱼骨图、风险矩阵、事故树和作业风险分析等安全工程方法可以提高实验室安全问题分析的针对性。这些方法能够把安全问题从现象描述进一步转向成因识别、风险分级、关键路径判断和作业步骤控制，使人员、设备、材料、制度和环境等因素之间的关系更清楚，也使后续改进措施更具体。</w:t>
      </w:r>
    </w:p>
    <w:p w14:paraId="1A4C256F">
      <w:pPr>
        <w:spacing w:after="0" w:line="360" w:lineRule="auto"/>
        <w:ind w:firstLine="480"/>
        <w:jc w:val="both"/>
      </w:pPr>
      <w:r>
        <w:rPr>
          <w:rFonts w:hint="eastAsia" w:ascii="宋体" w:hAnsi="宋体" w:eastAsia="宋体" w:cs="宋体"/>
        </w:rPr>
        <w:t>（5）高校生物实验室安全管理的优化应以责任明确、过程受控、风险预防和持续改进为主要方向。学校、学院和实验室需要围绕人员准入培训、岗位职责清单、关键设备点检、样本试剂与废弃物全过程记录、典型事故情景处置、隐患库建设、</w:t>
      </w:r>
      <w:r>
        <w:t>整改复查、年度推进计划和资料归档等环节建立统一要求。通过将风险识别、日常检查、整改复核、效果评价和保障机制相结合，可以提高实验室安全管理的规范性、连续性和实效性。</w:t>
      </w:r>
    </w:p>
    <w:p w14:paraId="12F0E9D3">
      <w:pPr>
        <w:keepNext/>
        <w:spacing w:after="0" w:line="360" w:lineRule="auto"/>
        <w:ind w:firstLine="480" w:firstLineChars="200"/>
        <w:outlineLvl w:val="1"/>
      </w:pPr>
      <w:bookmarkStart w:id="94" w:name="_Toc31262"/>
      <w:bookmarkStart w:id="95" w:name="_Toc1923"/>
      <w:bookmarkStart w:id="96" w:name="_Toc7423"/>
      <w:bookmarkStart w:id="97" w:name="_Toc8627"/>
      <w:r>
        <w:rPr>
          <w:rFonts w:ascii="Times New Roman" w:hAnsi="Times New Roman" w:eastAsia="黑体" w:cs="黑体"/>
          <w:sz w:val="24"/>
        </w:rPr>
        <w:t>5.2　不足与展望</w:t>
      </w:r>
      <w:bookmarkEnd w:id="94"/>
      <w:bookmarkEnd w:id="95"/>
      <w:bookmarkEnd w:id="96"/>
      <w:bookmarkEnd w:id="97"/>
    </w:p>
    <w:p w14:paraId="3F46F7BA">
      <w:pPr>
        <w:spacing w:after="0" w:line="360" w:lineRule="auto"/>
        <w:ind w:firstLine="480"/>
        <w:jc w:val="both"/>
      </w:pPr>
      <w:r>
        <w:t>当然，本文仍存在一定不足。由于研究条件和时间限制，本文主要采用文献研究、案例借鉴和系统分析方法，缺少对具体高校生物实验室的连续运行数据、现场访谈和长期跟踪验证；对于不同类型、不同风险等级实验室之间的差异，也还可以进一步细化。后续研究可以在本文框架基础上，引入现场检查记录、设备运行数据、实验室隐患统计数据和整改复核结果，对高校生物实验室安全管理水平进行更具体的评价。</w:t>
      </w:r>
    </w:p>
    <w:p w14:paraId="209A7DA1">
      <w:pPr>
        <w:spacing w:after="0" w:line="360" w:lineRule="auto"/>
        <w:ind w:firstLine="480"/>
        <w:jc w:val="both"/>
      </w:pPr>
      <w:r>
        <w:t>未来，高校生物实验室安全管理还可以从三个方面继续深化：一是加强信息化和智能化监管，将设备状态、样本台账、危废转运、隐患整改和复核评价等数据进行整合，提升风险预警能力；二是推动安全文化建设常态化，使实验室成员从被动遵守制度逐步转向主动识别风险、主动报告隐患和主动参与改进；三是进一步完善生物安全风险分级管理、典型事故情景演练和保障机制，使高校生物实验室在服务教学科研的同时，能够保持更加稳定、规范和可持续的安全运行状态。</w:t>
      </w:r>
    </w:p>
    <w:p w14:paraId="61D241E8">
      <w:pPr>
        <w:spacing w:after="0" w:line="360" w:lineRule="auto"/>
        <w:ind w:firstLine="480"/>
        <w:jc w:val="both"/>
      </w:pPr>
    </w:p>
    <w:p w14:paraId="5A3758DE">
      <w:pPr>
        <w:pageBreakBefore/>
        <w:spacing w:after="0" w:line="360" w:lineRule="auto"/>
      </w:pPr>
      <w:r>
        <w:rPr>
          <w:szCs w:val="24"/>
        </w:rPr>
        <w:t xml:space="preserve"> </w:t>
      </w:r>
    </w:p>
    <w:p w14:paraId="18591298">
      <w:pPr>
        <w:keepNext/>
        <w:spacing w:after="360" w:line="360" w:lineRule="auto"/>
        <w:jc w:val="center"/>
        <w:outlineLvl w:val="0"/>
        <w:rPr>
          <w:rFonts w:ascii="Times New Roman" w:hAnsi="Times New Roman" w:eastAsia="黑体" w:cs="黑体"/>
          <w:sz w:val="32"/>
        </w:rPr>
      </w:pPr>
      <w:bookmarkStart w:id="98" w:name="_Toc6731"/>
      <w:bookmarkStart w:id="99" w:name="_Toc15610"/>
      <w:bookmarkStart w:id="100" w:name="_Toc22207"/>
      <w:bookmarkStart w:id="101" w:name="_Toc9550"/>
      <w:r>
        <w:rPr>
          <w:rFonts w:ascii="Times New Roman" w:hAnsi="Times New Roman" w:eastAsia="黑体" w:cs="黑体"/>
          <w:sz w:val="32"/>
        </w:rPr>
        <w:t>致谢</w:t>
      </w:r>
      <w:bookmarkEnd w:id="98"/>
      <w:bookmarkEnd w:id="99"/>
      <w:bookmarkEnd w:id="100"/>
      <w:bookmarkEnd w:id="101"/>
    </w:p>
    <w:p w14:paraId="2C2B11CF">
      <w:pPr>
        <w:spacing w:after="0" w:line="360" w:lineRule="auto"/>
        <w:ind w:firstLine="480"/>
        <w:jc w:val="both"/>
      </w:pPr>
      <w:r>
        <w:rPr>
          <w:rFonts w:ascii="Times New Roman" w:hAnsi="Times New Roman" w:eastAsia="宋体"/>
          <w:sz w:val="24"/>
        </w:rPr>
        <w:t>在论文写作过程中，我得到了指导老师、学院老师、同学和家人的帮助与支持。首先，衷心感谢指导教师王宏伟老师在论文选题、框架设计、资料整理和修改完善过程中给予的耐心指导。老师多次提醒我注意论文的逻辑衔接、图表支撑和专业性表达，使我能够在原有基础上不断完善论文内容。</w:t>
      </w:r>
    </w:p>
    <w:p w14:paraId="0B56FBB5">
      <w:pPr>
        <w:spacing w:after="0" w:line="360" w:lineRule="auto"/>
        <w:ind w:firstLine="480"/>
        <w:jc w:val="both"/>
      </w:pPr>
      <w:r>
        <w:rPr>
          <w:rFonts w:ascii="Times New Roman" w:hAnsi="Times New Roman" w:eastAsia="宋体"/>
          <w:sz w:val="24"/>
        </w:rPr>
        <w:t>感谢资源与安全工程学院在本科阶段培养过程中提供的学习平台和专业训练。安全工程专业的课程学习让我逐步认识到，安全管理不仅是制度要求，更是风险识别、风险评价和风险控制相结合的系统工作。本文能够从人机料法环、事故树、鱼骨图、风险矩阵和PDCA改进等角度展开分析，也离不开本科期间专业知识的积累。</w:t>
      </w:r>
    </w:p>
    <w:p w14:paraId="23030980">
      <w:pPr>
        <w:spacing w:after="0" w:line="360" w:lineRule="auto"/>
        <w:ind w:firstLine="480"/>
        <w:jc w:val="both"/>
      </w:pPr>
      <w:r>
        <w:rPr>
          <w:rFonts w:ascii="Times New Roman" w:hAnsi="Times New Roman" w:eastAsia="宋体"/>
          <w:sz w:val="24"/>
        </w:rPr>
        <w:t>在论文资料整理和写作调整过程中，学院相关老师和同学也给了我很多帮助。尤其是在论文后期修改阶段，大家在格式检查、图表核对、目录页码和语言表达等方面提出了不少建议，使我能够不断发现论文中存在的问题，并逐步进行完善。</w:t>
      </w:r>
    </w:p>
    <w:p w14:paraId="46903690">
      <w:pPr>
        <w:spacing w:after="0" w:line="360" w:lineRule="auto"/>
        <w:ind w:firstLine="480"/>
        <w:jc w:val="both"/>
      </w:pPr>
      <w:r>
        <w:rPr>
          <w:rFonts w:ascii="Times New Roman" w:hAnsi="Times New Roman" w:eastAsia="宋体"/>
          <w:sz w:val="24"/>
        </w:rPr>
        <w:t>同时，感谢同学和朋友在资料查找、文献整理和论文修改过程中给予的帮助。毕业论文写作任务较重，过程中也会遇到思路不清、格式反复调整等问题，正是因为有身边同学的交流和提醒，我才能够更加耐心地完成后续修改工作。</w:t>
      </w:r>
    </w:p>
    <w:p w14:paraId="2589FB98">
      <w:pPr>
        <w:spacing w:after="0" w:line="360" w:lineRule="auto"/>
        <w:ind w:firstLine="480"/>
        <w:jc w:val="both"/>
      </w:pPr>
      <w:r>
        <w:rPr>
          <w:rFonts w:ascii="Times New Roman" w:hAnsi="Times New Roman" w:eastAsia="宋体"/>
          <w:sz w:val="24"/>
        </w:rPr>
        <w:t>感谢家人一直以来给予我的理解和支持。在论文写作进入集中修改阶段时，家人对我的学习安排和情绪状态给予了很大包容，使我能够更加专注地完成论文完善工作。毕业论文的写作过程不仅是一次资料整理和文字写作的过程，也是一次自我梳理和能力训练的过程。</w:t>
      </w:r>
    </w:p>
    <w:p w14:paraId="3985C26C">
      <w:pPr>
        <w:spacing w:after="0" w:line="360" w:lineRule="auto"/>
        <w:ind w:firstLine="480"/>
        <w:jc w:val="both"/>
      </w:pPr>
      <w:r>
        <w:rPr>
          <w:rFonts w:ascii="Times New Roman" w:hAnsi="Times New Roman" w:eastAsia="宋体"/>
          <w:sz w:val="24"/>
        </w:rPr>
        <w:t>通过本次论文写作，我更加深刻地体会到安全工程专业强调的严谨性和系统性。无论是实验室安全管理中的责任落实，还是风险源辨识、隐患整改和应急处置，都需要从整体出发进行分析，不能只停留在表面问题。</w:t>
      </w:r>
    </w:p>
    <w:p w14:paraId="5B8078A8">
      <w:pPr>
        <w:spacing w:after="0" w:line="360" w:lineRule="auto"/>
        <w:ind w:firstLine="480"/>
        <w:jc w:val="both"/>
      </w:pPr>
      <w:r>
        <w:rPr>
          <w:rFonts w:ascii="Times New Roman" w:hAnsi="Times New Roman" w:eastAsia="宋体"/>
          <w:sz w:val="24"/>
        </w:rPr>
        <w:t>由于个人理论水平和实践经验仍然有限，论文中仍可能存在不足之处，恳请各位老师批评指正。今后我也将继续加强专业学习，不断提高发现问题、分析问题和解决问题的能力，努力把本科阶段形成的专业认识运用到今后的学习和工作中。</w:t>
      </w:r>
    </w:p>
    <w:p w14:paraId="6AA1B38C">
      <w:pPr>
        <w:spacing w:after="0" w:line="360" w:lineRule="auto"/>
        <w:ind w:firstLine="480"/>
        <w:jc w:val="both"/>
      </w:pPr>
      <w:r>
        <w:rPr>
          <w:rFonts w:ascii="Times New Roman" w:hAnsi="Times New Roman" w:eastAsia="宋体"/>
          <w:sz w:val="24"/>
        </w:rPr>
        <w:t>最后，再次向所有在论文写作过程中给予我帮助和支持的老师、同学、朋友和家人表示真诚感谢。</w:t>
      </w:r>
    </w:p>
    <w:p w14:paraId="5871FEFD">
      <w:pPr>
        <w:keepNext/>
        <w:pageBreakBefore/>
        <w:spacing w:before="240" w:after="240" w:line="360" w:lineRule="auto"/>
        <w:jc w:val="center"/>
        <w:outlineLvl w:val="0"/>
      </w:pPr>
      <w:bookmarkStart w:id="102" w:name="_Toc9492"/>
      <w:bookmarkStart w:id="103" w:name="_Toc31806"/>
      <w:bookmarkStart w:id="104" w:name="_Toc25481"/>
      <w:bookmarkStart w:id="105" w:name="_Toc15043"/>
      <w:r>
        <w:rPr>
          <w:rFonts w:ascii="黑体" w:hAnsi="黑体" w:eastAsia="黑体" w:cs="黑体"/>
          <w:sz w:val="32"/>
        </w:rPr>
        <w:t>参考文献</w:t>
      </w:r>
      <w:bookmarkEnd w:id="102"/>
      <w:bookmarkEnd w:id="103"/>
      <w:bookmarkEnd w:id="104"/>
      <w:bookmarkEnd w:id="105"/>
    </w:p>
    <w:p w14:paraId="589A4A9D">
      <w:pPr>
        <w:spacing w:before="0" w:after="0" w:line="360" w:lineRule="auto"/>
        <w:ind w:left="480" w:hanging="480"/>
      </w:pPr>
      <w:r>
        <w:rPr>
          <w:rFonts w:ascii="Times New Roman" w:hAnsi="Times New Roman" w:eastAsia="楷体_GB2312"/>
          <w:sz w:val="21"/>
        </w:rPr>
        <w:t>[1] 梁慧刚, 黄翠, 马海霞, 袁志明. 高等级生物安全实验室与生物安全[J]. 中国科学院院刊, 2016, 31(4): 452-456.</w:t>
      </w:r>
    </w:p>
    <w:p w14:paraId="2881BC5A">
      <w:pPr>
        <w:spacing w:before="0" w:after="0" w:line="360" w:lineRule="auto"/>
        <w:ind w:left="480" w:hanging="480"/>
      </w:pPr>
      <w:r>
        <w:rPr>
          <w:rFonts w:ascii="Times New Roman" w:hAnsi="Times New Roman" w:eastAsia="楷体_GB2312"/>
          <w:sz w:val="21"/>
        </w:rPr>
        <w:t>[2] 齐龙. 浅谈高校生物实验室环保与安全管理[J]. 实验室研究与探索, 2011, 30(4): 176-178.</w:t>
      </w:r>
    </w:p>
    <w:p w14:paraId="366AF9A9">
      <w:pPr>
        <w:spacing w:before="0" w:after="0" w:line="360" w:lineRule="auto"/>
        <w:ind w:left="480" w:hanging="480"/>
      </w:pPr>
      <w:r>
        <w:rPr>
          <w:rFonts w:ascii="Times New Roman" w:hAnsi="Times New Roman" w:eastAsia="楷体_GB2312"/>
          <w:sz w:val="21"/>
        </w:rPr>
        <w:t>[3] 唐秋琳, 黄强, 黄鹏, 毕锋. 高校生物医学实验室安全管理与教育探索[J]. 实验技术与管理, 2018, 35(1): 277-280.</w:t>
      </w:r>
    </w:p>
    <w:p w14:paraId="2ABDE607">
      <w:pPr>
        <w:spacing w:before="0" w:after="0" w:line="360" w:lineRule="auto"/>
        <w:ind w:left="480" w:hanging="480"/>
      </w:pPr>
      <w:r>
        <w:rPr>
          <w:rFonts w:ascii="Times New Roman" w:hAnsi="Times New Roman" w:eastAsia="楷体_GB2312"/>
          <w:sz w:val="21"/>
        </w:rPr>
        <w:t>[4] 黄凯. 北京大学实验室安全教育体系建设的探索与实践[J]. 实验技术与管理, 2013, 30(8): 1-4.</w:t>
      </w:r>
    </w:p>
    <w:p w14:paraId="7168738D">
      <w:pPr>
        <w:spacing w:before="0" w:after="0" w:line="360" w:lineRule="auto"/>
        <w:ind w:left="480" w:hanging="480"/>
      </w:pPr>
      <w:r>
        <w:rPr>
          <w:rFonts w:ascii="Times New Roman" w:hAnsi="Times New Roman" w:eastAsia="楷体_GB2312"/>
          <w:sz w:val="21"/>
        </w:rPr>
        <w:t>[5] 吴林根, 王国兴. 高校实验室安全全过程管理的探索——以南京林业大学为例[J]. 中国林业教育, 2014, 32(2): 33-36.</w:t>
      </w:r>
    </w:p>
    <w:p w14:paraId="4B54A72A">
      <w:pPr>
        <w:spacing w:before="0" w:after="0" w:line="360" w:lineRule="auto"/>
        <w:ind w:left="480" w:hanging="480"/>
      </w:pPr>
      <w:r>
        <w:rPr>
          <w:rFonts w:ascii="Times New Roman" w:hAnsi="Times New Roman" w:eastAsia="楷体_GB2312"/>
          <w:sz w:val="21"/>
        </w:rPr>
        <w:t>[6] 席超, 翟宇, 靳溪, 李雪生, 徐冰, 佟丽. 高校院系生物类实验室安全管理体系建设[J]. 北京师范大学学报(自然科学版), 2023, 59(4): 680-686.</w:t>
      </w:r>
    </w:p>
    <w:p w14:paraId="71400937">
      <w:pPr>
        <w:spacing w:before="0" w:after="0" w:line="360" w:lineRule="auto"/>
        <w:ind w:left="480" w:hanging="480"/>
      </w:pPr>
      <w:r>
        <w:rPr>
          <w:rFonts w:ascii="Times New Roman" w:hAnsi="Times New Roman" w:eastAsia="楷体_GB2312"/>
          <w:sz w:val="21"/>
        </w:rPr>
        <w:t>[7] 聂鹏宇, 武开泽, 胡定益, 李洪平, 周志明, 颜寿. “人机料法环”在食品质检实验室中的应用[J]. 食品工业, 2022, 43(2): 227-231.</w:t>
      </w:r>
    </w:p>
    <w:p w14:paraId="0816AF1D">
      <w:pPr>
        <w:spacing w:before="0" w:after="0" w:line="360" w:lineRule="auto"/>
        <w:ind w:left="480" w:hanging="480"/>
      </w:pPr>
      <w:r>
        <w:rPr>
          <w:rFonts w:ascii="Times New Roman" w:hAnsi="Times New Roman" w:eastAsia="楷体_GB2312"/>
          <w:sz w:val="21"/>
        </w:rPr>
        <w:t>[8] 解瑞辉, 杨坤, 郭社民, 等. 从“人、机、料、法、环”谈地市食品药品检验检测实验室建设的几点建议[J]. 中国药事, 2012, 26(12): 1348-1350.</w:t>
      </w:r>
    </w:p>
    <w:p w14:paraId="1B933763">
      <w:pPr>
        <w:spacing w:before="0" w:after="0" w:line="360" w:lineRule="auto"/>
        <w:ind w:left="480" w:hanging="480"/>
      </w:pPr>
      <w:r>
        <w:rPr>
          <w:rFonts w:ascii="Times New Roman" w:hAnsi="Times New Roman" w:eastAsia="楷体_GB2312"/>
          <w:sz w:val="21"/>
        </w:rPr>
        <w:t>[9] 姚红梅, 丁凡, 高婧媛, 等. 基于人机料法环测的新冠肺炎疫情防控医院应急管理实践[J]. 西安交通大学学报(医学版), 2021, 42(3): 381-384, 388.</w:t>
      </w:r>
    </w:p>
    <w:p w14:paraId="3F990D66">
      <w:pPr>
        <w:spacing w:before="0" w:after="0" w:line="360" w:lineRule="auto"/>
        <w:ind w:left="480" w:hanging="480"/>
      </w:pPr>
      <w:r>
        <w:rPr>
          <w:rFonts w:ascii="Times New Roman" w:hAnsi="Times New Roman" w:eastAsia="楷体_GB2312"/>
          <w:sz w:val="21"/>
        </w:rPr>
        <w:t>[10] 中华人民共和国全国人民代表大会常务委员会. 中华人民共和国生物安全法[Z]. 2020, 2024修正.</w:t>
      </w:r>
    </w:p>
    <w:p w14:paraId="75E50BE0">
      <w:pPr>
        <w:spacing w:before="0" w:after="0" w:line="360" w:lineRule="auto"/>
        <w:ind w:left="480" w:hanging="480"/>
      </w:pPr>
      <w:r>
        <w:rPr>
          <w:rFonts w:ascii="Times New Roman" w:hAnsi="Times New Roman" w:eastAsia="楷体_GB2312"/>
          <w:sz w:val="21"/>
        </w:rPr>
        <w:t>[11] 国务院. 病原微生物实验室生物安全管理条例[Z]. 2004, 2018修订.</w:t>
      </w:r>
    </w:p>
    <w:p w14:paraId="53AC1BE2">
      <w:pPr>
        <w:spacing w:before="0" w:after="0" w:line="360" w:lineRule="auto"/>
        <w:ind w:left="480" w:hanging="480"/>
      </w:pPr>
      <w:r>
        <w:rPr>
          <w:rFonts w:ascii="Times New Roman" w:hAnsi="Times New Roman" w:eastAsia="楷体_GB2312"/>
          <w:sz w:val="21"/>
        </w:rPr>
        <w:t>[12] 教育部办公厅. 教育部办公厅关于印发《高等学校实验室安全规范》的通知: 教科信厅函〔2023〕5号[Z]. 2023.</w:t>
      </w:r>
    </w:p>
    <w:p w14:paraId="6183D200">
      <w:pPr>
        <w:spacing w:before="0" w:after="0" w:line="360" w:lineRule="auto"/>
        <w:ind w:left="480" w:hanging="480"/>
      </w:pPr>
      <w:r>
        <w:rPr>
          <w:rFonts w:ascii="Times New Roman" w:hAnsi="Times New Roman" w:eastAsia="楷体_GB2312"/>
          <w:sz w:val="21"/>
        </w:rPr>
        <w:t>[13] 中华人民共和国国家质量监督检验检疫总局, 中国国家标准化管理委员会. GB 19489-2008 实验室生物安全通用要求[S]. 北京: 中国标准出版社, 2008.</w:t>
      </w:r>
    </w:p>
    <w:p w14:paraId="7F139BDF">
      <w:pPr>
        <w:spacing w:before="0" w:after="0" w:line="360" w:lineRule="auto"/>
        <w:ind w:left="480" w:hanging="480"/>
      </w:pPr>
      <w:r>
        <w:rPr>
          <w:rFonts w:ascii="Times New Roman" w:hAnsi="Times New Roman" w:eastAsia="楷体_GB2312"/>
          <w:sz w:val="21"/>
        </w:rPr>
        <w:t>[14] 教育部. 高等学校实验室安全检查项目表(2024年)[Z]. 2024.</w:t>
      </w:r>
    </w:p>
    <w:p w14:paraId="3518F788">
      <w:pPr>
        <w:spacing w:before="0" w:after="0" w:line="360" w:lineRule="auto"/>
        <w:ind w:left="480" w:hanging="480"/>
      </w:pPr>
      <w:r>
        <w:rPr>
          <w:rFonts w:ascii="Times New Roman" w:hAnsi="Times New Roman" w:eastAsia="楷体_GB2312"/>
          <w:sz w:val="21"/>
        </w:rPr>
        <w:t>[15] International Organization for Standardization. ISO 35001:2019 Biorisk management for laboratories and other related organisations[S]. Geneva: ISO, 2019.</w:t>
      </w:r>
    </w:p>
    <w:p w14:paraId="287431E3">
      <w:pPr>
        <w:spacing w:before="0" w:after="0" w:line="360" w:lineRule="auto"/>
        <w:ind w:left="480" w:hanging="480"/>
      </w:pPr>
      <w:r>
        <w:rPr>
          <w:rFonts w:ascii="Times New Roman" w:hAnsi="Times New Roman" w:eastAsia="楷体_GB2312"/>
          <w:sz w:val="21"/>
        </w:rPr>
        <w:t>[16] International Organization for Standardization. ISO 15190:2020 Medical laboratories — Requirements for safety[S]. Geneva: ISO, 2020.</w:t>
      </w:r>
    </w:p>
    <w:p w14:paraId="6ED8AABF">
      <w:pPr>
        <w:spacing w:before="0" w:after="0" w:line="360" w:lineRule="auto"/>
        <w:ind w:left="480" w:hanging="480"/>
      </w:pPr>
      <w:r>
        <w:rPr>
          <w:rFonts w:ascii="Times New Roman" w:hAnsi="Times New Roman" w:eastAsia="楷体_GB2312"/>
          <w:sz w:val="21"/>
        </w:rPr>
        <w:t>[17] World Health Organization. Laboratory Biosafety Manual[M]. 4th ed. Geneva: WHO, 2020.</w:t>
      </w:r>
    </w:p>
    <w:p w14:paraId="32AF2BAE">
      <w:pPr>
        <w:spacing w:before="0" w:after="0" w:line="360" w:lineRule="auto"/>
        <w:ind w:left="480" w:hanging="480"/>
      </w:pPr>
      <w:r>
        <w:rPr>
          <w:rFonts w:ascii="Times New Roman" w:hAnsi="Times New Roman" w:eastAsia="楷体_GB2312"/>
          <w:sz w:val="21"/>
        </w:rPr>
        <w:t>[18] Centers for Disease Control and Prevention, National Institutes of Health. Biosafety in Microbiological and Biomedical Laboratories[M]. 6th ed. Washington, DC: U.S. Government Printing Office, 2020.</w:t>
      </w:r>
    </w:p>
    <w:p w14:paraId="692B3624">
      <w:pPr>
        <w:spacing w:before="0" w:after="0" w:line="360" w:lineRule="auto"/>
        <w:ind w:left="480" w:hanging="480"/>
      </w:pPr>
      <w:r>
        <w:rPr>
          <w:rFonts w:ascii="Times New Roman" w:hAnsi="Times New Roman" w:eastAsia="楷体_GB2312"/>
          <w:sz w:val="21"/>
        </w:rPr>
        <w:t>[19] National Research Council. Prudent Practices in the Laboratory: Handling and Management of Chemical Hazards[M]. Updated version. Washington, DC: The National Academies Press, 2011.</w:t>
      </w:r>
    </w:p>
    <w:p w14:paraId="002E554C">
      <w:pPr>
        <w:spacing w:before="0" w:after="0" w:line="360" w:lineRule="auto"/>
        <w:ind w:left="480" w:hanging="480"/>
      </w:pPr>
      <w:r>
        <w:rPr>
          <w:rFonts w:ascii="Times New Roman" w:hAnsi="Times New Roman" w:eastAsia="楷体_GB2312"/>
          <w:sz w:val="21"/>
        </w:rPr>
        <w:t>[20] National Research Council. Safe Science: Promoting a Culture of Safety in Academic Chemical Research[M]. Washington, DC: The National Academies Press, 2014.</w:t>
      </w:r>
    </w:p>
    <w:p w14:paraId="7A475703">
      <w:pPr>
        <w:spacing w:before="0" w:after="0" w:line="360" w:lineRule="auto"/>
        <w:ind w:left="480" w:hanging="480"/>
      </w:pPr>
      <w:r>
        <w:rPr>
          <w:rFonts w:ascii="Times New Roman" w:hAnsi="Times New Roman" w:eastAsia="楷体_GB2312"/>
          <w:sz w:val="21"/>
        </w:rPr>
        <w:t>[21] American Chemical Society. Creating Safety Cultures in Academic Institutions[R]. Washington, DC: American Chemical Society, 2012.</w:t>
      </w:r>
    </w:p>
    <w:p w14:paraId="23107DA4">
      <w:pPr>
        <w:spacing w:before="0" w:after="0" w:line="360" w:lineRule="auto"/>
        <w:ind w:left="480" w:hanging="480"/>
      </w:pPr>
      <w:r>
        <w:rPr>
          <w:rFonts w:ascii="Times New Roman" w:hAnsi="Times New Roman" w:eastAsia="楷体_GB2312"/>
          <w:sz w:val="21"/>
        </w:rPr>
        <w:t>[22] Occupational Safety and Health Administration. Occupational Exposure to Hazardous Chemicals in Laboratories: 29 CFR 1910.1450[S]. Washington, DC: OSHA, 1990.</w:t>
      </w:r>
    </w:p>
    <w:p w14:paraId="6091CD06">
      <w:pPr>
        <w:spacing w:before="0" w:after="0" w:line="360" w:lineRule="auto"/>
        <w:ind w:left="480" w:hanging="480"/>
      </w:pPr>
      <w:r>
        <w:rPr>
          <w:rFonts w:ascii="Times New Roman" w:hAnsi="Times New Roman" w:eastAsia="楷体_GB2312"/>
          <w:sz w:val="21"/>
        </w:rPr>
        <w:t>[23] Reason J. Human Error[M]. Cambridge: Cambridge University Press, 1990.</w:t>
      </w:r>
    </w:p>
    <w:p w14:paraId="7150AABE">
      <w:pPr>
        <w:spacing w:before="0" w:after="0" w:line="360" w:lineRule="auto"/>
        <w:ind w:left="480" w:hanging="480"/>
      </w:pPr>
      <w:r>
        <w:rPr>
          <w:rFonts w:ascii="Times New Roman" w:hAnsi="Times New Roman" w:eastAsia="楷体_GB2312"/>
          <w:sz w:val="21"/>
        </w:rPr>
        <w:t>[24] Reason J. Managing the Risks of Organizational Accidents[M]. Aldershot: Ashgate, 1997.</w:t>
      </w:r>
    </w:p>
    <w:p w14:paraId="61D003D1">
      <w:pPr>
        <w:spacing w:before="0" w:after="0" w:line="360" w:lineRule="auto"/>
        <w:ind w:left="480" w:hanging="480"/>
      </w:pPr>
      <w:r>
        <w:rPr>
          <w:rFonts w:ascii="Times New Roman" w:hAnsi="Times New Roman" w:eastAsia="楷体_GB2312"/>
          <w:sz w:val="21"/>
        </w:rPr>
        <w:t>[25] Rasmussen J. Risk management in a dynamic society: a modelling problem[J]. Safety Science, 1997, 27(2-3): 183-213.</w:t>
      </w:r>
    </w:p>
    <w:p w14:paraId="3C1B6E4B">
      <w:pPr>
        <w:spacing w:before="0" w:after="0" w:line="360" w:lineRule="auto"/>
        <w:ind w:left="480" w:hanging="480"/>
      </w:pPr>
      <w:r>
        <w:rPr>
          <w:rFonts w:ascii="Times New Roman" w:hAnsi="Times New Roman" w:eastAsia="楷体_GB2312"/>
          <w:sz w:val="21"/>
        </w:rPr>
        <w:t>[26] Hollnagel E. Safety-I and Safety-II: The Past and Future of Safety Management[M]. Farnham: Ashgate, 2014.</w:t>
      </w:r>
    </w:p>
    <w:p w14:paraId="101A75D8">
      <w:pPr>
        <w:spacing w:before="0" w:after="0" w:line="360" w:lineRule="auto"/>
        <w:ind w:left="480" w:hanging="480"/>
      </w:pPr>
      <w:r>
        <w:rPr>
          <w:rFonts w:ascii="Times New Roman" w:hAnsi="Times New Roman" w:eastAsia="楷体_GB2312"/>
          <w:sz w:val="21"/>
        </w:rPr>
        <w:t>[27] International Organization for Standardization. ISO 31000:2018 Risk management — Guidelines[S]. Geneva: ISO, 2018.</w:t>
      </w:r>
    </w:p>
    <w:p w14:paraId="586BF19A">
      <w:pPr>
        <w:spacing w:before="0" w:after="0" w:line="360" w:lineRule="auto"/>
        <w:ind w:left="480" w:hanging="480"/>
      </w:pPr>
      <w:r>
        <w:rPr>
          <w:rFonts w:ascii="Times New Roman" w:hAnsi="Times New Roman" w:eastAsia="楷体_GB2312"/>
          <w:sz w:val="21"/>
        </w:rPr>
        <w:t>[28] International Electrotechnical Commission. IEC 31010:2019 Risk management — Risk assessment techniques[S]. Geneva: IEC, 2019.</w:t>
      </w:r>
    </w:p>
    <w:p w14:paraId="6508EF4D">
      <w:pPr>
        <w:spacing w:before="0" w:after="0" w:line="360" w:lineRule="auto"/>
        <w:ind w:left="480" w:hanging="480"/>
      </w:pPr>
      <w:r>
        <w:rPr>
          <w:rFonts w:ascii="Times New Roman" w:hAnsi="Times New Roman" w:eastAsia="楷体_GB2312"/>
          <w:sz w:val="21"/>
        </w:rPr>
        <w:t>[29] 魏燕, 武卫东, 于劲松. 高校实验室安全教育体系建设[J]. 上海理工大学学报, 2022, 44(2): 201-205.</w:t>
      </w:r>
    </w:p>
    <w:p w14:paraId="08B550E1">
      <w:pPr>
        <w:spacing w:before="0" w:after="0" w:line="360" w:lineRule="auto"/>
        <w:ind w:left="480" w:hanging="480"/>
      </w:pPr>
      <w:r>
        <w:rPr>
          <w:rFonts w:ascii="Times New Roman" w:hAnsi="Times New Roman" w:eastAsia="楷体_GB2312"/>
          <w:sz w:val="21"/>
        </w:rPr>
        <w:t>[30] 郭战胜, 丁一, 刘莹莹, 李霞. 高校与科研院所实验室安全事故统计规律与治理对策研究[J/OL]. 实验科学与技术, 2025. DOI: 10.12179/1672-4550.20240693.</w:t>
      </w:r>
    </w:p>
    <w:sectPr>
      <w:headerReference r:id="rId9" w:type="default"/>
      <w:footerReference r:id="rId10" w:type="default"/>
      <w:pgSz w:w="12240" w:h="15840"/>
      <w:pgMar w:top="1417" w:right="1134" w:bottom="1417" w:left="1701" w:header="850" w:footer="992" w:gutter="0"/>
      <w:pgBorders>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Times">
    <w:altName w:val="Times New Roman"/>
    <w:panose1 w:val="00000000000000000000"/>
    <w:charset w:val="00"/>
    <w:family w:val="roma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2A261">
    <w:pPr>
      <w:jc w:val="center"/>
      <w:rPr>
        <w:sz w:val="21"/>
        <w:szCs w:val="21"/>
      </w:rP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46A8B">
    <w:pPr>
      <w:jc w:val="center"/>
      <w:rPr>
        <w:sz w:val="21"/>
        <w:szCs w:val="21"/>
      </w:rP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BA4A4">
    <w:pPr>
      <w:jc w:val="center"/>
      <w:rPr>
        <w:sz w:val="21"/>
        <w:szCs w:val="21"/>
      </w:rP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1419A">
    <w:pPr>
      <w:jc w:val="center"/>
    </w:pPr>
    <w:r>
      <w:t>第</w:t>
    </w:r>
    <w:r>
      <w:fldChar w:fldCharType="begin"/>
    </w:r>
    <w:r>
      <w:instrText xml:space="preserve">PAGE</w:instrText>
    </w:r>
    <w:r>
      <w:fldChar w:fldCharType="separate"/>
    </w:r>
    <w:r>
      <w:t>1</w:t>
    </w:r>
    <w:r>
      <w:fldChar w:fldCharType="end"/>
    </w:r>
    <w:r>
      <w:t>页  共</w:t>
    </w:r>
    <w:r>
      <w:rPr>
        <w:rFonts w:hint="eastAsia"/>
        <w:lang w:val="en-US" w:eastAsia="zh-CN"/>
      </w:rPr>
      <w:t>57</w:t>
    </w:r>
    <w: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3036B">
    <w:pPr>
      <w:pBdr>
        <w:bottom w:val="single" w:color="000000" w:sz="8" w:space="1"/>
      </w:pBdr>
      <w:tabs>
        <w:tab w:val="right" w:pos="9638"/>
      </w:tabs>
      <w:spacing w:after="0"/>
      <w:rPr>
        <w:lang w:eastAsia="zh-CN"/>
      </w:rPr>
    </w:pPr>
    <w:r>
      <w:drawing>
        <wp:inline distT="0" distB="0" distL="114300" distR="114300">
          <wp:extent cx="1331595" cy="349250"/>
          <wp:effectExtent l="0" t="0" r="190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332000" cy="349626"/>
                  </a:xfrm>
                  <a:prstGeom prst="rect">
                    <a:avLst/>
                  </a:prstGeom>
                </pic:spPr>
              </pic:pic>
            </a:graphicData>
          </a:graphic>
        </wp:inline>
      </w:drawing>
    </w:r>
    <w:r>
      <w:rPr>
        <w:lang w:eastAsia="zh-CN"/>
      </w:rPr>
      <w:tab/>
    </w:r>
    <w:r>
      <w:rPr>
        <w:rFonts w:ascii="黑体" w:hAnsi="黑体" w:eastAsia="黑体"/>
        <w:sz w:val="18"/>
        <w:lang w:eastAsia="zh-CN"/>
      </w:rPr>
      <w:t>人机料法环视角下高校生物实验室安全管理研究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008EE">
    <w:pPr>
      <w:pBdr>
        <w:bottom w:val="single" w:color="000000" w:sz="8" w:space="1"/>
      </w:pBdr>
      <w:tabs>
        <w:tab w:val="right" w:pos="9638"/>
      </w:tabs>
      <w:spacing w:after="0"/>
      <w:rPr>
        <w:lang w:eastAsia="zh-CN"/>
      </w:rPr>
    </w:pPr>
    <w:r>
      <w:drawing>
        <wp:inline distT="0" distB="0" distL="114300" distR="114300">
          <wp:extent cx="1331595" cy="349250"/>
          <wp:effectExtent l="0" t="0" r="1905" b="1270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
                  <a:stretch>
                    <a:fillRect/>
                  </a:stretch>
                </pic:blipFill>
                <pic:spPr>
                  <a:xfrm>
                    <a:off x="0" y="0"/>
                    <a:ext cx="1332000" cy="349626"/>
                  </a:xfrm>
                  <a:prstGeom prst="rect">
                    <a:avLst/>
                  </a:prstGeom>
                </pic:spPr>
              </pic:pic>
            </a:graphicData>
          </a:graphic>
        </wp:inline>
      </w:drawing>
    </w:r>
    <w:r>
      <w:rPr>
        <w:lang w:eastAsia="zh-CN"/>
      </w:rPr>
      <w:tab/>
    </w:r>
    <w:r>
      <w:rPr>
        <w:rFonts w:ascii="黑体" w:hAnsi="黑体" w:eastAsia="黑体"/>
        <w:sz w:val="18"/>
        <w:lang w:eastAsia="zh-CN"/>
      </w:rPr>
      <w:t>人机料法环视角下高校生物实验室安全管理研究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63A1"/>
    <w:rsid w:val="0015074B"/>
    <w:rsid w:val="0029639D"/>
    <w:rsid w:val="00297101"/>
    <w:rsid w:val="00326F90"/>
    <w:rsid w:val="007A3714"/>
    <w:rsid w:val="00AA1D8D"/>
    <w:rsid w:val="00B47730"/>
    <w:rsid w:val="00CB0664"/>
    <w:rsid w:val="00E82777"/>
    <w:rsid w:val="00FC693F"/>
    <w:rsid w:val="02B66382"/>
    <w:rsid w:val="038165A6"/>
    <w:rsid w:val="15EA71B7"/>
    <w:rsid w:val="17A636E2"/>
    <w:rsid w:val="1A3C7E41"/>
    <w:rsid w:val="1BB7472E"/>
    <w:rsid w:val="1CBF7A13"/>
    <w:rsid w:val="1D5232E9"/>
    <w:rsid w:val="1EB53DF1"/>
    <w:rsid w:val="1F5B5E4F"/>
    <w:rsid w:val="22E64683"/>
    <w:rsid w:val="29BC4157"/>
    <w:rsid w:val="2C9C2D66"/>
    <w:rsid w:val="32851613"/>
    <w:rsid w:val="35D6705B"/>
    <w:rsid w:val="4E457CEB"/>
    <w:rsid w:val="533662E6"/>
    <w:rsid w:val="5544471D"/>
    <w:rsid w:val="5B291D59"/>
    <w:rsid w:val="61117976"/>
    <w:rsid w:val="69E27246"/>
    <w:rsid w:val="6CD61CF1"/>
    <w:rsid w:val="6CDA788A"/>
    <w:rsid w:val="76AB70A2"/>
    <w:rsid w:val="7C714E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qFormat/>
    <w:uiPriority w:val="0"/>
    <w:pPr>
      <w:tabs>
        <w:tab w:val="right" w:leader="dot" w:pos="9071"/>
      </w:tabs>
      <w:spacing w:before="0" w:after="0" w:line="360" w:lineRule="auto"/>
      <w:ind w:left="960" w:firstLine="0"/>
    </w:pPr>
    <w:rPr>
      <w:rFonts w:ascii="Times New Roman" w:hAnsi="Times New Roman" w:eastAsia="宋体" w:cstheme="minorBidi"/>
      <w:sz w:val="24"/>
      <w:lang w:val="en-US" w:eastAsia="zh-CN" w:bidi="ar-SA"/>
    </w:r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qFormat/>
    <w:uiPriority w:val="0"/>
    <w:pPr>
      <w:tabs>
        <w:tab w:val="right" w:leader="dot" w:pos="9071"/>
      </w:tabs>
      <w:spacing w:before="0" w:after="0" w:line="360" w:lineRule="auto"/>
      <w:ind w:left="0" w:firstLine="0"/>
    </w:pPr>
    <w:rPr>
      <w:rFonts w:ascii="Times New Roman" w:hAnsi="Times New Roman" w:eastAsia="宋体" w:cstheme="minorBidi"/>
      <w:sz w:val="24"/>
      <w:lang w:val="en-US" w:eastAsia="zh-CN" w:bidi="ar-SA"/>
    </w:rPr>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qFormat/>
    <w:uiPriority w:val="0"/>
    <w:pPr>
      <w:tabs>
        <w:tab w:val="right" w:leader="dot" w:pos="9071"/>
      </w:tabs>
      <w:spacing w:before="0" w:after="0" w:line="360" w:lineRule="auto"/>
      <w:ind w:left="480" w:firstLine="0"/>
    </w:pPr>
    <w:rPr>
      <w:rFonts w:ascii="Times New Roman" w:hAnsi="Times New Roman" w:eastAsia="宋体" w:cstheme="minorBidi"/>
      <w:sz w:val="24"/>
      <w:lang w:val="en-US" w:eastAsia="zh-CN" w:bidi="ar-SA"/>
    </w:r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basedOn w:val="136"/>
    <w:unhideWhenUsed/>
    <w:qFormat/>
    <w:uiPriority w:val="99"/>
    <w:rPr>
      <w:color w:val="0000FF" w:themeColor="hyperlink"/>
      <w:u w:val="single"/>
      <w14:textFill>
        <w14:solidFill>
          <w14:schemeClr w14:val="hlink"/>
        </w14:solidFill>
      </w14:textFill>
    </w:rPr>
  </w:style>
  <w:style w:type="character" w:customStyle="1" w:styleId="140">
    <w:name w:val="Header Char"/>
    <w:basedOn w:val="136"/>
    <w:link w:val="26"/>
    <w:qFormat/>
    <w:uiPriority w:val="99"/>
  </w:style>
  <w:style w:type="character" w:customStyle="1" w:styleId="141">
    <w:name w:val="Footer Char"/>
    <w:basedOn w:val="136"/>
    <w:link w:val="25"/>
    <w:qFormat/>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1"/>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1"/>
    <w:basedOn w:val="136"/>
    <w:qFormat/>
    <w:uiPriority w:val="21"/>
    <w:rPr>
      <w:b/>
      <w:bCs/>
      <w:i/>
      <w:iCs/>
      <w:color w:val="4F81BD" w:themeColor="accent1"/>
      <w14:textFill>
        <w14:solidFill>
          <w14:schemeClr w14:val="accent1"/>
        </w14:solidFill>
      </w14:textFill>
    </w:rPr>
  </w:style>
  <w:style w:type="character" w:customStyle="1" w:styleId="165">
    <w:name w:val="Subtle Reference1"/>
    <w:basedOn w:val="136"/>
    <w:qFormat/>
    <w:uiPriority w:val="31"/>
    <w:rPr>
      <w:smallCaps/>
      <w:color w:val="C0504D" w:themeColor="accent2"/>
      <w:u w:val="single"/>
      <w14:textFill>
        <w14:solidFill>
          <w14:schemeClr w14:val="accent2"/>
        </w14:solidFill>
      </w14:textFill>
    </w:rPr>
  </w:style>
  <w:style w:type="character" w:customStyle="1" w:styleId="166">
    <w:name w:val="Intense Reference1"/>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1"/>
    <w:basedOn w:val="136"/>
    <w:qFormat/>
    <w:uiPriority w:val="33"/>
    <w:rPr>
      <w:b/>
      <w:bCs/>
      <w:smallCaps/>
      <w:spacing w:val="5"/>
    </w:rPr>
  </w:style>
  <w:style w:type="paragraph" w:customStyle="1" w:styleId="168">
    <w:name w:val="TOC Heading1"/>
    <w:basedOn w:val="3"/>
    <w:next w:val="1"/>
    <w:semiHidden/>
    <w:unhideWhenUsed/>
    <w:qFormat/>
    <w:uiPriority w:val="39"/>
    <w:pPr>
      <w:outlineLvl w:val="9"/>
    </w:pPr>
  </w:style>
  <w:style w:type="paragraph" w:customStyle="1" w:styleId="169">
    <w:name w:val="初正文"/>
    <w:basedOn w:val="1"/>
    <w:qFormat/>
    <w:uiPriority w:val="99"/>
    <w:pPr>
      <w:spacing w:line="360" w:lineRule="auto"/>
      <w:ind w:firstLine="480" w:firstLineChars="200"/>
    </w:pPr>
    <w:rPr>
      <w:rFonts w:hAnsi="宋体"/>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ntractReview xmlns="http://schemas.wps.cn/vas-ai-hub/contract-review">
  <reviewItems>
    <reviewItem>
      <errorID>19176f7f-9d92-40fb-8a1a-2dc1c25921fe</errorID>
      <errorWord>机制</errorWord>
      <group>L1_AI</group>
      <groupName>深度校对</groupName>
      <ability>L2_AI_Punc</ability>
      <abilityName>标点纠错</abilityName>
      <candidateList>
        <item>机制。</item>
      </candidateList>
      <explain/>
      <paraID>7077B743</paraID>
      <start>16</start>
      <end>18</end>
      <status>unmodified</status>
      <modifiedWord/>
      <trackRevisions>false</trackRevisions>
    </reviewItem>
    <reviewItem>
      <errorID>cd32163c-47df-441c-8ab5-a1baff5fb23d</errorID>
      <errorWord>追溯</errorWord>
      <group>L1_AI</group>
      <groupName>深度校对</groupName>
      <ability>L2_AI_Punc</ability>
      <abilityName>标点纠错</abilityName>
      <candidateList>
        <item>追溯。</item>
      </candidateList>
      <explain/>
      <paraID>33680AB6</paraID>
      <start>16</start>
      <end>18</end>
      <status>unmodified</status>
      <modifiedWord/>
      <trackRevisions>false</trackRevisions>
    </reviewItem>
    <reviewItem>
      <errorID>ae77e329-7d3a-437f-a940-8d701038f2f2</errorID>
      <errorWord>隔离</errorWord>
      <group>L1_AI</group>
      <groupName>深度校对</groupName>
      <ability>L2_AI_Punc</ability>
      <abilityName>标点纠错</abilityName>
      <candidateList>
        <item>隔离。</item>
      </candidateList>
      <explain/>
      <paraID>5AE0A513</paraID>
      <start>15</start>
      <end>17</end>
      <status>unmodified</status>
      <modifiedWord/>
      <trackRevisions>false</trackRevisions>
    </reviewItem>
    <reviewItem>
      <errorID>457505bd-0311-45a4-9bcc-c2cfc0d96bf2</errorID>
      <errorWord>清单</errorWord>
      <group>L1_AI</group>
      <groupName>深度校对</groupName>
      <ability>L2_AI_Punc</ability>
      <abilityName>标点纠错</abilityName>
      <candidateList>
        <item>清单。</item>
      </candidateList>
      <explain/>
      <paraID>7C95FC3C</paraID>
      <start>14</start>
      <end>16</end>
      <status>unmodified</status>
      <modifiedWord/>
      <trackRevisions>false</trackRevisions>
    </reviewItem>
    <reviewItem>
      <errorID>45dc596a-5d71-40e1-bcf8-02446adbdf71</errorID>
      <errorWord>中华人民共和国生物安全法</errorWord>
      <group>L1_Knowledge</group>
      <groupName>知识性问题</groupName>
      <ability>L2_Knowledge</ability>
      <abilityName>其他知识</abilityName>
      <candidateList>
        <item>《中华人民共和国生物安全法》</item>
      </candidateList>
      <explain>完整法律法规名称需要加书名号，请注意检查。</explain>
      <paraID>77B8B970</paraID>
      <start>104</start>
      <end>118</end>
      <status>modified</status>
      <modifiedWord>《中华人民共和国生物安全法》</modifiedWord>
      <trackRevisions>false</trackRevisions>
    </reviewItem>
    <reviewItem>
      <errorID>6816e340-c228-4c7e-938a-ec7f852da8ab</errorID>
      <errorWord>病原微生物实验室生物安全管理条例</errorWord>
      <group>L1_Knowledge</group>
      <groupName>知识性问题</groupName>
      <ability>L2_Knowledge</ability>
      <abilityName>其他知识</abilityName>
      <candidateList>
        <item>《病原微生物实验室生物安全管理条例》</item>
      </candidateList>
      <explain>完整法律法规名称需要加书名号，请注意检查。</explain>
      <paraID> 4AF077C</paraID>
      <start>74</start>
      <end>92</end>
      <status>modified</status>
      <modifiedWord>《病原微生物实验室生物安全管理条例》</modifiedWord>
      <trackRevisions>false</trackRevisions>
    </reviewItem>
    <reviewItem>
      <errorID>09dc567b-e9f1-4715-bfaa-bfa1eed7e389</errorID>
      <errorWord>查</errorWord>
      <group>L1_Word</group>
      <groupName>字词问题</groupName>
      <ability>L2_Typo</ability>
      <abilityName>字词错误</abilityName>
      <candidateList>
        <item>查相</item>
      </candidateList>
      <explain/>
      <paraID>49BED505</paraID>
      <start>139</start>
      <end>140</end>
      <status>unmodified</status>
      <modifiedWord/>
      <trackRevisions>false</trackRevisions>
    </reviewItem>
    <reviewItem>
      <errorID>59f1c136-120d-4188-b6cb-dccea51d2bf3</errorID>
      <errorWord>，测</errorWord>
      <group>L1_Word</group>
      <groupName>字词问题</groupName>
      <ability>L2_Typo</ability>
      <abilityName>字词错误</abilityName>
      <candidateList>
        <item>，</item>
      </candidateList>
      <explain/>
      <paraID>358F936C</paraID>
      <start>109</start>
      <end>111</end>
      <status>unmodified</status>
      <modifiedWord/>
      <trackRevisions>false</trackRevisions>
    </reviewItem>
    <reviewItem>
      <errorID>bae449d4-cbe3-4d1a-87e3-267d2b0caf0f</errorID>
      <errorWord>针对</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1D0B11CF</paraID>
      <start>84</start>
      <end>86</end>
      <status>unmodified</status>
      <modifiedWord/>
      <trackRevisions>false</trackRevisions>
    </reviewItem>
    <reviewItem>
      <errorID>f8031cbf-ce86-430a-aad3-67c7e41a1771</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76B53DE</paraID>
      <start>136</start>
      <end>137</end>
      <status>unmodified</status>
      <modifiedWord/>
      <trackRevisions>false</trackRevisions>
    </reviewItem>
    <reviewItem>
      <errorID>023dbc3b-96f8-44f3-ba8d-ee781c313e16</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7D7CC5C9</paraID>
      <start>153</start>
      <end>154</end>
      <status>unmodified</status>
      <modifiedWord/>
      <trackRevisions>false</trackRevisions>
    </reviewItem>
    <reviewItem>
      <errorID>087aadc6-7ea9-4676-a001-58e30f776881</errorID>
      <errorWord>测</errorWord>
      <group>L1_Word</group>
      <groupName>字词问题</groupName>
      <ability>L2_Typo</ability>
      <abilityName>字词错误</abilityName>
      <candidateList>
        <item>的</item>
      </candidateList>
      <explain>“的”常用于连接修饰语与名词性中心语，表示属性、所属或描述。</explain>
      <paraID>2C0344B6</paraID>
      <start>0</start>
      <end>1</end>
      <status>unmodified</status>
      <modifiedWord/>
      <trackRevisions>false</trackRevisions>
    </reviewItem>
    <reviewItem>
      <errorID>e57b7f77-21fa-4ca1-8bd7-bad402ad9b3f</errorID>
      <errorWord>环能够</errorWord>
      <group>L1_Word</group>
      <groupName>字词问题</groupName>
      <ability>L2_Typo</ability>
      <abilityName>字词错误</abilityName>
      <candidateList>
        <item>还能够</item>
      </candidateList>
      <explain/>
      <paraID>7A58FDC8</paraID>
      <start>27</start>
      <end>30</end>
      <status>unmodified</status>
      <modifiedWord/>
      <trackRevisions>false</trackRevisions>
    </reviewItem>
    <reviewItem>
      <errorID>ea3f0727-0454-41b3-877b-d0f3c36e7d4d</errorID>
      <errorWord>提高</errorWord>
      <group>L1_Grammar</group>
      <groupName>语法问题</groupName>
      <ability>L2_Grammar</ability>
      <abilityName>语法错误</abilityName>
      <candidateList>
        <item>增强</item>
      </candidateList>
      <explain>“提高～意识”搭配不当，建议修改为“增强～意识”。</explain>
      <paraID> B3DB15C</paraID>
      <start>119</start>
      <end>121</end>
      <status>unmodified</status>
      <modifiedWord/>
      <trackRevisions>false</trackRevisions>
    </reviewItem>
    <reviewItem>
      <errorID>d06de86b-db98-466b-ad4d-9d026eed1124</errorID>
      <errorWord>收</errorWord>
      <group>L1_Word</group>
      <groupName>字词问题</groupName>
      <ability>L2_Typo</ability>
      <abilityName>字词错误</abilityName>
      <candidateList>
        <item>收监</item>
      </candidateList>
      <explain/>
      <paraID> B3DB15C</paraID>
      <start>150</start>
      <end>151</end>
      <status>unmodified</status>
      <modifiedWord/>
      <trackRevisions>false</trackRevisions>
    </reviewItem>
    <reviewItem>
      <errorID>65d57e41-02f6-4cff-ae3b-1605c1274d86</errorID>
      <errorWord>清</errorWord>
      <group>L1_Word</group>
      <groupName>字词问题</groupName>
      <ability>L2_Typo</ability>
      <abilityName>字词错误</abilityName>
      <candidateList>
        <item>清晰</item>
      </candidateList>
      <explain/>
      <paraID>51D3FF2A</paraID>
      <start>11</start>
      <end>12</end>
      <status>unmodified</status>
      <modifiedWord/>
      <trackRevisions>false</trackRevisions>
    </reviewItem>
    <reviewItem>
      <errorID>5b773b21-9891-4545-b6c1-c9120f09762a</errorID>
      <errorWord>测</errorWord>
      <group>L1_Word</group>
      <groupName>字词问题</groupName>
      <ability>L2_Typo</ability>
      <abilityName>字词错误</abilityName>
      <candidateList>
        <item>的</item>
      </candidateList>
      <explain>“的”常用于连接修饰语与名词性中心语，表示属性、所属或描述。</explain>
      <paraID>22D62A33</paraID>
      <start>0</start>
      <end>1</end>
      <status>unmodified</status>
      <modifiedWord/>
      <trackRevisions>false</trackRevisions>
    </reviewItem>
    <reviewItem>
      <errorID>588c4818-87d1-4fda-83ce-2779ab3918c5</errorID>
      <errorWord>制度</errorWord>
      <group>L1_Word</group>
      <groupName>字词问题</groupName>
      <ability>L2_Typo</ability>
      <abilityName>字词错误</abilityName>
      <candidateList>
        <item>指导</item>
      </candidateList>
      <explain>〈动〉指示教导；指点引导：～员｜教师正在～学生做实验。</explain>
      <paraID> A2E0430</paraID>
      <start>59</start>
      <end>61</end>
      <status>unmodified</status>
      <modifiedWord/>
      <trackRevisions>false</trackRevisions>
    </reviewItem>
    <reviewItem>
      <errorID>01956075-d0b2-40fd-959f-736444ec80a5</errorID>
      <errorWord>细化为</errorWord>
      <group>L1_Word</group>
      <groupName>字词问题</groupName>
      <ability>L2_Typo</ability>
      <abilityName>字词错误</abilityName>
      <candidateList>
        <item>细化</item>
      </candidateList>
      <explain/>
      <paraID>3F307869</paraID>
      <start>55</start>
      <end>58</end>
      <status>unmodified</status>
      <modifiedWord/>
      <trackRevisions>false</trackRevisions>
    </reviewItem>
    <reviewItem>
      <errorID>f3893c73-bde3-45dd-9de6-c73e4f4408c0</errorID>
      <errorWord>明确到</errorWord>
      <group>L1_Word</group>
      <groupName>字词问题</groupName>
      <ability>L2_Typo</ability>
      <abilityName>字词错误</abilityName>
      <candidateList>
        <item>明确</item>
      </candidateList>
      <explain/>
      <paraID>3F307869</paraID>
      <start>130</start>
      <end>133</end>
      <status>unmodified</status>
      <modifiedWord/>
      <trackRevisions>false</trackRevisions>
    </reviewItem>
    <reviewItem>
      <errorID>44d3c295-294e-4960-870f-64e716ae333a</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468CAB85</paraID>
      <start>158</start>
      <end>159</end>
      <status>unmodified</status>
      <modifiedWord/>
      <trackRevisions>false</trackRevisions>
    </reviewItem>
    <reviewItem>
      <errorID>58764181-8dc2-4779-a5a4-916ca32d1982</errorID>
      <errorWord>提高</errorWord>
      <group>L1_Grammar</group>
      <groupName>语法问题</groupName>
      <ability>L2_Grammar</ability>
      <abilityName>语法错误</abilityName>
      <candidateList>
        <item>增强</item>
      </candidateList>
      <explain>“提高～意识”搭配不当，建议修改为“增强～意识”。</explain>
      <paraID>   4853B</paraID>
      <start>51</start>
      <end>53</end>
      <status>unmodified</status>
      <modifiedWord/>
      <trackRevisions>false</trackRevisions>
    </reviewItem>
    <reviewItem>
      <errorID>d458fce3-0507-4b3f-a8c0-0cbeffb1e5b8</errorID>
      <errorWord>不记</errorWord>
      <group>L1_Word</group>
      <groupName>字词问题</groupName>
      <ability>L2_Typo</ability>
      <abilityName>字词错误</abilityName>
      <candidateList>
        <item>不计</item>
      </candidateList>
      <explain>存在发音相同字词的误用。</explain>
      <paraID>1D57F5EB</paraID>
      <start>2</start>
      <end>4</end>
      <status>unmodified</status>
      <modifiedWord/>
      <trackRevisions>false</trackRevisions>
    </reviewItem>
    <reviewItem>
      <errorID>b2b00c0e-ade4-4bb3-9fc2-82f5d8768f3b</errorID>
      <errorWord>账物</errorWord>
      <group>L1_Word</group>
      <groupName>字词问题</groupName>
      <ability>L2_Typo</ability>
      <abilityName>字词错误</abilityName>
      <candidateList>
        <item>账务</item>
      </candidateList>
      <explain/>
      <paraID>29037BCF</paraID>
      <start>10</start>
      <end>12</end>
      <status>unmodified</status>
      <modifiedWord/>
      <trackRevisions>false</trackRevisions>
    </reviewItem>
    <reviewItem>
      <errorID>0fd3a939-5789-49f2-8856-a4043cbdc419</errorID>
      <errorWord>流转中</errorWord>
      <group>L1_Word</group>
      <groupName>字词问题</groupName>
      <ability>L2_Typo</ability>
      <abilityName>字词错误</abilityName>
      <candidateList>
        <item>流转</item>
      </candidateList>
      <explain/>
      <paraID>2AFADF65</paraID>
      <start>127</start>
      <end>130</end>
      <status>unmodified</status>
      <modifiedWord/>
      <trackRevisions>false</trackRevisions>
    </reviewItem>
    <reviewItem>
      <errorID>2992799c-865b-4eb9-be19-f1868aa858ca</errorID>
      <errorWord>技术人员则</errorWord>
      <group>L1_Word</group>
      <groupName>字词问题</groupName>
      <ability>L2_Typo</ability>
      <abilityName>字词错误</abilityName>
      <candidateList>
        <item>技术人员</item>
      </candidateList>
      <explain/>
      <paraID> 4B76859</paraID>
      <start>150</start>
      <end>155</end>
      <status>unmodified</status>
      <modifiedWord/>
      <trackRevisions>false</trackRevisions>
    </reviewItem>
    <reviewItem>
      <errorID>39d16c44-3fd3-4ad0-9b72-813a98f2664b</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7B8EED9B</paraID>
      <start>141</start>
      <end>142</end>
      <status>unmodified</status>
      <modifiedWord/>
      <trackRevisions>false</trackRevisions>
    </reviewItem>
    <reviewItem>
      <errorID>fb7f63be-d0c1-45b1-a2ef-43d746e17b9f</errorID>
      <errorWord>(</errorWord>
      <group>L1_Format</group>
      <groupName>格式问题</groupName>
      <ability>L2_HalfPunc_CN</ability>
      <abilityName/>
      <candidateList>
        <item>（</item>
      </candidateList>
      <explain>文本全半角错误。</explain>
      <paraID>1132FFA8</paraID>
      <start>6</start>
      <end>7</end>
      <status>unmodified</status>
      <modifiedWord/>
      <trackRevisions>false</trackRevisions>
    </reviewItem>
    <reviewItem>
      <errorID>0dc95746-fd65-4895-95f9-634e80bc8937</errorID>
      <errorWord>)</errorWord>
      <group>L1_Format</group>
      <groupName>格式问题</groupName>
      <ability>L2_HalfPunc_CN</ability>
      <abilityName/>
      <candidateList>
        <item>）</item>
      </candidateList>
      <explain>文本全半角错误。</explain>
      <paraID>1132FFA8</paraID>
      <start>10</start>
      <end>11</end>
      <status>unmodified</status>
      <modifiedWord/>
      <trackRevisions>false</trackRevisions>
    </reviewItem>
    <reviewItem>
      <errorID>73aa0805-2244-4da9-b193-bfb6df349a4d</errorID>
      <errorWord>统一化式</errorWord>
      <group>L1_Word</group>
      <groupName>字词问题</groupName>
      <ability>L2_Typo</ability>
      <abilityName>字词错误</abilityName>
      <candidateList>
        <item>统一化</item>
      </candidateList>
      <explain/>
      <paraID>  35C2FD</paraID>
      <start>94</start>
      <end>98</end>
      <status>unmodified</status>
      <modifiedWord/>
      <trackRevisions>false</trackRevisions>
    </reviewItem>
    <reviewItem>
      <errorID>54e1861a-bec9-475d-902e-aaaa12afa8c7</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35C2FD</paraID>
      <start>126</start>
      <end>127</end>
      <status>unmodified</status>
      <modifiedWord/>
      <trackRevisions>false</trackRevisions>
    </reviewItem>
    <reviewItem>
      <errorID>7c784b96-2c2a-4105-a822-756302e0bda8</errorID>
      <errorWord>操作合</errorWord>
      <group>L1_Word</group>
      <groupName>字词问题</groupName>
      <ability>L2_Typo</ability>
      <abilityName>字词错误</abilityName>
      <candidateList>
        <item>操作台</item>
      </candidateList>
      <explain/>
      <paraID>6A204146</paraID>
      <start>0</start>
      <end>3</end>
      <status>unmodified</status>
      <modifiedWord/>
      <trackRevisions>false</trackRevisions>
    </reviewItem>
    <reviewItem>
      <errorID>453e660e-165b-404a-b9f2-3fdc5022de54</errorID>
      <errorWord>账物</errorWord>
      <group>L1_Word</group>
      <groupName>字词问题</groupName>
      <ability>L2_Typo</ability>
      <abilityName>字词错误</abilityName>
      <candidateList>
        <item>账务</item>
      </candidateList>
      <explain/>
      <paraID>277BC6E6</paraID>
      <start>5</start>
      <end>7</end>
      <status>unmodified</status>
      <modifiedWord/>
      <trackRevisions>false</trackRevisions>
    </reviewItem>
    <reviewItem>
      <errorID>7828be15-3e56-4663-a995-3a792e6f7f10</errorID>
      <errorWord>震动</errorWord>
      <group>L1_Word</group>
      <groupName>字词问题</groupName>
      <ability>L2_Typo</ability>
      <abilityName>字词错误</abilityName>
      <candidateList>
        <item>振动</item>
      </candidateList>
      <explain>存在发音相同字词的误用。</explain>
      <paraID>193515E4</paraID>
      <start>14</start>
      <end>16</end>
      <status>unmodified</status>
      <modifiedWord/>
      <trackRevisions>false</trackRevisions>
    </reviewItem>
    <reviewItem>
      <errorID>8873f89d-58ea-4346-95ed-9f3c62fd2994</errorID>
      <errorWord>好</errorWord>
      <group>L1_Word</group>
      <groupName>字词问题</groupName>
      <ability>L2_Typo</ability>
      <abilityName>字词错误</abilityName>
      <candidateList>
        <item>好地</item>
      </candidateList>
      <explain/>
      <paraID>66C53A1C</paraID>
      <start>13</start>
      <end>14</end>
      <status>unmodified</status>
      <modifiedWord/>
      <trackRevisions>false</trackRevisions>
    </reviewItem>
    <reviewItem>
      <errorID>ea84c4ba-5e03-41d4-b47a-2fac6c644192</errorID>
      <errorWord>中华人民共和国生物安全法</errorWord>
      <group>L1_Knowledge</group>
      <groupName>知识性问题</groupName>
      <ability>L2_Knowledge</ability>
      <abilityName>其他知识</abilityName>
      <candidateList>
        <item>《中华人民共和国生物安全法》</item>
      </candidateList>
      <explain>完整法律法规名称需要加书名号，请注意检查。</explain>
      <paraID>3F990D66</paraID>
      <start>27</start>
      <end>39</end>
      <status>unmodified</status>
      <modifiedWord/>
      <trackRevisions>false</trackRevisions>
    </reviewItem>
    <reviewItem>
      <errorID>be922bc8-3a21-4648-bd6e-5098bc0393ac</errorID>
      <errorWord>病原微生物实验室生物安全管理条例</errorWord>
      <group>L1_Knowledge</group>
      <groupName>知识性问题</groupName>
      <ability>L2_Knowledge</ability>
      <abilityName>其他知识</abilityName>
      <candidateList>
        <item>《病原微生物实验室生物安全管理条例》</item>
      </candidateList>
      <explain>完整法律法规名称需要加书名号，请注意检查。</explain>
      <paraID>75E50BE0</paraID>
      <start>10</start>
      <end>26</end>
      <status>unmodified</status>
      <modifiedWord/>
      <trackRevisions>false</trackRevisions>
    </reviewItem>
    <reviewItem>
      <errorID>dc2458e8-1ac8-46e8-b669-0aa303f30101</errorID>
      <errorWord>.</errorWord>
      <group>L1_Format</group>
      <groupName>格式问题</groupName>
      <ability>L2_HalfPunc_CN</ability>
      <abilityName/>
      <candidateList>
        <item>。</item>
      </candidateList>
      <explain>文本全半角错误。</explain>
      <paraID>53AC1BE2</paraID>
      <start>11</start>
      <end>12</end>
      <status>unmodified</status>
      <modifiedWord/>
      <trackRevisions>false</trackRevisions>
    </reviewItem>
    <reviewItem>
      <errorID>37c34623-829d-45d0-a8a4-b89a018175e6</errorID>
      <errorWord>:</errorWord>
      <group>L1_Format</group>
      <groupName>格式问题</groupName>
      <ability>L2_HalfPunc_CN</ability>
      <abilityName/>
      <candidateList>
        <item>：</item>
      </candidateList>
      <explain>文本全半角错误。</explain>
      <paraID>53AC1BE2</paraID>
      <start>39</start>
      <end>40</end>
      <status>unmodified</status>
      <modifiedWord/>
      <trackRevisions>false</trackRevisions>
    </reviewItem>
    <reviewItem>
      <errorID>6ff06476-b523-4df3-96eb-ccdd78c921a4</errorID>
      <errorWord>国家质量监督检验检疫总局</errorWord>
      <group>L1_Knowledge</group>
      <groupName>知识性问题</groupName>
      <ability>L2_Organization</ability>
      <abilityName>机构检查</abilityName>
      <candidateList/>
      <explain>2018年3月，中共中央印发了《深化党和国家机构改革方案》，国家质量监督检验检疫总局的职责整合到新组建的国家市场监督管理总局，出入境检验检疫管理职责和队伍划入海关总署。不再保留国家质量监督检验检疫总局。</explain>
      <paraID>6183D200</paraID>
      <start>12</start>
      <end>24</end>
      <status>unmodified</status>
      <modifiedWord/>
      <trackRevisions>false</trackRevisions>
    </reviewItem>
  </reviewItems>
  <config/>
</contractReview>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602bf058-8234-4746-881a-6c6ac7cf8357}">
  <ds:schemaRefs/>
</ds:datastoreItem>
</file>

<file path=docProps/app.xml><?xml version="1.0" encoding="utf-8"?>
<Properties xmlns="http://schemas.openxmlformats.org/officeDocument/2006/extended-properties" xmlns:vt="http://schemas.openxmlformats.org/officeDocument/2006/docPropsVTypes">
  <Template>Normal</Template>
  <Pages>62</Pages>
  <Words>10386</Words>
  <Characters>12352</Characters>
  <Lines>360</Lines>
  <Paragraphs>101</Paragraphs>
  <TotalTime>9</TotalTime>
  <ScaleCrop>false</ScaleCrop>
  <LinksUpToDate>false</LinksUpToDate>
  <CharactersWithSpaces>12801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陈沐新</cp:lastModifiedBy>
  <dcterms:modified xsi:type="dcterms:W3CDTF">2026-05-21T17:00:24Z</dcterms:modified>
  <dc:title>人机料法环视角下高校生物实验室安全管理研究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eyJoZGlkIjoiZjM3ZmMyOGE2MjQ5ZjY2MzAxNGFjZjcyZTRjOTg3OWMiLCJ1c2VySWQiOiIxNTYwNjQwOTE3In0=</vt:lpwstr>
  </property>
  <property fmtid="{D5CDD505-2E9C-101B-9397-08002B2CF9AE}" pid="3" name="KSOProductBuildVer">
    <vt:lpwstr>2052-12.1.0.23542</vt:lpwstr>
  </property>
  <property fmtid="{D5CDD505-2E9C-101B-9397-08002B2CF9AE}" pid="4" name="ICV">
    <vt:lpwstr>B5CF7CE437DC4453838B52DB49AA3815_13</vt:lpwstr>
  </property>
</Properties>
</file>