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Chuyun Chen</w:t>
      </w:r>
    </w:p>
    <w:p>
      <w:pPr>
        <w:jc w:val="center"/>
      </w:pPr>
      <w:r>
        <w:rPr>
          <w:rFonts w:ascii="Times New Roman" w:hAnsi="Times New Roman" w:eastAsia="宋体"/>
          <w:b w:val="0"/>
          <w:i w:val="0"/>
          <w:sz w:val="20"/>
        </w:rPr>
        <w:t xml:space="preserve">  E-mail: chencyzwl@126.com</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highlighting an opportunity to strengthen the evidence base through well-designed, prospectively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https://github.com/1947314628-ui/acupuncture-vertigo-clinicaltrials-registry with a permanent DOI issued via Zenodo (10.5281/zenodo.21110651).</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Additional support was provided by the following projects: (1) National Advantage Specialty Construction Project (Guo Zhong Yi Yao Yi Zheng Han [2024] No. 90); (2) Guangdong Provincial Famous TCM Practitioner Inheritance Studio Construction Project (Yue Zhong Yi Ban Han [2023] No. 108); (3) Guangzhou TCM Advantage Specialty Construction Project (Sui Wei Han [2023] No. 2316); (4) Guangzhou TCM Clinical Core and Characteristic Diagnosis and Treatment Technology Construction Project (Sui Wei Han [2022] No. 2249); (5) Clinical Observation of Acupuncture for Acute Ischemic Stroke and Its Effect on NF-κB/iNOS Pathway (Grant No. 20242A011009); (6) Guangdong Provincial TCM Bureau Research Project — Observation of the Therapeutic Effect of "Xing Nao Qi He Tiao Shu" Method on Gut Microbiota in Patients with Cognitive Impairment Due to Cerebral Small Vessel Disease (Grant No. 20231275); (7) Guangzhou Science and Technology Plan Project — Development of an Intelligent Acupuncture Consultation System Based on Continuous Dialogue (Grant No. 2024A03J0793).</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https://github.com/1947314628-ui/acupuncture-vertigo-clinicaltrials-registry with a permanent DOI issued via Zenodo (10.5281/zenodo.21110651).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et al. Applying natural language processing to ClinicalTrials.gov: mRNA cancer vaccine case study. Clin Transl Sci. 2023.</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23"/>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