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 xml:space="preserve">  Qin Zhang</w:t>
      </w:r>
    </w:p>
    <w:p>
      <w:pPr>
        <w:jc w:val="center"/>
      </w:pPr>
      <w:r>
        <w:rPr>
          <w:rFonts w:ascii="Times New Roman" w:hAnsi="Times New Roman" w:eastAsia="宋体"/>
          <w:b w:val="0"/>
          <w:i w:val="0"/>
          <w:sz w:val="20"/>
        </w:rPr>
        <w:t xml:space="preserve">  E-mail: zhangqin@stu.gzucm.edu.cn</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[GitHub repository URL] with a permanent DOI issued via Zenodo.</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Additional support was provided by the following projects: (1) National Advantage Specialty Construction Project (Guo Zhong Yi Yao Yi Zheng Han [2024] No. 90); (2) Guangdong Provincial Famous TCM Practitioner Inheritance Studio Construction Project (Yue Zhong Yi Ban Han [2023] No. 108); (3) Guangzhou TCM Advantage Specialty Construction Project (Sui Wei Han [2023] No. 2316); (4) Guangzhou TCM Clinical Core and Characteristic Diagnosis and Treatment Technology Construction Project (Sui Wei Han [2022] No. 2249); (5) Clinical Observation of Acupuncture for Acute Ischemic Stroke and Its Effect on NF-κB/iNOS Pathway (Grant No. 20242A011009); (6) Guangdong Provincial TCM Bureau Research Project — Observation of the Therapeutic Effect of "Xing Nao Qi He Tiao Shu" Method on Gut Microbiota in Patients with Cognitive Impairment Due to Cerebral Small Vessel Disease (Grant No. 20231275); (7) Guangzhou Science and Technology Plan Project — Development of an Intelligent Acupuncture Consultation System Based on Continuous Dialogue (Grant No. 2024A03J0793).</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[GitHub repository URL] with a permanent DOI issued via Zenodo.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9"/>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