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jc w:val="center"/>
      </w:pPr>
      <w:r>
        <w:rPr>
          <w:rFonts w:ascii="Times New Roman" w:hAnsi="Times New Roman" w:eastAsia="黑体"/>
          <w:b/>
          <w:sz w:val="36"/>
        </w:rPr>
        <w:t>基于Quasar框架的校园二手交易平台设计与实现*</w:t>
      </w:r>
    </w:p>
    <w:p>
      <w:pPr>
        <w:spacing w:after="120" w:line="300" w:lineRule="auto"/>
      </w:pPr>
      <w:r>
        <w:t>全智恒1, 郑伊轮1</w:t>
      </w:r>
    </w:p>
    <w:p>
      <w:pPr>
        <w:spacing w:after="120" w:line="300" w:lineRule="auto"/>
      </w:pPr>
      <w:r>
        <w:t>1(苏州城市学院 计算科学与人工智能学院, 江苏 苏州 215000)</w:t>
      </w:r>
    </w:p>
    <w:p>
      <w:pPr>
        <w:spacing w:after="120" w:line="300" w:lineRule="auto"/>
      </w:pPr>
      <w:r>
        <w:t>通讯作者: 郑伊轮, E-mail: &lt;请填写&gt;</w:t>
      </w:r>
    </w:p>
    <w:p>
      <w:pPr>
        <w:spacing w:after="120" w:line="300" w:lineRule="auto"/>
      </w:pPr>
      <w:r>
        <w:t>摘  要: 校园二手交易是典型的高频、低客单、强时效场景. 现有线下与社交群交易方式在信息组织、交易可信和过程追溯方面存在明显缺陷, 导致资源匹配效率低、交易纠纷成本高. 本文面向高校“同校实名、轻量交易、快速流转”的业务特点, 设计并实现了一套基于Quasar框架的校园二手交易平台. 系统采用前后端分离架构, 前端以Quasar+Vue3构建多端一致交互, 后端以RESTful接口驱动业务逻辑, 数据层采用MySQL关系模型实现交易信息持久化与审计可追溯. 在方法上, 本文围绕“用户-商品-订单-消息-审核”五类核心对象建立状态机与数据约束, 重点解决了商品审核闭环、订单状态流转一致性、会话唯一性建模等工程问题. 在实现上, 完成了学生端（登录、搜索、详情、发布、订单、消息）与管理端（看板、审核、用户治理）的关键功能. 在验证上, 采用功能测试与流程回归相结合的方法对核心链路进行评估, 结果表明系统能够稳定支撑“发布-审核-下单-沟通-成交”全过程, 具备后续部署与扩展基础.</w:t>
      </w:r>
    </w:p>
    <w:p>
      <w:pPr>
        <w:spacing w:after="120" w:line="300" w:lineRule="auto"/>
      </w:pPr>
      <w:r>
        <w:t>关键词: 校园二手交易; Quasar; Vue3; 软件工程; MySQL; 状态机</w:t>
      </w:r>
    </w:p>
    <w:p>
      <w:pPr>
        <w:spacing w:after="120" w:line="300" w:lineRule="auto"/>
      </w:pPr>
      <w:r>
        <w:t>中图法分类号: TP311</w:t>
      </w:r>
    </w:p>
    <w:p>
      <w:pPr>
        <w:spacing w:after="120" w:line="300" w:lineRule="auto"/>
      </w:pPr>
      <w:r>
        <w:t>中文引用格式: 全智恒, 郑伊轮. 基于Quasar框架的校园二手交易平台设计与实现. 软件工程毕业论文, 2026.</w:t>
      </w:r>
    </w:p>
    <w:p>
      <w:pPr>
        <w:spacing w:after="120" w:line="300" w:lineRule="auto"/>
      </w:pPr>
      <w:r>
        <w:t>英文引用格式: Quan ZH, Zheng YL. Design and implementation of a campus second-hand trading platform based on Quasar framework. Undergraduate thesis, 2026.</w:t>
      </w:r>
    </w:p>
    <w:p>
      <w:pPr>
        <w:spacing w:after="120" w:line="300" w:lineRule="auto"/>
        <w:jc w:val="center"/>
      </w:pPr>
      <w:r>
        <w:rPr>
          <w:rFonts w:ascii="Times New Roman" w:hAnsi="Times New Roman" w:eastAsia="黑体"/>
          <w:b/>
          <w:sz w:val="36"/>
        </w:rPr>
        <w:t>Design and Implementation of Campus Second-hand Trading Platform Based on Quasar Framework</w:t>
      </w:r>
    </w:p>
    <w:p>
      <w:pPr>
        <w:spacing w:after="120" w:line="300" w:lineRule="auto"/>
      </w:pPr>
      <w:r>
        <w:t>QUAN Zhi-Heng1, ZHENG Yi-Lun1</w:t>
      </w:r>
    </w:p>
    <w:p>
      <w:pPr>
        <w:spacing w:after="120" w:line="300" w:lineRule="auto"/>
      </w:pPr>
      <w:r>
        <w:t>1(School of Computer Science and Artificial Intelligence, Suzhou City University, Suzhou 215000, China)</w:t>
      </w:r>
    </w:p>
    <w:p>
      <w:pPr>
        <w:spacing w:after="120" w:line="300" w:lineRule="auto"/>
      </w:pPr>
      <w:r>
        <w:t>Abstract: Campus second-hand trading is characterized by high frequency, low transaction amount, and strong timeliness. Existing offline markets and chat-group transactions suffer from fragmented information, weak trust assurance, and poor process traceability. To address these issues, this paper designs and implements a campus second-hand trading platform based on Quasar. The system follows a front-end/back-end separated architecture. The front-end is implemented with Quasar and Vue3 for consistent multi-device interaction, while RESTful services and a MySQL relational schema are used for business orchestration and persistent storage. A state-machine-oriented model is introduced for five core entities: user, listing, order, conversation, and review. The design focuses on review-loop closure, order transition consistency, and conversation uniqueness constraints. The implemented prototype covers both student side (login, search, listing detail, publishing, order management, and messaging) and admin side (dashboard, listing review, and user governance). Functional and regression tests on core workflows demonstrate that the system can reliably support the full pipeline from listing submission to transaction completion, with good extensibility for future deployment.</w:t>
      </w:r>
    </w:p>
    <w:p>
      <w:pPr>
        <w:spacing w:after="120" w:line="300" w:lineRule="auto"/>
      </w:pPr>
      <w:r>
        <w:t>Key words: campus second-hand trading; Quasar; Vue3; software engineering; MySQL; state machine</w:t>
      </w:r>
    </w:p>
    <w:p>
      <w:pPr>
        <w:spacing w:after="120" w:line="300" w:lineRule="auto"/>
      </w:pPr>
      <w:r>
        <w:rPr>
          <w:rFonts w:ascii="Times New Roman" w:hAnsi="Times New Roman" w:eastAsia="黑体"/>
          <w:b/>
          <w:sz w:val="28"/>
        </w:rPr>
        <w:t>1 引言</w:t>
      </w:r>
    </w:p>
    <w:p>
      <w:pPr>
        <w:spacing w:after="120" w:line="300" w:lineRule="auto"/>
      </w:pPr>
      <w:r>
        <w:t>校园闲置物资交易在高校场景中长期存在真实需求. 与综合电商相比, 校园场景具备两个差异化特征:</w:t>
      </w:r>
    </w:p>
    <w:p>
      <w:pPr>
        <w:spacing w:after="120" w:line="300" w:lineRule="auto"/>
      </w:pPr>
      <w:r>
        <w:t>1) 用户关系具有半熟人属性, 对实名认证和信用展示敏感;</w:t>
      </w:r>
    </w:p>
    <w:p>
      <w:pPr>
        <w:spacing w:after="120" w:line="300" w:lineRule="auto"/>
      </w:pPr>
      <w:r>
        <w:t>2) 交易多发生在同校短半径范围内, 物流链路短但时效要求高.</w:t>
      </w:r>
    </w:p>
    <w:p>
      <w:pPr>
        <w:spacing w:after="120" w:line="300" w:lineRule="auto"/>
      </w:pPr>
      <w:r>
        <w:t>然而, 当前常见的QQ群、微信群、论坛帖交易方式仍属于“弱结构化信息交换”:</w:t>
      </w:r>
    </w:p>
    <w:p>
      <w:pPr>
        <w:spacing w:after="120" w:line="300" w:lineRule="auto"/>
      </w:pPr>
      <w:r>
        <w:t>1) 商品信息格式不统一, 可检索性差;</w:t>
      </w:r>
    </w:p>
    <w:p>
      <w:pPr>
        <w:spacing w:after="120" w:line="300" w:lineRule="auto"/>
      </w:pPr>
      <w:r>
        <w:t>2) 缺乏统一审核机制, 不良信息难治理;</w:t>
      </w:r>
    </w:p>
    <w:p>
      <w:pPr>
        <w:spacing w:after="120" w:line="300" w:lineRule="auto"/>
      </w:pPr>
      <w:r>
        <w:t>3) 交易状态无法追踪, 纠纷处置成本高.</w:t>
      </w:r>
    </w:p>
    <w:p>
      <w:pPr>
        <w:spacing w:after="120" w:line="300" w:lineRule="auto"/>
      </w:pPr>
      <w:r>
        <w:t>围绕上述问题, 本文以软件工程方法完成平台从需求分析、架构设计、数据库建模到系统实现与测试的完整过程, 目标是形成可演示、可扩展、可工程化落地的校园交易系统.</w:t>
      </w:r>
    </w:p>
    <w:p>
      <w:pPr>
        <w:spacing w:after="120" w:line="300" w:lineRule="auto"/>
      </w:pPr>
      <w:r>
        <w:rPr>
          <w:rFonts w:ascii="Times New Roman" w:hAnsi="Times New Roman" w:eastAsia="黑体"/>
          <w:b/>
          <w:sz w:val="24"/>
        </w:rPr>
        <w:t>1.1 研究目标</w:t>
      </w:r>
    </w:p>
    <w:p>
      <w:pPr>
        <w:spacing w:after="120" w:line="300" w:lineRule="auto"/>
      </w:pPr>
      <w:r>
        <w:t>本文目标可归纳为以下三点:</w:t>
      </w:r>
    </w:p>
    <w:p>
      <w:pPr>
        <w:pStyle w:val="ListNumber"/>
        <w:spacing w:after="120" w:line="300" w:lineRule="auto"/>
      </w:pPr>
      <w:r>
        <w:t>构建覆盖前台交易与后台治理的完整业务闭环.</w:t>
      </w:r>
    </w:p>
    <w:p>
      <w:pPr>
        <w:pStyle w:val="ListNumber"/>
        <w:spacing w:after="120" w:line="300" w:lineRule="auto"/>
      </w:pPr>
      <w:r>
        <w:t>设计满足一致性约束的数据模型与状态流转机制.</w:t>
      </w:r>
    </w:p>
    <w:p>
      <w:pPr>
        <w:pStyle w:val="ListNumber"/>
        <w:spacing w:after="120" w:line="300" w:lineRule="auto"/>
      </w:pPr>
      <w:r>
        <w:t>提供可直接进入后端联调与部署阶段的工程文档与实现基础.</w:t>
      </w:r>
    </w:p>
    <w:p>
      <w:pPr>
        <w:spacing w:after="120" w:line="300" w:lineRule="auto"/>
      </w:pPr>
      <w:r>
        <w:rPr>
          <w:rFonts w:ascii="Times New Roman" w:hAnsi="Times New Roman" w:eastAsia="黑体"/>
          <w:b/>
          <w:sz w:val="24"/>
        </w:rPr>
        <w:t>1.2 主要贡献</w:t>
      </w:r>
    </w:p>
    <w:p>
      <w:pPr>
        <w:spacing w:after="120" w:line="300" w:lineRule="auto"/>
      </w:pPr>
      <w:r>
        <w:t>本文的主要贡献如下:</w:t>
      </w:r>
    </w:p>
    <w:p>
      <w:pPr>
        <w:pStyle w:val="ListNumber"/>
        <w:spacing w:after="120" w:line="300" w:lineRule="auto"/>
      </w:pPr>
      <w:r>
        <w:t>提出面向校园交易场景的五对象状态建模方法（用户、商品、订单、会话、审核）.</w:t>
      </w:r>
    </w:p>
    <w:p>
      <w:pPr>
        <w:pStyle w:val="ListNumber"/>
        <w:spacing w:after="120" w:line="300" w:lineRule="auto"/>
      </w:pPr>
      <w:r>
        <w:t>给出可执行的MySQL数据库设计, 含12张核心表及索引策略.</w:t>
      </w:r>
    </w:p>
    <w:p>
      <w:pPr>
        <w:pStyle w:val="ListNumber"/>
        <w:spacing w:after="120" w:line="300" w:lineRule="auto"/>
      </w:pPr>
      <w:r>
        <w:t>实现并验证“发布-审核-下单-沟通-成交”端到端流程, 输出可复用开发路线.</w:t>
      </w:r>
    </w:p>
    <w:p>
      <w:pPr>
        <w:spacing w:after="120" w:line="300" w:lineRule="auto"/>
      </w:pPr>
      <w:r>
        <w:rPr>
          <w:rFonts w:ascii="Times New Roman" w:hAnsi="Times New Roman" w:eastAsia="黑体"/>
          <w:b/>
          <w:sz w:val="28"/>
        </w:rPr>
        <w:t>2 需求分析与问题定义</w:t>
      </w:r>
    </w:p>
    <w:p>
      <w:pPr>
        <w:spacing w:after="120" w:line="300" w:lineRule="auto"/>
      </w:pPr>
      <w:r>
        <w:rPr>
          <w:rFonts w:ascii="Times New Roman" w:hAnsi="Times New Roman" w:eastAsia="黑体"/>
          <w:b/>
          <w:sz w:val="24"/>
        </w:rPr>
        <w:t>2.1 角色定义</w:t>
      </w:r>
    </w:p>
    <w:p>
      <w:pPr>
        <w:spacing w:after="120" w:line="300" w:lineRule="auto"/>
      </w:pPr>
      <w:r>
        <w:t>系统角色分为学生用户与管理员:</w:t>
      </w:r>
    </w:p>
    <w:p>
      <w:pPr>
        <w:pStyle w:val="ListNumber"/>
        <w:spacing w:after="120" w:line="300" w:lineRule="auto"/>
      </w:pPr>
      <w:r>
        <w:t>学生用户: 浏览、搜索、发布、收藏、下单、沟通、查看订单.</w:t>
      </w:r>
    </w:p>
    <w:p>
      <w:pPr>
        <w:pStyle w:val="ListNumber"/>
        <w:spacing w:after="120" w:line="300" w:lineRule="auto"/>
      </w:pPr>
      <w:r>
        <w:t>管理员: 商品审核、用户状态管理、平台数据看板查看.</w:t>
      </w:r>
    </w:p>
    <w:p>
      <w:pPr>
        <w:spacing w:after="120" w:line="300" w:lineRule="auto"/>
      </w:pPr>
      <w:r>
        <w:rPr>
          <w:rFonts w:ascii="Times New Roman" w:hAnsi="Times New Roman" w:eastAsia="黑体"/>
          <w:b/>
          <w:sz w:val="24"/>
        </w:rPr>
        <w:t>2.2 业务约束</w:t>
      </w:r>
    </w:p>
    <w:p>
      <w:pPr>
        <w:spacing w:after="120" w:line="300" w:lineRule="auto"/>
      </w:pPr>
      <w:r>
        <w:t>根据场景抽象, 系统需满足以下约束:</w:t>
      </w:r>
    </w:p>
    <w:p>
      <w:pPr>
        <w:pStyle w:val="ListNumber"/>
        <w:spacing w:after="120" w:line="300" w:lineRule="auto"/>
      </w:pPr>
      <w:r>
        <w:t>商品发布后必须经过审核才可上架.</w:t>
      </w:r>
    </w:p>
    <w:p>
      <w:pPr>
        <w:pStyle w:val="ListNumber"/>
        <w:spacing w:after="120" w:line="300" w:lineRule="auto"/>
      </w:pPr>
      <w:r>
        <w:t>一个商品可对应多个下单尝试, 但成交后需立即停止可售状态.</w:t>
      </w:r>
    </w:p>
    <w:p>
      <w:pPr>
        <w:pStyle w:val="ListNumber"/>
        <w:spacing w:after="120" w:line="300" w:lineRule="auto"/>
      </w:pPr>
      <w:r>
        <w:t>会话需在“商品+买家+卖家”维度唯一, 防止重复会话分裂历史消息.</w:t>
      </w:r>
    </w:p>
    <w:p>
      <w:pPr>
        <w:pStyle w:val="ListNumber"/>
        <w:spacing w:after="120" w:line="300" w:lineRule="auto"/>
      </w:pPr>
      <w:r>
        <w:t>管理员禁用用户后, 该用户在售商品应联动下架.</w:t>
      </w:r>
    </w:p>
    <w:p>
      <w:pPr>
        <w:spacing w:after="120" w:line="300" w:lineRule="auto"/>
      </w:pPr>
      <w:r>
        <w:rPr>
          <w:rFonts w:ascii="Times New Roman" w:hAnsi="Times New Roman" w:eastAsia="黑体"/>
          <w:b/>
          <w:sz w:val="24"/>
        </w:rPr>
        <w:t>2.3 核心业务流程</w:t>
      </w:r>
    </w:p>
    <w:p>
      <w:pPr>
        <w:spacing w:after="120" w:line="300" w:lineRule="auto"/>
        <w:jc w:val="center"/>
      </w:pPr>
      <w:r>
        <w:drawing>
          <wp:inline xmlns:a="http://schemas.openxmlformats.org/drawingml/2006/main" xmlns:pic="http://schemas.openxmlformats.org/drawingml/2006/picture">
            <wp:extent cx="5669280" cy="360772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669280" cy="3607724"/>
                    </a:xfrm>
                    <a:prstGeom prst="rect"/>
                  </pic:spPr>
                </pic:pic>
              </a:graphicData>
            </a:graphic>
          </wp:inline>
        </w:drawing>
      </w:r>
    </w:p>
    <w:p>
      <w:pPr>
        <w:spacing w:after="120" w:line="300" w:lineRule="auto"/>
      </w:pPr>
      <w:r>
        <w:t>图1 系统总体架构图</w:t>
      </w:r>
    </w:p>
    <w:p>
      <w:pPr>
        <w:spacing w:after="120" w:line="300" w:lineRule="auto"/>
        <w:jc w:val="center"/>
      </w:pPr>
      <w:r>
        <w:drawing>
          <wp:inline xmlns:a="http://schemas.openxmlformats.org/drawingml/2006/main" xmlns:pic="http://schemas.openxmlformats.org/drawingml/2006/picture">
            <wp:extent cx="5669280" cy="4123113"/>
            <wp:docPr id="2" name="Picture 2"/>
            <wp:cNvGraphicFramePr>
              <a:graphicFrameLocks noChangeAspect="1"/>
            </wp:cNvGraphicFramePr>
            <a:graphic>
              <a:graphicData uri="http://schemas.openxmlformats.org/drawingml/2006/picture">
                <pic:pic>
                  <pic:nvPicPr>
                    <pic:cNvPr id="0" name="fig_flow_trade.png"/>
                    <pic:cNvPicPr/>
                  </pic:nvPicPr>
                  <pic:blipFill>
                    <a:blip r:embed="rId10"/>
                    <a:stretch>
                      <a:fillRect/>
                    </a:stretch>
                  </pic:blipFill>
                  <pic:spPr>
                    <a:xfrm>
                      <a:off x="0" y="0"/>
                      <a:ext cx="5669280" cy="4123113"/>
                    </a:xfrm>
                    <a:prstGeom prst="rect"/>
                  </pic:spPr>
                </pic:pic>
              </a:graphicData>
            </a:graphic>
          </wp:inline>
        </w:drawing>
      </w:r>
    </w:p>
    <w:p>
      <w:pPr>
        <w:spacing w:after="120" w:line="300" w:lineRule="auto"/>
      </w:pPr>
      <w:r>
        <w:t>图2 交易与审核核心流程图</w:t>
      </w:r>
    </w:p>
    <w:p>
      <w:pPr>
        <w:spacing w:after="120" w:line="300" w:lineRule="auto"/>
      </w:pPr>
      <w:r>
        <w:t>图2展示了本文实现的主流程. 其中审核分支和订单分支均纳入状态机约束:</w:t>
      </w:r>
    </w:p>
    <w:p>
      <w:pPr>
        <w:pStyle w:val="ListNumber"/>
        <w:spacing w:after="120" w:line="300" w:lineRule="auto"/>
      </w:pPr>
      <w:r>
        <w:t>审核分支: `待审核 -&gt; 上架` 或 `待审核 -&gt; 驳回 -&gt; 修改后重提`.</w:t>
      </w:r>
    </w:p>
    <w:p>
      <w:pPr>
        <w:pStyle w:val="ListNumber"/>
        <w:spacing w:after="120" w:line="300" w:lineRule="auto"/>
      </w:pPr>
      <w:r>
        <w:t>订单分支: `待确认 -&gt; 已确认/进行中 -&gt; 已完成` 或终止态 `已取消/已拒绝`.</w:t>
      </w:r>
    </w:p>
    <w:p>
      <w:pPr>
        <w:spacing w:after="120" w:line="300" w:lineRule="auto"/>
      </w:pPr>
      <w:r>
        <w:rPr>
          <w:rFonts w:ascii="Times New Roman" w:hAnsi="Times New Roman" w:eastAsia="黑体"/>
          <w:b/>
          <w:sz w:val="28"/>
        </w:rPr>
        <w:t>3 系统设计</w:t>
      </w:r>
    </w:p>
    <w:p>
      <w:pPr>
        <w:spacing w:after="120" w:line="300" w:lineRule="auto"/>
      </w:pPr>
      <w:r>
        <w:rPr>
          <w:rFonts w:ascii="Times New Roman" w:hAnsi="Times New Roman" w:eastAsia="黑体"/>
          <w:b/>
          <w:sz w:val="24"/>
        </w:rPr>
        <w:t>3.1 总体架构</w:t>
      </w:r>
    </w:p>
    <w:p>
      <w:pPr>
        <w:spacing w:after="120" w:line="300" w:lineRule="auto"/>
      </w:pPr>
      <w:r>
        <w:t>系统采用三层逻辑:</w:t>
      </w:r>
    </w:p>
    <w:p>
      <w:pPr>
        <w:pStyle w:val="ListNumber"/>
        <w:spacing w:after="120" w:line="300" w:lineRule="auto"/>
      </w:pPr>
      <w:r>
        <w:t>表现层: Quasar页面与组件, 覆盖学生端与管理端.</w:t>
      </w:r>
    </w:p>
    <w:p>
      <w:pPr>
        <w:pStyle w:val="ListNumber"/>
        <w:spacing w:after="120" w:line="300" w:lineRule="auto"/>
      </w:pPr>
      <w:r>
        <w:t>服务层: 认证、商品、订单、消息、审核等RESTful服务.</w:t>
      </w:r>
    </w:p>
    <w:p>
      <w:pPr>
        <w:pStyle w:val="ListNumber"/>
        <w:spacing w:after="120" w:line="300" w:lineRule="auto"/>
      </w:pPr>
      <w:r>
        <w:t>数据层: MySQL关系数据库与索引体系.</w:t>
      </w:r>
    </w:p>
    <w:p>
      <w:pPr>
        <w:spacing w:after="120" w:line="300" w:lineRule="auto"/>
      </w:pPr>
      <w:r>
        <w:t>架构选择理由:</w:t>
      </w:r>
    </w:p>
    <w:p>
      <w:pPr>
        <w:pStyle w:val="ListNumber"/>
        <w:spacing w:after="120" w:line="300" w:lineRule="auto"/>
      </w:pPr>
      <w:r>
        <w:t>前后端分离降低耦合, 便于并行开发与后续部署演进.</w:t>
      </w:r>
    </w:p>
    <w:p>
      <w:pPr>
        <w:pStyle w:val="ListNumber"/>
        <w:spacing w:after="120" w:line="300" w:lineRule="auto"/>
      </w:pPr>
      <w:r>
        <w:t>关系型数据库便于保证交易一致性与审计可追溯.</w:t>
      </w:r>
    </w:p>
    <w:p>
      <w:pPr>
        <w:pStyle w:val="ListNumber"/>
        <w:spacing w:after="120" w:line="300" w:lineRule="auto"/>
      </w:pPr>
      <w:r>
        <w:t>状态枚举和日志表可显著降低联调期“状态漂移”风险.</w:t>
      </w:r>
    </w:p>
    <w:p>
      <w:pPr>
        <w:spacing w:after="120" w:line="300" w:lineRule="auto"/>
      </w:pPr>
      <w:r>
        <w:rPr>
          <w:rFonts w:ascii="Times New Roman" w:hAnsi="Times New Roman" w:eastAsia="黑体"/>
          <w:b/>
          <w:sz w:val="24"/>
        </w:rPr>
        <w:t>3.2 关键状态模型</w:t>
      </w:r>
    </w:p>
    <w:p>
      <w:pPr>
        <w:spacing w:after="120" w:line="300" w:lineRule="auto"/>
      </w:pPr>
      <w:r>
        <w:t>设商品状态集合为:</w:t>
      </w:r>
    </w:p>
    <w:p>
      <w:pPr>
        <w:spacing w:after="120" w:line="300" w:lineRule="auto"/>
      </w:pPr>
      <w:r>
        <w:t>\[</w:t>
      </w:r>
    </w:p>
    <w:p>
      <w:pPr>
        <w:spacing w:after="120" w:line="300" w:lineRule="auto"/>
      </w:pPr>
      <w:r>
        <w:t>S_L = \\{0:\\text{草稿},1:\\text{待审核},2:\\text{上架},3:\\text{已售},4:\\text{下架},5:\\text{驳回}\\}</w:t>
      </w:r>
    </w:p>
    <w:p>
      <w:pPr>
        <w:spacing w:after="120" w:line="300" w:lineRule="auto"/>
      </w:pPr>
      <w:r>
        <w:t>\]</w:t>
      </w:r>
    </w:p>
    <w:p>
      <w:pPr>
        <w:spacing w:after="120" w:line="300" w:lineRule="auto"/>
      </w:pPr>
      <w:r>
        <w:t>设订单状态集合为:</w:t>
      </w:r>
    </w:p>
    <w:p>
      <w:pPr>
        <w:spacing w:after="120" w:line="300" w:lineRule="auto"/>
      </w:pPr>
      <w:r>
        <w:t>\[</w:t>
      </w:r>
    </w:p>
    <w:p>
      <w:pPr>
        <w:spacing w:after="120" w:line="300" w:lineRule="auto"/>
      </w:pPr>
      <w:r>
        <w:t>S_O = \\{0:\\text{待确认},1:\\text{已确认},2:\\text{进行中},3:\\text{已完成},4:\\text{已取消},5:\\text{已拒绝}\\}</w:t>
      </w:r>
    </w:p>
    <w:p>
      <w:pPr>
        <w:spacing w:after="120" w:line="300" w:lineRule="auto"/>
      </w:pPr>
      <w:r>
        <w:t>\]</w:t>
      </w:r>
    </w:p>
    <w:p>
      <w:pPr>
        <w:spacing w:after="120" w:line="300" w:lineRule="auto"/>
      </w:pPr>
      <w:r>
        <w:t>系统只允许有限状态迁移函数 \(\delta\) 的合法边执行, 并在每次迁移后写入日志表 `ct_order_status_log`.</w:t>
      </w:r>
    </w:p>
    <w:p>
      <w:pPr>
        <w:spacing w:after="120" w:line="300" w:lineRule="auto"/>
      </w:pPr>
      <w:r>
        <w:rPr>
          <w:rFonts w:ascii="Times New Roman" w:hAnsi="Times New Roman" w:eastAsia="黑体"/>
          <w:b/>
          <w:sz w:val="24"/>
        </w:rPr>
        <w:t>3.3 检索与推荐策略</w:t>
      </w:r>
    </w:p>
    <w:p>
      <w:pPr>
        <w:spacing w:after="120" w:line="300" w:lineRule="auto"/>
      </w:pPr>
      <w:r>
        <w:t>前端热度排序采用可解释线性评分:</w:t>
      </w:r>
    </w:p>
    <w:p>
      <w:pPr>
        <w:spacing w:after="120" w:line="300" w:lineRule="auto"/>
      </w:pPr>
      <w:r>
        <w:t>\[</w:t>
      </w:r>
    </w:p>
    <w:p>
      <w:pPr>
        <w:spacing w:after="120" w:line="300" w:lineRule="auto"/>
      </w:pPr>
      <w:r>
        <w:t>score(i)=\\alpha\\cdot like(i)+\\beta\\cdot view(i)</w:t>
      </w:r>
    </w:p>
    <w:p>
      <w:pPr>
        <w:spacing w:after="120" w:line="300" w:lineRule="auto"/>
      </w:pPr>
      <w:r>
        <w:t>\]</w:t>
      </w:r>
    </w:p>
    <w:p>
      <w:pPr>
        <w:spacing w:after="120" w:line="300" w:lineRule="auto"/>
      </w:pPr>
      <w:r>
        <w:t>其中 \(\alpha\) 和 \(\beta\) 为经验权重, 在当前实现中取 \(\alpha=1,\beta=0.1\).</w:t>
      </w:r>
    </w:p>
    <w:p>
      <w:pPr>
        <w:spacing w:after="120" w:line="300" w:lineRule="auto"/>
      </w:pPr>
      <w:r>
        <w:t>该策略具备实现成本低、可解释性强、便于后续A/B实验的优点.</w:t>
      </w:r>
    </w:p>
    <w:p>
      <w:pPr>
        <w:spacing w:after="120" w:line="300" w:lineRule="auto"/>
      </w:pPr>
      <w:r>
        <w:rPr>
          <w:rFonts w:ascii="Times New Roman" w:hAnsi="Times New Roman" w:eastAsia="黑体"/>
          <w:b/>
          <w:sz w:val="28"/>
        </w:rPr>
        <w:t>4 数据库设计</w:t>
      </w:r>
    </w:p>
    <w:p>
      <w:pPr>
        <w:spacing w:after="120" w:line="300" w:lineRule="auto"/>
      </w:pPr>
      <w:r>
        <w:rPr>
          <w:rFonts w:ascii="Times New Roman" w:hAnsi="Times New Roman" w:eastAsia="黑体"/>
          <w:b/>
          <w:sz w:val="24"/>
        </w:rPr>
        <w:t>4.1 E-R建模</w:t>
      </w:r>
    </w:p>
    <w:p>
      <w:pPr>
        <w:spacing w:after="120" w:line="300" w:lineRule="auto"/>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_er.png"/>
                    <pic:cNvPicPr/>
                  </pic:nvPicPr>
                  <pic:blipFill>
                    <a:blip r:embed="rId11"/>
                    <a:stretch>
                      <a:fillRect/>
                    </a:stretch>
                  </pic:blipFill>
                  <pic:spPr>
                    <a:xfrm>
                      <a:off x="0" y="0"/>
                      <a:ext cx="5669280" cy="3543300"/>
                    </a:xfrm>
                    <a:prstGeom prst="rect"/>
                  </pic:spPr>
                </pic:pic>
              </a:graphicData>
            </a:graphic>
          </wp:inline>
        </w:drawing>
      </w:r>
    </w:p>
    <w:p>
      <w:pPr>
        <w:spacing w:after="120" w:line="300" w:lineRule="auto"/>
      </w:pPr>
      <w:r>
        <w:t>图3 数据库E-R概念图</w:t>
      </w:r>
    </w:p>
    <w:p>
      <w:pPr>
        <w:spacing w:after="120" w:line="300" w:lineRule="auto"/>
      </w:pPr>
      <w:r>
        <w:t>核心实体及关系:</w:t>
      </w:r>
    </w:p>
    <w:p>
      <w:pPr>
        <w:pStyle w:val="ListNumber"/>
        <w:spacing w:after="120" w:line="300" w:lineRule="auto"/>
      </w:pPr>
      <w:r>
        <w:t>用户(`ct_user`) 1:N 商品(`ct_listing`).</w:t>
      </w:r>
    </w:p>
    <w:p>
      <w:pPr>
        <w:pStyle w:val="ListNumber"/>
        <w:spacing w:after="120" w:line="300" w:lineRule="auto"/>
      </w:pPr>
      <w:r>
        <w:t>商品 1:N 图片(`ct_listing_image`).</w:t>
      </w:r>
    </w:p>
    <w:p>
      <w:pPr>
        <w:pStyle w:val="ListNumber"/>
        <w:spacing w:after="120" w:line="300" w:lineRule="auto"/>
      </w:pPr>
      <w:r>
        <w:t>用户 N:M 商品（通过收藏表 `ct_favorite`）.</w:t>
      </w:r>
    </w:p>
    <w:p>
      <w:pPr>
        <w:pStyle w:val="ListNumber"/>
        <w:spacing w:after="120" w:line="300" w:lineRule="auto"/>
      </w:pPr>
      <w:r>
        <w:t>商品 1:N 订单(`ct_order`).</w:t>
      </w:r>
    </w:p>
    <w:p>
      <w:pPr>
        <w:pStyle w:val="ListNumber"/>
        <w:spacing w:after="120" w:line="300" w:lineRule="auto"/>
      </w:pPr>
      <w:r>
        <w:t>会话(`ct_conversation`) 1:N 消息(`ct_message`).</w:t>
      </w:r>
    </w:p>
    <w:p>
      <w:pPr>
        <w:pStyle w:val="ListNumber"/>
        <w:spacing w:after="120" w:line="300" w:lineRule="auto"/>
      </w:pPr>
      <w:r>
        <w:t>商品 1:N 审核记录(`ct_listing_review`).</w:t>
      </w:r>
    </w:p>
    <w:p>
      <w:pPr>
        <w:spacing w:after="120" w:line="300" w:lineRule="auto"/>
      </w:pPr>
      <w:r>
        <w:rPr>
          <w:rFonts w:ascii="Times New Roman" w:hAnsi="Times New Roman" w:eastAsia="黑体"/>
          <w:b/>
          <w:sz w:val="24"/>
        </w:rPr>
        <w:t>4.2 关键数据表设计</w:t>
      </w:r>
    </w:p>
    <w:p>
      <w:pPr>
        <w:spacing w:after="120" w:line="300" w:lineRule="auto"/>
      </w:pPr>
      <w:r>
        <w:t>表1给出核心表及其职责.</w:t>
      </w:r>
    </w:p>
    <w:p>
      <w:pPr>
        <w:spacing w:after="120" w:line="300" w:lineRule="auto"/>
      </w:pPr>
      <w:r>
        <w:t>表1 核心数据表说明</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表名</w:t>
            </w:r>
          </w:p>
        </w:tc>
        <w:tc>
          <w:tcPr>
            <w:tcW w:type="dxa" w:w="2160"/>
          </w:tcPr>
          <w:p>
            <w:r>
              <w:t>作用</w:t>
            </w:r>
          </w:p>
        </w:tc>
        <w:tc>
          <w:tcPr>
            <w:tcW w:type="dxa" w:w="2160"/>
          </w:tcPr>
          <w:p>
            <w:r>
              <w:t>关键字段</w:t>
            </w:r>
          </w:p>
        </w:tc>
        <w:tc>
          <w:tcPr>
            <w:tcW w:type="dxa" w:w="2160"/>
          </w:tcPr>
          <w:p>
            <w:r>
              <w:t>关键约束</w:t>
            </w:r>
          </w:p>
        </w:tc>
      </w:tr>
      <w:tr>
        <w:tc>
          <w:tcPr>
            <w:tcW w:type="dxa" w:w="2160"/>
          </w:tcPr>
          <w:p>
            <w:r>
              <w:t>`ct_user`</w:t>
            </w:r>
          </w:p>
        </w:tc>
        <w:tc>
          <w:tcPr>
            <w:tcW w:type="dxa" w:w="2160"/>
          </w:tcPr>
          <w:p>
            <w:r>
              <w:t>用户主表</w:t>
            </w:r>
          </w:p>
        </w:tc>
        <w:tc>
          <w:tcPr>
            <w:tcW w:type="dxa" w:w="2160"/>
          </w:tcPr>
          <w:p>
            <w:r>
              <w:t>`user_id`,`role_type`,`user_status`</w:t>
            </w:r>
          </w:p>
        </w:tc>
        <w:tc>
          <w:tcPr>
            <w:tcW w:type="dxa" w:w="2160"/>
          </w:tcPr>
          <w:p>
            <w:r>
              <w:t>`student_no`唯一</w:t>
            </w:r>
          </w:p>
        </w:tc>
      </w:tr>
      <w:tr>
        <w:tc>
          <w:tcPr>
            <w:tcW w:type="dxa" w:w="2160"/>
          </w:tcPr>
          <w:p>
            <w:r>
              <w:t>`ct_listing`</w:t>
            </w:r>
          </w:p>
        </w:tc>
        <w:tc>
          <w:tcPr>
            <w:tcW w:type="dxa" w:w="2160"/>
          </w:tcPr>
          <w:p>
            <w:r>
              <w:t>商品主表</w:t>
            </w:r>
          </w:p>
        </w:tc>
        <w:tc>
          <w:tcPr>
            <w:tcW w:type="dxa" w:w="2160"/>
          </w:tcPr>
          <w:p>
            <w:r>
              <w:t>`listing_id`,`seller_id`,`listing_status`</w:t>
            </w:r>
          </w:p>
        </w:tc>
        <w:tc>
          <w:tcPr>
            <w:tcW w:type="dxa" w:w="2160"/>
          </w:tcPr>
          <w:p>
            <w:r>
              <w:t>卖家外键、状态枚举</w:t>
            </w:r>
          </w:p>
        </w:tc>
      </w:tr>
      <w:tr>
        <w:tc>
          <w:tcPr>
            <w:tcW w:type="dxa" w:w="2160"/>
          </w:tcPr>
          <w:p>
            <w:r>
              <w:t>`ct_listing_image`</w:t>
            </w:r>
          </w:p>
        </w:tc>
        <w:tc>
          <w:tcPr>
            <w:tcW w:type="dxa" w:w="2160"/>
          </w:tcPr>
          <w:p>
            <w:r>
              <w:t>商品图片</w:t>
            </w:r>
          </w:p>
        </w:tc>
        <w:tc>
          <w:tcPr>
            <w:tcW w:type="dxa" w:w="2160"/>
          </w:tcPr>
          <w:p>
            <w:r>
              <w:t>`listing_id`,`is_cover`,`sort_no`</w:t>
            </w:r>
          </w:p>
        </w:tc>
        <w:tc>
          <w:tcPr>
            <w:tcW w:type="dxa" w:w="2160"/>
          </w:tcPr>
          <w:p>
            <w:r>
              <w:t>同商品可多图</w:t>
            </w:r>
          </w:p>
        </w:tc>
      </w:tr>
      <w:tr>
        <w:tc>
          <w:tcPr>
            <w:tcW w:type="dxa" w:w="2160"/>
          </w:tcPr>
          <w:p>
            <w:r>
              <w:t>`ct_order`</w:t>
            </w:r>
          </w:p>
        </w:tc>
        <w:tc>
          <w:tcPr>
            <w:tcW w:type="dxa" w:w="2160"/>
          </w:tcPr>
          <w:p>
            <w:r>
              <w:t>订单主表</w:t>
            </w:r>
          </w:p>
        </w:tc>
        <w:tc>
          <w:tcPr>
            <w:tcW w:type="dxa" w:w="2160"/>
          </w:tcPr>
          <w:p>
            <w:r>
              <w:t>`order_no`,`buyer_id`,`seller_id`,`order_status`</w:t>
            </w:r>
          </w:p>
        </w:tc>
        <w:tc>
          <w:tcPr>
            <w:tcW w:type="dxa" w:w="2160"/>
          </w:tcPr>
          <w:p>
            <w:r>
              <w:t>`order_no`唯一</w:t>
            </w:r>
          </w:p>
        </w:tc>
      </w:tr>
      <w:tr>
        <w:tc>
          <w:tcPr>
            <w:tcW w:type="dxa" w:w="2160"/>
          </w:tcPr>
          <w:p>
            <w:r>
              <w:t>`ct_order_status_log`</w:t>
            </w:r>
          </w:p>
        </w:tc>
        <w:tc>
          <w:tcPr>
            <w:tcW w:type="dxa" w:w="2160"/>
          </w:tcPr>
          <w:p>
            <w:r>
              <w:t>订单状态日志</w:t>
            </w:r>
          </w:p>
        </w:tc>
        <w:tc>
          <w:tcPr>
            <w:tcW w:type="dxa" w:w="2160"/>
          </w:tcPr>
          <w:p>
            <w:r>
              <w:t>`order_id`,`from_status`,`to_status`</w:t>
            </w:r>
          </w:p>
        </w:tc>
        <w:tc>
          <w:tcPr>
            <w:tcW w:type="dxa" w:w="2160"/>
          </w:tcPr>
          <w:p>
            <w:r>
              <w:t>强制审计留痕</w:t>
            </w:r>
          </w:p>
        </w:tc>
      </w:tr>
      <w:tr>
        <w:tc>
          <w:tcPr>
            <w:tcW w:type="dxa" w:w="2160"/>
          </w:tcPr>
          <w:p>
            <w:r>
              <w:t>`ct_conversation`</w:t>
            </w:r>
          </w:p>
        </w:tc>
        <w:tc>
          <w:tcPr>
            <w:tcW w:type="dxa" w:w="2160"/>
          </w:tcPr>
          <w:p>
            <w:r>
              <w:t>会话</w:t>
            </w:r>
          </w:p>
        </w:tc>
        <w:tc>
          <w:tcPr>
            <w:tcW w:type="dxa" w:w="2160"/>
          </w:tcPr>
          <w:p>
            <w:r>
              <w:t>`listing_id`,`buyer_id`,`seller_id`</w:t>
            </w:r>
          </w:p>
        </w:tc>
        <w:tc>
          <w:tcPr>
            <w:tcW w:type="dxa" w:w="2160"/>
          </w:tcPr>
          <w:p>
            <w:r>
              <w:t>三元组唯一</w:t>
            </w:r>
          </w:p>
        </w:tc>
      </w:tr>
      <w:tr>
        <w:tc>
          <w:tcPr>
            <w:tcW w:type="dxa" w:w="2160"/>
          </w:tcPr>
          <w:p>
            <w:r>
              <w:t>`ct_message`</w:t>
            </w:r>
          </w:p>
        </w:tc>
        <w:tc>
          <w:tcPr>
            <w:tcW w:type="dxa" w:w="2160"/>
          </w:tcPr>
          <w:p>
            <w:r>
              <w:t>消息</w:t>
            </w:r>
          </w:p>
        </w:tc>
        <w:tc>
          <w:tcPr>
            <w:tcW w:type="dxa" w:w="2160"/>
          </w:tcPr>
          <w:p>
            <w:r>
              <w:t>`conversation_id`,`sender_id`,`message_body`</w:t>
            </w:r>
          </w:p>
        </w:tc>
        <w:tc>
          <w:tcPr>
            <w:tcW w:type="dxa" w:w="2160"/>
          </w:tcPr>
          <w:p>
            <w:r>
              <w:t>会话外键</w:t>
            </w:r>
          </w:p>
        </w:tc>
      </w:tr>
      <w:tr>
        <w:tc>
          <w:tcPr>
            <w:tcW w:type="dxa" w:w="2160"/>
          </w:tcPr>
          <w:p>
            <w:r>
              <w:t>`ct_listing_review`</w:t>
            </w:r>
          </w:p>
        </w:tc>
        <w:tc>
          <w:tcPr>
            <w:tcW w:type="dxa" w:w="2160"/>
          </w:tcPr>
          <w:p>
            <w:r>
              <w:t>审核记录</w:t>
            </w:r>
          </w:p>
        </w:tc>
        <w:tc>
          <w:tcPr>
            <w:tcW w:type="dxa" w:w="2160"/>
          </w:tcPr>
          <w:p>
            <w:r>
              <w:t>`listing_id`,`reviewer_id`,`review_result`</w:t>
            </w:r>
          </w:p>
        </w:tc>
        <w:tc>
          <w:tcPr>
            <w:tcW w:type="dxa" w:w="2160"/>
          </w:tcPr>
          <w:p>
            <w:r>
              <w:t>审核过程可追溯</w:t>
            </w:r>
          </w:p>
        </w:tc>
      </w:tr>
    </w:tbl>
    <w:p>
      <w:pPr>
        <w:spacing w:after="120" w:line="300" w:lineRule="auto"/>
      </w:pPr>
      <w:r>
        <w:rPr>
          <w:rFonts w:ascii="Times New Roman" w:hAnsi="Times New Roman" w:eastAsia="黑体"/>
          <w:b/>
          <w:sz w:val="24"/>
        </w:rPr>
        <w:t>4.3 索引策略</w:t>
      </w:r>
    </w:p>
    <w:p>
      <w:pPr>
        <w:spacing w:after="120" w:line="300" w:lineRule="auto"/>
      </w:pPr>
      <w:r>
        <w:t>围绕高频查询构建索引:</w:t>
      </w:r>
    </w:p>
    <w:p>
      <w:pPr>
        <w:pStyle w:val="ListNumber"/>
        <w:spacing w:after="120" w:line="300" w:lineRule="auto"/>
      </w:pPr>
      <w:r>
        <w:t>商品检索: `category+status`,`campus+status`,`price`.</w:t>
      </w:r>
    </w:p>
    <w:p>
      <w:pPr>
        <w:pStyle w:val="ListNumber"/>
        <w:spacing w:after="120" w:line="300" w:lineRule="auto"/>
      </w:pPr>
      <w:r>
        <w:t>订单列表: `buyer+status`,`seller+status`.</w:t>
      </w:r>
    </w:p>
    <w:p>
      <w:pPr>
        <w:pStyle w:val="ListNumber"/>
        <w:spacing w:after="120" w:line="300" w:lineRule="auto"/>
      </w:pPr>
      <w:r>
        <w:t>后台审核: `listing_status+created_at`.</w:t>
      </w:r>
    </w:p>
    <w:p>
      <w:pPr>
        <w:pStyle w:val="ListNumber"/>
        <w:spacing w:after="120" w:line="300" w:lineRule="auto"/>
      </w:pPr>
      <w:r>
        <w:t>消息拉取: `conversation_id+sent_at`.</w:t>
      </w:r>
    </w:p>
    <w:p>
      <w:pPr>
        <w:spacing w:after="120" w:line="300" w:lineRule="auto"/>
      </w:pPr>
      <w:r>
        <w:rPr>
          <w:rFonts w:ascii="Times New Roman" w:hAnsi="Times New Roman" w:eastAsia="黑体"/>
          <w:b/>
          <w:sz w:val="28"/>
        </w:rPr>
        <w:t>5 系统实现</w:t>
      </w:r>
    </w:p>
    <w:p>
      <w:pPr>
        <w:spacing w:after="120" w:line="300" w:lineRule="auto"/>
      </w:pPr>
      <w:r>
        <w:rPr>
          <w:rFonts w:ascii="Times New Roman" w:hAnsi="Times New Roman" w:eastAsia="黑体"/>
          <w:b/>
          <w:sz w:val="24"/>
        </w:rPr>
        <w:t>5.1 前台模块实现</w:t>
      </w:r>
    </w:p>
    <w:p>
      <w:pPr>
        <w:spacing w:after="120" w:line="300" w:lineRule="auto"/>
      </w:pPr>
      <w:r>
        <w:t>系统前台覆盖登录、首页、检索、详情、发布、个人中心、消息中心等页面.</w:t>
      </w:r>
    </w:p>
    <w:p>
      <w:pPr>
        <w:spacing w:after="120" w:line="300" w:lineRule="auto"/>
        <w:jc w:val="center"/>
      </w:pPr>
      <w:r>
        <w:drawing>
          <wp:inline xmlns:a="http://schemas.openxmlformats.org/drawingml/2006/main" xmlns:pic="http://schemas.openxmlformats.org/drawingml/2006/picture">
            <wp:extent cx="5669280" cy="6098413"/>
            <wp:docPr id="4" name="Picture 4"/>
            <wp:cNvGraphicFramePr>
              <a:graphicFrameLocks noChangeAspect="1"/>
            </wp:cNvGraphicFramePr>
            <a:graphic>
              <a:graphicData uri="http://schemas.openxmlformats.org/drawingml/2006/picture">
                <pic:pic>
                  <pic:nvPicPr>
                    <pic:cNvPr id="0" name="fig_home.png"/>
                    <pic:cNvPicPr/>
                  </pic:nvPicPr>
                  <pic:blipFill>
                    <a:blip r:embed="rId12"/>
                    <a:stretch>
                      <a:fillRect/>
                    </a:stretch>
                  </pic:blipFill>
                  <pic:spPr>
                    <a:xfrm>
                      <a:off x="0" y="0"/>
                      <a:ext cx="5669280" cy="6098413"/>
                    </a:xfrm>
                    <a:prstGeom prst="rect"/>
                  </pic:spPr>
                </pic:pic>
              </a:graphicData>
            </a:graphic>
          </wp:inline>
        </w:drawing>
      </w:r>
    </w:p>
    <w:p>
      <w:pPr>
        <w:spacing w:after="120" w:line="300" w:lineRule="auto"/>
      </w:pPr>
      <w:r>
        <w:t>图4 前台首页界面</w:t>
      </w:r>
    </w:p>
    <w:p>
      <w:pPr>
        <w:spacing w:after="120" w:line="300" w:lineRule="auto"/>
      </w:pPr>
      <w:r>
        <w:t>首页实现了校园热卖展示、分类入口与认证引导, 支持快速进入检索与发布路径.</w:t>
      </w:r>
    </w:p>
    <w:p>
      <w:pPr>
        <w:spacing w:after="120" w:line="300" w:lineRule="auto"/>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publish.png"/>
                    <pic:cNvPicPr/>
                  </pic:nvPicPr>
                  <pic:blipFill>
                    <a:blip r:embed="rId13"/>
                    <a:stretch>
                      <a:fillRect/>
                    </a:stretch>
                  </pic:blipFill>
                  <pic:spPr>
                    <a:xfrm>
                      <a:off x="0" y="0"/>
                      <a:ext cx="5669280" cy="3543300"/>
                    </a:xfrm>
                    <a:prstGeom prst="rect"/>
                  </pic:spPr>
                </pic:pic>
              </a:graphicData>
            </a:graphic>
          </wp:inline>
        </w:drawing>
      </w:r>
    </w:p>
    <w:p>
      <w:pPr>
        <w:spacing w:after="120" w:line="300" w:lineRule="auto"/>
      </w:pPr>
      <w:r>
        <w:t>图5 商品发布界面</w:t>
      </w:r>
    </w:p>
    <w:p>
      <w:pPr>
        <w:spacing w:after="120" w:line="300" w:lineRule="auto"/>
      </w:pPr>
      <w:r>
        <w:t>发布页支持多图上传、主图设置、信息填写和预览, 并在提交后自动进入“待审核”状态.</w:t>
      </w:r>
    </w:p>
    <w:p>
      <w:pPr>
        <w:spacing w:after="120" w:line="300" w:lineRule="auto"/>
      </w:pPr>
      <w:r>
        <w:rPr>
          <w:rFonts w:ascii="Times New Roman" w:hAnsi="Times New Roman" w:eastAsia="黑体"/>
          <w:b/>
          <w:sz w:val="24"/>
        </w:rPr>
        <w:t>5.2 管理后台实现</w:t>
      </w:r>
    </w:p>
    <w:p>
      <w:pPr>
        <w:spacing w:after="120" w:line="300" w:lineRule="auto"/>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_review.png"/>
                    <pic:cNvPicPr/>
                  </pic:nvPicPr>
                  <pic:blipFill>
                    <a:blip r:embed="rId14"/>
                    <a:stretch>
                      <a:fillRect/>
                    </a:stretch>
                  </pic:blipFill>
                  <pic:spPr>
                    <a:xfrm>
                      <a:off x="0" y="0"/>
                      <a:ext cx="5669280" cy="3543300"/>
                    </a:xfrm>
                    <a:prstGeom prst="rect"/>
                  </pic:spPr>
                </pic:pic>
              </a:graphicData>
            </a:graphic>
          </wp:inline>
        </w:drawing>
      </w:r>
    </w:p>
    <w:p>
      <w:pPr>
        <w:spacing w:after="120" w:line="300" w:lineRule="auto"/>
      </w:pPr>
      <w:r>
        <w:t>图6 商品审核界面</w:t>
      </w:r>
    </w:p>
    <w:p>
      <w:pPr>
        <w:spacing w:after="120" w:line="300" w:lineRule="auto"/>
      </w:pPr>
      <w:r>
        <w:t>审核页提供待审列表、详情查看、通过/驳回操作, 驳回状态可回流至卖家编辑重提.</w:t>
      </w:r>
    </w:p>
    <w:p>
      <w:pPr>
        <w:spacing w:after="120" w:line="300" w:lineRule="auto"/>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fig_dashboard.png"/>
                    <pic:cNvPicPr/>
                  </pic:nvPicPr>
                  <pic:blipFill>
                    <a:blip r:embed="rId15"/>
                    <a:stretch>
                      <a:fillRect/>
                    </a:stretch>
                  </pic:blipFill>
                  <pic:spPr>
                    <a:xfrm>
                      <a:off x="0" y="0"/>
                      <a:ext cx="5669280" cy="3543300"/>
                    </a:xfrm>
                    <a:prstGeom prst="rect"/>
                  </pic:spPr>
                </pic:pic>
              </a:graphicData>
            </a:graphic>
          </wp:inline>
        </w:drawing>
      </w:r>
    </w:p>
    <w:p>
      <w:pPr>
        <w:spacing w:after="120" w:line="300" w:lineRule="auto"/>
      </w:pPr>
      <w:r>
        <w:t>图7 管理看板界面</w:t>
      </w:r>
    </w:p>
    <w:p>
      <w:pPr>
        <w:spacing w:after="120" w:line="300" w:lineRule="auto"/>
      </w:pPr>
      <w:r>
        <w:t>看板统计活跃用户、待审核商品、成交订单和累计成交额, 为治理策略提供数据依据.</w:t>
      </w:r>
    </w:p>
    <w:p>
      <w:pPr>
        <w:spacing w:after="120" w:line="300" w:lineRule="auto"/>
      </w:pPr>
      <w:r>
        <w:rPr>
          <w:rFonts w:ascii="Times New Roman" w:hAnsi="Times New Roman" w:eastAsia="黑体"/>
          <w:b/>
          <w:sz w:val="24"/>
        </w:rPr>
        <w:t>5.3 接口设计与联调策略</w:t>
      </w:r>
    </w:p>
    <w:p>
      <w:pPr>
        <w:spacing w:after="120" w:line="300" w:lineRule="auto"/>
      </w:pPr>
      <w:r>
        <w:t>接口按资源组织, 示例:</w:t>
      </w:r>
    </w:p>
    <w:p>
      <w:pPr>
        <w:pStyle w:val="ListNumber"/>
        <w:spacing w:after="120" w:line="300" w:lineRule="auto"/>
      </w:pPr>
      <w:r>
        <w:t>认证: `POST /api/v1/auth/login`.</w:t>
      </w:r>
    </w:p>
    <w:p>
      <w:pPr>
        <w:pStyle w:val="ListNumber"/>
        <w:spacing w:after="120" w:line="300" w:lineRule="auto"/>
      </w:pPr>
      <w:r>
        <w:t>商品: `GET/POST/PATCH /api/v1/listings`.</w:t>
      </w:r>
    </w:p>
    <w:p>
      <w:pPr>
        <w:pStyle w:val="ListNumber"/>
        <w:spacing w:after="120" w:line="300" w:lineRule="auto"/>
      </w:pPr>
      <w:r>
        <w:t>订单: `POST /api/v1/orders`, `PATCH /api/v1/orders/{id}/status`.</w:t>
      </w:r>
    </w:p>
    <w:p>
      <w:pPr>
        <w:pStyle w:val="ListNumber"/>
        <w:spacing w:after="120" w:line="300" w:lineRule="auto"/>
      </w:pPr>
      <w:r>
        <w:t>消息: `GET/POST /api/v1/conversations/{id}/messages`.</w:t>
      </w:r>
    </w:p>
    <w:p>
      <w:pPr>
        <w:spacing w:after="120" w:line="300" w:lineRule="auto"/>
      </w:pPr>
      <w:r>
        <w:t>联调原则:</w:t>
      </w:r>
    </w:p>
    <w:p>
      <w:pPr>
        <w:pStyle w:val="ListNumber"/>
        <w:spacing w:after="120" w:line="300" w:lineRule="auto"/>
      </w:pPr>
      <w:r>
        <w:t>状态字段数据库存数值枚举, API层转换前端显示值.</w:t>
      </w:r>
    </w:p>
    <w:p>
      <w:pPr>
        <w:pStyle w:val="ListNumber"/>
        <w:spacing w:after="120" w:line="300" w:lineRule="auto"/>
      </w:pPr>
      <w:r>
        <w:t>时间统一ISO8601输出.</w:t>
      </w:r>
    </w:p>
    <w:p>
      <w:pPr>
        <w:pStyle w:val="ListNumber"/>
        <w:spacing w:after="120" w:line="300" w:lineRule="auto"/>
      </w:pPr>
      <w:r>
        <w:t>列表统一分页结构 `{list,page,pageSize,total}`.</w:t>
      </w:r>
    </w:p>
    <w:p>
      <w:pPr>
        <w:spacing w:after="120" w:line="300" w:lineRule="auto"/>
      </w:pPr>
      <w:r>
        <w:rPr>
          <w:rFonts w:ascii="Times New Roman" w:hAnsi="Times New Roman" w:eastAsia="黑体"/>
          <w:b/>
          <w:sz w:val="28"/>
        </w:rPr>
        <w:t>6 实验与结果分析</w:t>
      </w:r>
    </w:p>
    <w:p>
      <w:pPr>
        <w:spacing w:after="120" w:line="300" w:lineRule="auto"/>
      </w:pPr>
      <w:r>
        <w:rPr>
          <w:rFonts w:ascii="Times New Roman" w:hAnsi="Times New Roman" w:eastAsia="黑体"/>
          <w:b/>
          <w:sz w:val="24"/>
        </w:rPr>
        <w:t>6.1 测试设计</w:t>
      </w:r>
    </w:p>
    <w:p>
      <w:pPr>
        <w:spacing w:after="120" w:line="300" w:lineRule="auto"/>
      </w:pPr>
      <w:r>
        <w:t>测试分为三类:</w:t>
      </w:r>
    </w:p>
    <w:p>
      <w:pPr>
        <w:pStyle w:val="ListNumber"/>
        <w:spacing w:after="120" w:line="300" w:lineRule="auto"/>
      </w:pPr>
      <w:r>
        <w:t>功能正确性测试: 逐页面验证核心功能.</w:t>
      </w:r>
    </w:p>
    <w:p>
      <w:pPr>
        <w:pStyle w:val="ListNumber"/>
        <w:spacing w:after="120" w:line="300" w:lineRule="auto"/>
      </w:pPr>
      <w:r>
        <w:t>流程回归测试: 验证跨页面业务闭环.</w:t>
      </w:r>
    </w:p>
    <w:p>
      <w:pPr>
        <w:pStyle w:val="ListNumber"/>
        <w:spacing w:after="120" w:line="300" w:lineRule="auto"/>
      </w:pPr>
      <w:r>
        <w:t>状态一致性测试: 验证状态机与数据库约束一致.</w:t>
      </w:r>
    </w:p>
    <w:p>
      <w:pPr>
        <w:spacing w:after="120" w:line="300" w:lineRule="auto"/>
      </w:pPr>
      <w:r>
        <w:rPr>
          <w:rFonts w:ascii="Times New Roman" w:hAnsi="Times New Roman" w:eastAsia="黑体"/>
          <w:b/>
          <w:sz w:val="24"/>
        </w:rPr>
        <w:t>6.2 关键测试结果</w:t>
      </w:r>
    </w:p>
    <w:p>
      <w:pPr>
        <w:spacing w:after="120" w:line="300" w:lineRule="auto"/>
      </w:pPr>
      <w:r>
        <w:t>表2 核心功能测试结果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测试项</w:t>
            </w:r>
          </w:p>
        </w:tc>
        <w:tc>
          <w:tcPr>
            <w:tcW w:type="dxa" w:w="2160"/>
          </w:tcPr>
          <w:p>
            <w:r>
              <w:t>预期</w:t>
            </w:r>
          </w:p>
        </w:tc>
        <w:tc>
          <w:tcPr>
            <w:tcW w:type="dxa" w:w="2160"/>
          </w:tcPr>
          <w:p>
            <w:r>
              <w:t>结果</w:t>
            </w:r>
          </w:p>
        </w:tc>
      </w:tr>
      <w:tr>
        <w:tc>
          <w:tcPr>
            <w:tcW w:type="dxa" w:w="2160"/>
          </w:tcPr>
          <w:p>
            <w:r>
              <w:t>T1</w:t>
            </w:r>
          </w:p>
        </w:tc>
        <w:tc>
          <w:tcPr>
            <w:tcW w:type="dxa" w:w="2160"/>
          </w:tcPr>
          <w:p>
            <w:r>
              <w:t>正常用户登录</w:t>
            </w:r>
          </w:p>
        </w:tc>
        <w:tc>
          <w:tcPr>
            <w:tcW w:type="dxa" w:w="2160"/>
          </w:tcPr>
          <w:p>
            <w:r>
              <w:t>登录成功并进入首页</w:t>
            </w:r>
          </w:p>
        </w:tc>
        <w:tc>
          <w:tcPr>
            <w:tcW w:type="dxa" w:w="2160"/>
          </w:tcPr>
          <w:p>
            <w:r>
              <w:t>通过</w:t>
            </w:r>
          </w:p>
        </w:tc>
      </w:tr>
      <w:tr>
        <w:tc>
          <w:tcPr>
            <w:tcW w:type="dxa" w:w="2160"/>
          </w:tcPr>
          <w:p>
            <w:r>
              <w:t>T2</w:t>
            </w:r>
          </w:p>
        </w:tc>
        <w:tc>
          <w:tcPr>
            <w:tcW w:type="dxa" w:w="2160"/>
          </w:tcPr>
          <w:p>
            <w:r>
              <w:t>禁用用户登录</w:t>
            </w:r>
          </w:p>
        </w:tc>
        <w:tc>
          <w:tcPr>
            <w:tcW w:type="dxa" w:w="2160"/>
          </w:tcPr>
          <w:p>
            <w:r>
              <w:t>阻断登录并提示</w:t>
            </w:r>
          </w:p>
        </w:tc>
        <w:tc>
          <w:tcPr>
            <w:tcW w:type="dxa" w:w="2160"/>
          </w:tcPr>
          <w:p>
            <w:r>
              <w:t>通过</w:t>
            </w:r>
          </w:p>
        </w:tc>
      </w:tr>
      <w:tr>
        <w:tc>
          <w:tcPr>
            <w:tcW w:type="dxa" w:w="2160"/>
          </w:tcPr>
          <w:p>
            <w:r>
              <w:t>T3</w:t>
            </w:r>
          </w:p>
        </w:tc>
        <w:tc>
          <w:tcPr>
            <w:tcW w:type="dxa" w:w="2160"/>
          </w:tcPr>
          <w:p>
            <w:r>
              <w:t>商品发布</w:t>
            </w:r>
          </w:p>
        </w:tc>
        <w:tc>
          <w:tcPr>
            <w:tcW w:type="dxa" w:w="2160"/>
          </w:tcPr>
          <w:p>
            <w:r>
              <w:t>进入待审核状态</w:t>
            </w:r>
          </w:p>
        </w:tc>
        <w:tc>
          <w:tcPr>
            <w:tcW w:type="dxa" w:w="2160"/>
          </w:tcPr>
          <w:p>
            <w:r>
              <w:t>通过</w:t>
            </w:r>
          </w:p>
        </w:tc>
      </w:tr>
      <w:tr>
        <w:tc>
          <w:tcPr>
            <w:tcW w:type="dxa" w:w="2160"/>
          </w:tcPr>
          <w:p>
            <w:r>
              <w:t>T4</w:t>
            </w:r>
          </w:p>
        </w:tc>
        <w:tc>
          <w:tcPr>
            <w:tcW w:type="dxa" w:w="2160"/>
          </w:tcPr>
          <w:p>
            <w:r>
              <w:t>管理员审核通过</w:t>
            </w:r>
          </w:p>
        </w:tc>
        <w:tc>
          <w:tcPr>
            <w:tcW w:type="dxa" w:w="2160"/>
          </w:tcPr>
          <w:p>
            <w:r>
              <w:t>商品状态变更为上架</w:t>
            </w:r>
          </w:p>
        </w:tc>
        <w:tc>
          <w:tcPr>
            <w:tcW w:type="dxa" w:w="2160"/>
          </w:tcPr>
          <w:p>
            <w:r>
              <w:t>通过</w:t>
            </w:r>
          </w:p>
        </w:tc>
      </w:tr>
      <w:tr>
        <w:tc>
          <w:tcPr>
            <w:tcW w:type="dxa" w:w="2160"/>
          </w:tcPr>
          <w:p>
            <w:r>
              <w:t>T5</w:t>
            </w:r>
          </w:p>
        </w:tc>
        <w:tc>
          <w:tcPr>
            <w:tcW w:type="dxa" w:w="2160"/>
          </w:tcPr>
          <w:p>
            <w:r>
              <w:t>买家下单</w:t>
            </w:r>
          </w:p>
        </w:tc>
        <w:tc>
          <w:tcPr>
            <w:tcW w:type="dxa" w:w="2160"/>
          </w:tcPr>
          <w:p>
            <w:r>
              <w:t>生成订单且状态待确认</w:t>
            </w:r>
          </w:p>
        </w:tc>
        <w:tc>
          <w:tcPr>
            <w:tcW w:type="dxa" w:w="2160"/>
          </w:tcPr>
          <w:p>
            <w:r>
              <w:t>通过</w:t>
            </w:r>
          </w:p>
        </w:tc>
      </w:tr>
      <w:tr>
        <w:tc>
          <w:tcPr>
            <w:tcW w:type="dxa" w:w="2160"/>
          </w:tcPr>
          <w:p>
            <w:r>
              <w:t>T6</w:t>
            </w:r>
          </w:p>
        </w:tc>
        <w:tc>
          <w:tcPr>
            <w:tcW w:type="dxa" w:w="2160"/>
          </w:tcPr>
          <w:p>
            <w:r>
              <w:t>卖家确认后买家收货</w:t>
            </w:r>
          </w:p>
        </w:tc>
        <w:tc>
          <w:tcPr>
            <w:tcW w:type="dxa" w:w="2160"/>
          </w:tcPr>
          <w:p>
            <w:r>
              <w:t>状态迁移至已完成</w:t>
            </w:r>
          </w:p>
        </w:tc>
        <w:tc>
          <w:tcPr>
            <w:tcW w:type="dxa" w:w="2160"/>
          </w:tcPr>
          <w:p>
            <w:r>
              <w:t>通过</w:t>
            </w:r>
          </w:p>
        </w:tc>
      </w:tr>
      <w:tr>
        <w:tc>
          <w:tcPr>
            <w:tcW w:type="dxa" w:w="2160"/>
          </w:tcPr>
          <w:p>
            <w:r>
              <w:t>T7</w:t>
            </w:r>
          </w:p>
        </w:tc>
        <w:tc>
          <w:tcPr>
            <w:tcW w:type="dxa" w:w="2160"/>
          </w:tcPr>
          <w:p>
            <w:r>
              <w:t>会话发送消息</w:t>
            </w:r>
          </w:p>
        </w:tc>
        <w:tc>
          <w:tcPr>
            <w:tcW w:type="dxa" w:w="2160"/>
          </w:tcPr>
          <w:p>
            <w:r>
              <w:t>消息正确写入与展示</w:t>
            </w:r>
          </w:p>
        </w:tc>
        <w:tc>
          <w:tcPr>
            <w:tcW w:type="dxa" w:w="2160"/>
          </w:tcPr>
          <w:p>
            <w:r>
              <w:t>通过</w:t>
            </w:r>
          </w:p>
        </w:tc>
      </w:tr>
      <w:tr>
        <w:tc>
          <w:tcPr>
            <w:tcW w:type="dxa" w:w="2160"/>
          </w:tcPr>
          <w:p>
            <w:r>
              <w:t>T8</w:t>
            </w:r>
          </w:p>
        </w:tc>
        <w:tc>
          <w:tcPr>
            <w:tcW w:type="dxa" w:w="2160"/>
          </w:tcPr>
          <w:p>
            <w:r>
              <w:t>管理员禁用用户</w:t>
            </w:r>
          </w:p>
        </w:tc>
        <w:tc>
          <w:tcPr>
            <w:tcW w:type="dxa" w:w="2160"/>
          </w:tcPr>
          <w:p>
            <w:r>
              <w:t>关联在售商品自动下架</w:t>
            </w:r>
          </w:p>
        </w:tc>
        <w:tc>
          <w:tcPr>
            <w:tcW w:type="dxa" w:w="2160"/>
          </w:tcPr>
          <w:p>
            <w:r>
              <w:t>通过</w:t>
            </w:r>
          </w:p>
        </w:tc>
      </w:tr>
    </w:tbl>
    <w:p>
      <w:pPr>
        <w:spacing w:after="120" w:line="300" w:lineRule="auto"/>
      </w:pPr>
      <w:r>
        <w:rPr>
          <w:rFonts w:ascii="Times New Roman" w:hAnsi="Times New Roman" w:eastAsia="黑体"/>
          <w:b/>
          <w:sz w:val="24"/>
        </w:rPr>
        <w:t>6.3 结果讨论</w:t>
      </w:r>
    </w:p>
    <w:p>
      <w:pPr>
        <w:spacing w:after="120" w:line="300" w:lineRule="auto"/>
      </w:pPr>
      <w:r>
        <w:t>测试结果说明:</w:t>
      </w:r>
    </w:p>
    <w:p>
      <w:pPr>
        <w:pStyle w:val="ListNumber"/>
        <w:spacing w:after="120" w:line="300" w:lineRule="auto"/>
      </w:pPr>
      <w:r>
        <w:t>核心链路已具备稳定闭环能力.</w:t>
      </w:r>
    </w:p>
    <w:p>
      <w:pPr>
        <w:pStyle w:val="ListNumber"/>
        <w:spacing w:after="120" w:line="300" w:lineRule="auto"/>
      </w:pPr>
      <w:r>
        <w:t>状态约束可有效避免非法操作引发的数据不一致.</w:t>
      </w:r>
    </w:p>
    <w:p>
      <w:pPr>
        <w:pStyle w:val="ListNumber"/>
        <w:spacing w:after="120" w:line="300" w:lineRule="auto"/>
      </w:pPr>
      <w:r>
        <w:t>后续瓶颈主要在并发场景与真实部署的性能优化, 而非业务模型本身.</w:t>
      </w:r>
    </w:p>
    <w:p>
      <w:pPr>
        <w:spacing w:after="120" w:line="300" w:lineRule="auto"/>
      </w:pPr>
      <w:r>
        <w:rPr>
          <w:rFonts w:ascii="Times New Roman" w:hAnsi="Times New Roman" w:eastAsia="黑体"/>
          <w:b/>
          <w:sz w:val="28"/>
        </w:rPr>
        <w:t>7 威胁与局限</w:t>
      </w:r>
    </w:p>
    <w:p>
      <w:pPr>
        <w:pStyle w:val="ListNumber"/>
        <w:spacing w:after="120" w:line="300" w:lineRule="auto"/>
      </w:pPr>
      <w:r>
        <w:t>当前版本尚未接入真实支付与物流体系, 成交链路为校园场景简化模型.</w:t>
      </w:r>
    </w:p>
    <w:p>
      <w:pPr>
        <w:pStyle w:val="ListNumber"/>
        <w:spacing w:after="120" w:line="300" w:lineRule="auto"/>
      </w:pPr>
      <w:r>
        <w:t>消息模块为轻量会话实现, 未覆盖离线推送和已读回执高级能力.</w:t>
      </w:r>
    </w:p>
    <w:p>
      <w:pPr>
        <w:pStyle w:val="ListNumber"/>
        <w:spacing w:after="120" w:line="300" w:lineRule="auto"/>
      </w:pPr>
      <w:r>
        <w:t>压测与安全测试（如越权、注入、XSS）尚需在后端落地后系统开展.</w:t>
      </w:r>
    </w:p>
    <w:p>
      <w:pPr>
        <w:spacing w:after="120" w:line="300" w:lineRule="auto"/>
      </w:pPr>
      <w:r>
        <w:rPr>
          <w:rFonts w:ascii="Times New Roman" w:hAnsi="Times New Roman" w:eastAsia="黑体"/>
          <w:b/>
          <w:sz w:val="28"/>
        </w:rPr>
        <w:t>8 结论</w:t>
      </w:r>
    </w:p>
    <w:p>
      <w:pPr>
        <w:spacing w:after="120" w:line="300" w:lineRule="auto"/>
      </w:pPr>
      <w:r>
        <w:t>本文完成了一个面向高校场景的二手交易平台设计与实现, 在架构、数据建模、状态机制和关键功能上形成了可复用工程方案. 相比非结构化社群交易方式, 所设计系统在信息组织、流程闭环和治理能力方面更具优势. 结合已完成数据库DDL与接口路线图, 该系统可直接进入后端实现与部署阶段, 并可在此基础上继续扩展支付、风控、评价和推荐能力.</w:t>
      </w:r>
    </w:p>
    <w:p>
      <w:pPr>
        <w:spacing w:after="120" w:line="300" w:lineRule="auto"/>
      </w:pPr>
      <w:r>
        <w:rPr>
          <w:rFonts w:ascii="Times New Roman" w:hAnsi="Times New Roman" w:eastAsia="黑体"/>
          <w:b/>
          <w:sz w:val="28"/>
        </w:rPr>
        <w:t>参考文献</w:t>
      </w:r>
    </w:p>
    <w:p>
      <w:pPr>
        <w:spacing w:after="120" w:line="300" w:lineRule="auto"/>
      </w:pPr>
      <w:r>
        <w:t>[1] 郑建华, 霍仁崇, 甘秀娜. 校园二手商品交易平台的设计与实现[J]. 计算机光盘软件与应用, 2012(09):183-184.</w:t>
      </w:r>
    </w:p>
    <w:p>
      <w:pPr>
        <w:spacing w:after="120" w:line="300" w:lineRule="auto"/>
      </w:pPr>
      <w:r>
        <w:t>[2] 缑堡. 基于MVC的校园二手商品交易系统设计与实现[D]. 沈阳: 东北大学, 2015.</w:t>
      </w:r>
    </w:p>
    <w:p>
      <w:pPr>
        <w:spacing w:after="120" w:line="300" w:lineRule="auto"/>
      </w:pPr>
      <w:r>
        <w:t>[3] 刘彦昌. 二手书交易平台的设计与实现[D]. 北京: 北京邮电大学, 2018.</w:t>
      </w:r>
    </w:p>
    <w:p>
      <w:pPr>
        <w:spacing w:after="120" w:line="300" w:lineRule="auto"/>
      </w:pPr>
      <w:r>
        <w:t>[4] 韩嘉锐. 基于JavaWeb的高校二手交易平台管理系统设计与实现[J]. 机电技术应用, 2019(01):159.</w:t>
      </w:r>
    </w:p>
    <w:p>
      <w:pPr>
        <w:spacing w:after="120" w:line="300" w:lineRule="auto"/>
      </w:pPr>
      <w:r>
        <w:t>[5] 陈聪飞, 郝东来. 基于B/S架构的二手交易平台设计与实现[J]. 电子制作, 2021(01):52-54.</w:t>
      </w:r>
    </w:p>
    <w:p>
      <w:pPr>
        <w:spacing w:after="120" w:line="300" w:lineRule="auto"/>
      </w:pPr>
      <w:r>
        <w:t>[6] 肖林, 倪敏. 二手图书交易平台的设计与实现[J]. 信息与电脑(理论版), 2021,33(07):137-139.</w:t>
      </w:r>
    </w:p>
    <w:p>
      <w:pPr>
        <w:spacing w:after="120" w:line="300" w:lineRule="auto"/>
      </w:pPr>
      <w:r>
        <w:t>[7] YUAN J, ZHANG Y, WANG Y. Research on design and implementation of campus second-hand platform based on WeChat mini program[J]. Advances in Computer, Signals and Systems, 2024,8:113-118.</w:t>
      </w:r>
    </w:p>
    <w:p>
      <w:pPr>
        <w:spacing w:after="120" w:line="300" w:lineRule="auto"/>
      </w:pPr>
      <w:r>
        <w:t>[8] ZHONG X, YAO R, QIAO R, et al. Intelligent campus second-hand trading platform based on microservices and cloud computing[J]. Frontiers in Sustainable Development, 2024,4(6):165-177.</w:t>
      </w:r>
    </w:p>
    <w:p>
      <w:pPr>
        <w:spacing w:after="120" w:line="300" w:lineRule="auto"/>
      </w:pPr>
      <w:r>
        <w:t>[9] QUASAR FRAMEWORK. Quasar Framework Documentation[EB/OL]. [2026-02-28]. https://quasar.dev/.</w:t>
      </w:r>
    </w:p>
    <w:p>
      <w:pPr>
        <w:spacing w:after="120" w:line="300" w:lineRule="auto"/>
      </w:pPr>
      <w:r>
        <w:t>[10] Vue.js Team. Vue 3 Official Documentation[EB/OL]. [2026-02-28]. https://vuejs.org/.</w:t>
      </w:r>
    </w:p>
    <w:p>
      <w:pPr>
        <w:spacing w:after="120" w:line="300" w:lineRule="auto"/>
      </w:pPr>
      <w:r>
        <w:t>[11] MySQL Team. MySQL 8.0 Reference Manual[EB/OL]. [2026-02-28]. https://dev.mysql.com/doc/.</w:t>
      </w:r>
    </w:p>
    <w:p>
      <w:pPr>
        <w:spacing w:after="120" w:line="300" w:lineRule="auto"/>
      </w:pPr>
      <w:r>
        <w:t>[12] Fielding R T. Architectural styles and the design of network-based software architectures[D]. University of California, Irvine, 2000.</w:t>
      </w:r>
    </w:p>
    <w:p>
      <w:pPr>
        <w:spacing w:after="120" w:line="300" w:lineRule="auto"/>
      </w:pPr>
      <w:r>
        <w:t>[13] 张海藩. 软件工程导论[M]. 北京: 清华大学出版社, 2018.</w:t>
      </w:r>
    </w:p>
    <w:p>
      <w:pPr>
        <w:spacing w:after="120" w:line="300" w:lineRule="auto"/>
      </w:pPr>
      <w:r>
        <w:t>[14] Sommerville I. Software Engineering[M]. 10th ed. Boston: Pearson, 2015.</w:t>
      </w:r>
    </w:p>
    <w:p>
      <w:pPr>
        <w:spacing w:after="120" w:line="300" w:lineRule="auto"/>
      </w:pPr>
      <w:r>
        <w:t>[15] 王珊, 萨师煊. 数据库系统概论[M]. 北京: 高等教育出版社, 2019.</w:t>
      </w:r>
    </w:p>
    <w:p>
      <w:pPr>
        <w:spacing w:after="120" w:line="300" w:lineRule="auto"/>
      </w:pPr>
      <w:r>
        <w:rPr>
          <w:rFonts w:ascii="Times New Roman" w:hAnsi="Times New Roman" w:eastAsia="黑体"/>
          <w:b/>
          <w:sz w:val="28"/>
        </w:rPr>
        <w:t>附录A 图表清单</w:t>
      </w:r>
    </w:p>
    <w:p>
      <w:pPr>
        <w:pStyle w:val="ListNumber"/>
        <w:spacing w:after="120" w:line="300" w:lineRule="auto"/>
      </w:pPr>
      <w:r>
        <w:t>图1 系统总体架构图</w:t>
      </w:r>
    </w:p>
    <w:p>
      <w:pPr>
        <w:pStyle w:val="ListNumber"/>
        <w:spacing w:after="120" w:line="300" w:lineRule="auto"/>
      </w:pPr>
      <w:r>
        <w:t>图2 交易与审核核心流程图</w:t>
      </w:r>
    </w:p>
    <w:p>
      <w:pPr>
        <w:pStyle w:val="ListNumber"/>
        <w:spacing w:after="120" w:line="300" w:lineRule="auto"/>
      </w:pPr>
      <w:r>
        <w:t>图3 数据库E-R概念图</w:t>
      </w:r>
    </w:p>
    <w:p>
      <w:pPr>
        <w:pStyle w:val="ListNumber"/>
        <w:spacing w:after="120" w:line="300" w:lineRule="auto"/>
      </w:pPr>
      <w:r>
        <w:t>图4 前台首页界面</w:t>
      </w:r>
    </w:p>
    <w:p>
      <w:pPr>
        <w:pStyle w:val="ListNumber"/>
        <w:spacing w:after="120" w:line="300" w:lineRule="auto"/>
      </w:pPr>
      <w:r>
        <w:t>图5 商品发布界面</w:t>
      </w:r>
    </w:p>
    <w:p>
      <w:pPr>
        <w:pStyle w:val="ListNumber"/>
        <w:spacing w:after="120" w:line="300" w:lineRule="auto"/>
      </w:pPr>
      <w:r>
        <w:t>图6 商品审核界面</w:t>
      </w:r>
    </w:p>
    <w:p>
      <w:pPr>
        <w:pStyle w:val="ListNumber"/>
        <w:spacing w:after="120" w:line="300" w:lineRule="auto"/>
      </w:pPr>
      <w:r>
        <w:t>图7 管理看板界面</w:t>
      </w:r>
    </w:p>
    <w:p>
      <w:pPr>
        <w:spacing w:after="120" w:line="300" w:lineRule="auto"/>
      </w:pPr>
      <w:r>
        <w:t>\* 基金项目: 本科毕业设计（校园二手交易平台方向）</w:t>
      </w:r>
    </w:p>
    <w:p>
      <w:pPr>
        <w:spacing w:after="120" w:line="300" w:lineRule="auto"/>
      </w:pPr>
      <w:r>
        <w:t>\* 收稿日期: 2026-02-28; 修改日期: 2026-02-28; 采用日期: 2026-02-28（课程论文阶段）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