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AC07" w14:textId="77777777" w:rsidR="001876C8" w:rsidRDefault="00000000">
      <w:pPr>
        <w:pStyle w:val="1"/>
      </w:pPr>
      <w:bookmarkStart w:id="0" w:name="header"/>
      <w:bookmarkStart w:id="1" w:name="X41dbcd5f40a580008e6f9999b522e1c4863cb3a"/>
      <w:bookmarkStart w:id="2" w:name="content"/>
      <w:bookmarkEnd w:id="0"/>
      <w:r>
        <w:t>Parcel-Level Farmland Classification via Deep Heterogeneous Feature Integration and Iterative Self-Optimization Mechanism</w:t>
      </w:r>
    </w:p>
    <w:p w14:paraId="748152F2" w14:textId="77777777" w:rsidR="001876C8" w:rsidRDefault="00000000">
      <w:pPr>
        <w:pStyle w:val="2"/>
      </w:pPr>
      <w:bookmarkStart w:id="3" w:name="abstract"/>
      <w:r>
        <w:t>Abstract</w:t>
      </w:r>
    </w:p>
    <w:p w14:paraId="2057F5EB" w14:textId="77777777" w:rsidR="001876C8" w:rsidRDefault="00000000">
      <w:pPr>
        <w:pStyle w:val="FirstParagraph"/>
      </w:pPr>
      <w:r>
        <w:t xml:space="preserve">Precision agriculture demands accurate mapping of crop types at the parcel level, yet traditional pixel-based classification often yields noisy, fragmented results. This paper proposes an end-to-end parcel-level farmland classification method called </w:t>
      </w:r>
      <w:r>
        <w:rPr>
          <w:b/>
          <w:bCs/>
        </w:rPr>
        <w:t>DHF-ISO</w:t>
      </w:r>
      <w:r>
        <w:t xml:space="preserve"> (Deep Heterogeneous Feature Integration and Iterative Self-Optimization), which addresses three core challenges in remote sensing crop mapping: (1) salt-and-pepper noise and spectral variability within fields, (2) fuzzy field boundaries and shape imprecision, and (3) fusion of heterogeneous data (multispectral optical, SAR, and expert features) with differing physical properties. The proposed framework comprises three synergistic modules: </w:t>
      </w:r>
      <w:r>
        <w:rPr>
          <w:b/>
          <w:bCs/>
        </w:rPr>
        <w:t>Deep Heterogeneous Feature Mining</w:t>
      </w:r>
      <w:r>
        <w:t xml:space="preserve">, which uses a dual-stream Swin Transformer and CNN backbone to extract rich spectral, textural, phenological, and geometric features from Sentinel-2 optical and Sentinel-1 SAR data; </w:t>
      </w:r>
      <w:r>
        <w:rPr>
          <w:b/>
          <w:bCs/>
        </w:rPr>
        <w:t>Pixel–Parcel Relation Modeling</w:t>
      </w:r>
      <w:r>
        <w:t xml:space="preserve">, which constructs a superpixel graph and applies a Graph Attention Network (GAT) to capture topological relationships between pixels and parcels, yielding meta-features such as entropy maps and class-boundary gradients; and </w:t>
      </w:r>
      <w:r>
        <w:rPr>
          <w:b/>
          <w:bCs/>
        </w:rPr>
        <w:t>Iterative Self-Optimizing Contour Extraction</w:t>
      </w:r>
      <w:r>
        <w:t>, which feeds multi-class probability maps into a differentiable active contour (Snake) model to iteratively refine parcel boundaries in tandem with classification. We present advanced mathematical formulations for each module, including the fusion mechanism, graph-based label propagation, active contour energy functional derivations, and a compound loss function for end-to-end training. We prove that the entire framework is fully differentiable (including the unrolled snake optimization), and we provide theoretical analysis of the convergence of the iterative contour refinement process under reasonable assumptions. A multi-temporal synthetic dataset (10 m resolution) with corn, wheat, and non-cultivated fields is generated to rigorously evaluate the method. Comprehensive experiments – including ablation studies and comparisons with U-Net, Mask2Former, and object-based image analysis (OBIA) baselines – demonstrate that DHF-ISO achieves superior overall accuracy, Kappa, and IoU, and significantly sharper parcel boundaries (improving boundary F1-score and reducing PoLiS error) than competing approaches. The proposed method innovatively couples semantic segmentation with instance-level contour evolution, achieving an unprecedented integration of pixel-level classification and parcel-level delineation. All components are implemented in Python, and we provide complete code (data generation, model definition, training/inference, and evaluation) to ensure reproducibility and facilitate adoption in both research and operational settings.</w:t>
      </w:r>
    </w:p>
    <w:p w14:paraId="6981F057" w14:textId="77777777" w:rsidR="001876C8" w:rsidRDefault="00000000">
      <w:pPr>
        <w:pStyle w:val="2"/>
      </w:pPr>
      <w:bookmarkStart w:id="4" w:name="introduction"/>
      <w:bookmarkEnd w:id="3"/>
      <w:r>
        <w:lastRenderedPageBreak/>
        <w:t>1. Introduction</w:t>
      </w:r>
    </w:p>
    <w:p w14:paraId="38EE2DBF" w14:textId="77777777" w:rsidR="001876C8" w:rsidRDefault="00000000">
      <w:pPr>
        <w:pStyle w:val="FirstParagraph"/>
      </w:pPr>
      <w:r>
        <w:t>Accurate parcel-level crop classification from remote sensing images is a fundamental requirement for modern agriculture, supporting yield estimation, subsidy allocation, and precision farm management. Unlike pixel-wise land cover maps, agricultural stakeholders require delineation of entire fields as coherent units with homogeneous crop labels. However, traditional pixel-based classification often produces a “salt-and-pepper” effect – a speckled map with misclassified isolated pixels within fields. This noise arises from intra-field spectral variability and sensor noise, especially pronounced with Synthetic Aperture Radar (SAR) imagery. For example, Sentinel-1 SAR data are notorious for strong speckle, causing severe classification noise unless post-processed. Such fragmented outputs conflict with agronomic reality and operational needs, where each field should correspond to one crop type with clear boundaries (Blaschke, 2010; Choukri et al., 2024). Object-based image analysis (OBIA) was developed to mitigate these issues by clustering pixels into segments (objects) prior to classification. OBIA assigns uniform labels to segmented regions, greatly reducing salt-and-pepper noise (Blaschke, 2010; Yu et al., 2006). Indeed, object-based methods can effectively reduce the salt-and-pepper phenomenon and improve crop classification accuracy, producing cleaner parcel maps with more complete boundary information than pixel-wise approaches (Immitzer et al., 2016; Schuster et al., 2015). Nevertheless, conventional OBIA relies on hand-crafted segmentation parameters and a static two-step process (“segment-then-classify”) that may not generalize well in complex agricultural landscapes with irregular small fields or heavy cloud cover (Blaschke et al., 2014). Furthermore, simply overlaying predefined parcel boundaries on a pixel classification (e.g., via zonal majority voting) fails when accurate vector boundaries are unavailable or when crop heterogeneity exists. In essence, existing methods often treat boundary delineation and crop classification as disjoint tasks, lacking deep information exchange between the two.</w:t>
      </w:r>
    </w:p>
    <w:p w14:paraId="245DC0B2" w14:textId="77777777" w:rsidR="001876C8" w:rsidRDefault="00000000">
      <w:pPr>
        <w:pStyle w:val="a0"/>
      </w:pPr>
      <w:r>
        <w:t xml:space="preserve">Meanwhile, the diversity of remote sensing data has expanded. Multispectral optical imagery (e.g., Sentinel-2) provides rich spectral and phenological information but is affected by clouds, whereas SAR (e.g., Sentinel-1) offers all-weather imaging sensitive to crop structure but suffers from speckle noise. Domain-expert features such as texture measures (e.g., GLCM) and vegetation indices (e.g., NDVI time series) encode valuable high-frequency or temporal patterns that purely learned features might miss. Effective integration of such heterogeneous features is challenging due to the “semantic gap” between modalities. Simple early fusion by channel-stacking optical reflectance with SAR backscatter can lead to poorly convergent models, as the data differ in physical units and statistical distributions. Nonetheless, combining complementary optical and radar information has proven beneficial for crop classification – studies show that using both sensors improves accuracy compared to single-sensor approaches (Choukri et al., 2024; Forkuor et al., 2018; Bargiel, 2017). For instance, adding </w:t>
      </w:r>
      <w:r>
        <w:lastRenderedPageBreak/>
        <w:t>textural layers derived from SAR can boost crop mapping accuracy by over 10% (Schuster et al., 2015; Choukri et al., 2024). The key is to design a fusion mechanism that weights each modality’s contributions adaptively, avoiding one modality swamping the other. This remains a major challenge in multi-modal remote sensing analysis (Bargiel, 2017; Choukri et al., 2024).</w:t>
      </w:r>
    </w:p>
    <w:p w14:paraId="3BB62B01" w14:textId="77777777" w:rsidR="001876C8" w:rsidRDefault="00000000">
      <w:pPr>
        <w:pStyle w:val="a0"/>
      </w:pPr>
      <w:r>
        <w:t>A second challenge is modeling the spatial–contextual relationships between pixels and the larger parcel objects to which they belong. Under a purely pixel-wise CNN classification, each pixel is treated independently, ignoring the fact that neighboring pixels within a field tend to share the same crop and feature distribution. Ideally, information should propagate within a parcel to enforce label consistency, while stopping at field boundaries where class changes occur. Graph Neural Networks (GNNs) offer a promising framework to incorporate such non-Euclidean relationships by representing image regions as graph nodes and learning their interactions. Recent work has applied GNNs on superpixels or image patches to refine semantic segmentation in aerial images. For example, Diao et al. (2022) construct a superpixel graph and use an attention-based GNN to improve segmentation of high-resolution aerial scenes. The superpixels (graph nodes) preserve object boundaries and allow the GNN to filter out isolated misclassified pixels, producing smoother class regions. This hybrid CNN–GNN approach leverages the strengths of both: CNNs extract rich appearance features, while the GNN propagates spatial context, yielding more coherent results. However, prior GNN segmentation efforts have largely operated at a single level (e.g., superpixel-level classification) and do not explicitly model multi-scale relations from pixel to superpixel to parcel. There is a need for a dynamic graph that can capture hierarchical relationships – ensuring intra-parcel consistency and inter-parcel separation – as part of an end-to-end learnable system (Zhao et al., 2021; Diao et al., 2022). Furthermore, GNN-based smoothing can be viewed as a trainable analog of classical spatial regularization approaches (e.g., Markov Random Fields or Conditional Random Fields) that enforce label continuity, but integrated seamlessly with deep features (Zheng et al., 2015). By learning attention weights between adjacent regions, a GAT can differentially weigh information from same-field neighbors versus different-field neighbors, effectively learning to “stop” feature diffusion at true boundaries (Velicković et al., 2018; Diao et al., 2022). This introduces a form of learned spatial regularization akin to a trainable CRF on superpixels, which we exploit in our approach.</w:t>
      </w:r>
    </w:p>
    <w:p w14:paraId="569CA3FF" w14:textId="77777777" w:rsidR="001876C8" w:rsidRDefault="00000000">
      <w:pPr>
        <w:pStyle w:val="a0"/>
      </w:pPr>
      <w:r>
        <w:t xml:space="preserve">A third challenge lies in delineating precise field boundaries. Even after enforcing parcel-level consistency, the exact contour of each field may remain fuzzy or misaligned with true borders due to limited resolution or subtle spectral differences at edges. Traditional active contour models (snakes) have long been used for boundary refinement in image segmentation (Kass et al., 1988; Chan &amp; Vese, 2001). Snakes iteratively deform a curve to minimize an energy functional balancing internal smoothness and external image-based forces, thereby “locking onto” object edges. Integrating a multi-class probability output from a deep network with </w:t>
      </w:r>
      <w:r>
        <w:lastRenderedPageBreak/>
        <w:t>an active contour mechanism in a unified framework, however, remains an open problem. Specifically, how can we convert the network’s classification confidence maps – effectively a set of meta-features like class probability, uncertainty (entropy), and boundary gradient – into an external energy that drives a contour to snap to the true parcel edges? And how do we allow this process to iterate such that the improved contour feedback can in turn update the classification, achieving a synergy akin to how a human analyst might iteratively refine a field boundary and class label? In recent years, researchers have developed differentiable active contour models that incorporate trainable energy terms or use neural networks to predict contour evolution, enabling end-to-end training. For instance, trainable snake models have been applied to building footprint extraction, significantly improving the alignment of predicted boundaries (Marcos et al., 2018; Hatamizadeh et al., 2019). Deep learning approaches such as Deep Snake (Peng et al., 2020) demonstrate that combining classic contour models with neural networks can yield real-time instance segmentation with high accuracy by iteratively deforming an initial contour to object boundaries. These successes inspire our approach to make the snake component fully learnable and integrated with the classification network.</w:t>
      </w:r>
    </w:p>
    <w:p w14:paraId="524C5749" w14:textId="77777777" w:rsidR="001876C8" w:rsidRDefault="00000000">
      <w:pPr>
        <w:pStyle w:val="a0"/>
      </w:pPr>
      <w:r>
        <w:t xml:space="preserve">In summary, there is a pressing need for a holistic approach that </w:t>
      </w:r>
      <w:r>
        <w:rPr>
          <w:b/>
          <w:bCs/>
        </w:rPr>
        <w:t>deeply couples pixel-level semantic feature extraction with parcel-level geometric delineation in an end-to-end trainable manner</w:t>
      </w:r>
      <w:r>
        <w:t xml:space="preserve">. This paper proposes </w:t>
      </w:r>
      <w:r>
        <w:rPr>
          <w:b/>
          <w:bCs/>
        </w:rPr>
        <w:t>DHF-ISO</w:t>
      </w:r>
      <w:r>
        <w:t>, a Deep Heterogeneous Feature Integration and Iterative Self-Optimization framework, to tackle these challenges. The key contributions of our work are as follows:</w:t>
      </w:r>
    </w:p>
    <w:p w14:paraId="55BD69B4" w14:textId="77777777" w:rsidR="001876C8" w:rsidRDefault="00000000">
      <w:pPr>
        <w:numPr>
          <w:ilvl w:val="0"/>
          <w:numId w:val="2"/>
        </w:numPr>
      </w:pPr>
      <w:r>
        <w:rPr>
          <w:b/>
          <w:bCs/>
        </w:rPr>
        <w:t>Deep Heterogeneous Feature Integration:</w:t>
      </w:r>
      <w:r>
        <w:t xml:space="preserve"> We design an asymmetric dual-stream architecture to fuse multispectral optical data, SAR data, and handcrafted features (texture and phenology indices) in a unified latent space. A Swin Transformer extracts multi-scale spectral–temporal features from Sentinel-2 imagery (Liu et al., 2021), while a ResNet-based CNN learns spatial textures from Sentinel-1 SAR (He et al., 2016); these are combined with expert features (e.g., NDVI time-series metrics, GLCM texture) through learnable fusion layers. This mechanism bridges the modality gap with adaptive weighting, rather than naive feature concatenation, leading to a robust joint feature representation for crops (Forkuor et al., 2018; Choukri et al., 2024).</w:t>
      </w:r>
    </w:p>
    <w:p w14:paraId="5E8D0497" w14:textId="77777777" w:rsidR="001876C8" w:rsidRDefault="00000000">
      <w:pPr>
        <w:numPr>
          <w:ilvl w:val="0"/>
          <w:numId w:val="2"/>
        </w:numPr>
      </w:pPr>
      <w:r>
        <w:rPr>
          <w:b/>
          <w:bCs/>
        </w:rPr>
        <w:t>Pixel–Parcel Relational Modeling with GNN:</w:t>
      </w:r>
      <w:r>
        <w:t xml:space="preserve"> We construct a graph over image superpixels to explicitly model pixel-to-parcel relations. Nodes represent superpixels (local homogeneous regions), and graph edges connect neighboring superpixels, effectively approximating the field adjacency structure. A Graph Attention Network (GAT) operates on this graph, propagating information between superpixels (Velicković et al., 2018). This encourages uniform predictions within each field and sharp transitions at field edges. By incorporating an attention mechanism, the GAT differentially weighs information from same-class neighbors versus </w:t>
      </w:r>
      <w:r>
        <w:lastRenderedPageBreak/>
        <w:t>different-class neighbors, thereby blocking feature diffusion across true boundaries while smoothing within parcels (Diao et al., 2022). The GAT outputs updated class probabilities for each superpixel, which we upscale to pixel resolution to form multi-class meta-feature maps – including an entropy map highlighting uncertain regions, a temporal stability map indicating per-pixel consistency over time, and an inter-class gradient map emphasizing likely boundary locations.</w:t>
      </w:r>
    </w:p>
    <w:p w14:paraId="62F60BC4" w14:textId="77777777" w:rsidR="001876C8" w:rsidRDefault="00000000">
      <w:pPr>
        <w:numPr>
          <w:ilvl w:val="0"/>
          <w:numId w:val="2"/>
        </w:numPr>
      </w:pPr>
      <w:r>
        <w:rPr>
          <w:b/>
          <w:bCs/>
        </w:rPr>
        <w:t>Iterative Self-Optimizing Contour Extraction:</w:t>
      </w:r>
      <w:r>
        <w:t xml:space="preserve"> We introduce a differentiable Snake module that takes the meta-feature maps and iteratively refines the parcel boundaries. The initial contour for each field is derived from the GNN’s output (e.g., via superpixel agglomeration or an initial segmentation mask). The Snake network treats the negative class probability gradients and high-entropy regions as an external energy field, pulling the contour towards areas of high class uncertainty or mixed pixels (likely true boundaries). Internal energy terms maintain smoothness and enforce reasonable shape regularization. Crucially, this contour refinement is fully differentiable and integrated into the training loop, so that improvements in boundary alignment feed back to adjust the feature extractor and classifier weights. We employ an iterative optimization strategy: the contour evolves in small steps and after each iteration, the refined field mask is used to update the classification (e.g., by recomputing superpixel labels or applying the new mask to suppress spurious pixels), and the process repeats.</w:t>
      </w:r>
    </w:p>
    <w:p w14:paraId="142E4229" w14:textId="77777777" w:rsidR="001876C8" w:rsidRDefault="00000000">
      <w:pPr>
        <w:pStyle w:val="FirstParagraph"/>
      </w:pPr>
      <w:r>
        <w:t>Through these contributions, our method innovatively couples semantic segmentation with instance-level contour evolution, achieving an unprecedented integration of pixel-level classification and parcel-level delineation. The entire pipeline is trained end-to-end so that each module’s output progressively informs the others, achieving a joint optimization of classification and segmentation. We next describe the methodology in detail, then present experimental results and analyses.</w:t>
      </w:r>
    </w:p>
    <w:p w14:paraId="4DACDE35" w14:textId="77777777" w:rsidR="001876C8" w:rsidRDefault="00000000">
      <w:pPr>
        <w:pStyle w:val="2"/>
      </w:pPr>
      <w:bookmarkStart w:id="5" w:name="methodology"/>
      <w:bookmarkEnd w:id="4"/>
      <w:r>
        <w:t>2. Methodology</w:t>
      </w:r>
    </w:p>
    <w:p w14:paraId="7BD583BF" w14:textId="77777777" w:rsidR="001876C8" w:rsidRDefault="00000000">
      <w:pPr>
        <w:pStyle w:val="FirstParagraph"/>
      </w:pPr>
      <w:r>
        <w:rPr>
          <w:b/>
          <w:bCs/>
        </w:rPr>
        <w:t>Overview.</w:t>
      </w:r>
      <w:r>
        <w:t xml:space="preserve"> The architecture of </w:t>
      </w:r>
      <w:r>
        <w:rPr>
          <w:b/>
          <w:bCs/>
        </w:rPr>
        <w:t>DHF-ISO</w:t>
      </w:r>
      <w:r>
        <w:t xml:space="preserve"> is illustrated in Figure 1. It consists of three cascaded modules: (1) Deep Heterogeneous Feature Mining (DHFM), (2) Pixel–Parcel Relation Modeling &amp; Meta-Feature Generation, and (3) Iterative Self-Optimizing Parcel Extraction. The input includes both optical and SAR image time series, along with derived handcrafted features. Module 1 produces deep feature maps by fusing heterogeneous inputs. Module 2 builds a superpixel graph from these features to infer parcel-consistent class predictions and outputs meta-feature maps (entropy, stability, gradient). Module 3 uses these maps in a differentiable active contour model to refine field boundaries and update the classification. The entire pipeline is trained end-to-end so that each module’s </w:t>
      </w:r>
      <w:r>
        <w:lastRenderedPageBreak/>
        <w:t>output progressively informs the others, achieving a joint optimization of classification and segmentation.</w:t>
      </w:r>
    </w:p>
    <w:p w14:paraId="492C3730" w14:textId="77777777" w:rsidR="001876C8" w:rsidRDefault="00000000">
      <w:pPr>
        <w:pStyle w:val="a0"/>
      </w:pPr>
      <w:r>
        <w:rPr>
          <w:i/>
          <w:iCs/>
        </w:rPr>
        <w:t>Figure 1.</w:t>
      </w:r>
      <w:r>
        <w:t xml:space="preserve"> </w:t>
      </w:r>
      <w:r>
        <w:rPr>
          <w:i/>
          <w:iCs/>
        </w:rPr>
        <w:t>Schematic of the proposed DHF-ISO model architecture. Multispectral optical (Sentinel-2) images and SAR (Sentinel-1) images are processed in dual feature extractor streams (Transformer for optical, CNN for SAR), alongside domain-expert inputs (e.g., NDVI time series, GLCM texture). A feature fusion module combines these heterogeneous features into a unified representation. A superpixel graph is then constructed and processed by a Graph Attention Network (GAT) to enforce parcel-level consistency, producing refined class probabilities and meta-feature maps (e.g., entropy). Finally, an active contour (Snake) module iteratively refines the parcel boundaries using the meta-features as an external energy, yielding a crisp parcel map output. Arrows indicate the flow of information; the GAT-to-snake arrow is annotated with the meta-features passed to the snake.</w:t>
      </w:r>
    </w:p>
    <w:p w14:paraId="404E0F91" w14:textId="77777777" w:rsidR="001876C8" w:rsidRDefault="00000000">
      <w:pPr>
        <w:pStyle w:val="3"/>
      </w:pPr>
      <w:bookmarkStart w:id="6" w:name="deep-heterogeneous-feature-mining"/>
      <w:r>
        <w:t>2.1 Deep Heterogeneous Feature Mining</w:t>
      </w:r>
    </w:p>
    <w:p w14:paraId="0DB8136F" w14:textId="77777777" w:rsidR="001876C8" w:rsidRDefault="00000000">
      <w:pPr>
        <w:pStyle w:val="FirstParagraph"/>
      </w:pPr>
      <w:r>
        <w:rPr>
          <w:b/>
          <w:bCs/>
        </w:rPr>
        <w:t>Data Inputs and Preprocessing:</w:t>
      </w:r>
      <w:r>
        <w:t xml:space="preserve"> We utilize Sentinel-2 optical imagery and Sentinel-1 SAR data as primary inputs, as they offer complementary information for crop discrimination. The Sentinel-2 data (10 m resolution, 13 bands) provide multispectral features including visible, near-infrared, and red-edge bands, which capture crop reflectance and vegetation indices. We build a multi-temporal stack (time series) of Sentinel-2 images over the growing season. Prior to ingestion, standard preprocessing is applied: atmospheric correction (e.g., Sen2Cor) to convert imagery to surface reflectance, cloud masking (using Sentinel-2 QA60 band or a cloud probability algorithm), and temporal interpolation to fill missing observations during cloudy periods. For Sentinel-1, we use dual-polarization (VV and VH) backscatter time series. We process the SAR data with orbit correction, thermal noise removal, radiometric calibration to sigma-nought, terrain correction to the same 10 m grid as Sentinel-2, and apply speckle filtering (e.g., 5×5 Refined Lee filter) to reduce noise. The SAR time series is co-registered to the optical data. We also derive handcrafted features that have proven useful in crop mapping: e.g., NDVI and other vegetation indices computed from the optical data at each date (Massey et al., 2017), as well as texture measures (GLCM contrast, entropy, etc.) computed from SAR intensity images (Bargiel, 2017). Each feature is normalized (z-score per band or feature) and stacked for input.</w:t>
      </w:r>
    </w:p>
    <w:p w14:paraId="69CE300F" w14:textId="77777777" w:rsidR="001876C8" w:rsidRDefault="00000000">
      <w:pPr>
        <w:pStyle w:val="a0"/>
      </w:pPr>
      <w:r>
        <w:rPr>
          <w:b/>
          <w:bCs/>
        </w:rPr>
        <w:t>Dual-Stream Feature Extraction:</w:t>
      </w:r>
      <w:r>
        <w:t xml:space="preserve"> To handle the distinct natures of optical and SAR data, we employ separate feature extractor branches. The optical branch uses a Swin Transformer backbone (Liu et al., 2021) tailored for multispectral temporal data. The Swin Transformer operates on patch embeddings of the multi-date optical images, capturing long-range contextual information and multi-scale spectral–temporal patterns. Its hierarchical self-attention mechanism allows learning of phenological dynamics (e.g., crop growth stages) that distinguish crop types. In parallel, the SAR branch uses a CNN (ResNet-50) to extract spatial texture features </w:t>
      </w:r>
      <w:r>
        <w:lastRenderedPageBreak/>
        <w:t>from the SAR time series. The SAR input can be treated akin to multi-channel images (with channels being VV/VH at different dates); the ResNet learns filters that detect backscatter texture, temporal changes, and statistical properties correlated with crop structure (e.g., roughness, moisture). We also append the handcrafted feature maps (resampled to the same resolution) as additional channels concatenated at an intermediate fusion layer.</w:t>
      </w:r>
    </w:p>
    <w:p w14:paraId="2616AC22" w14:textId="77777777" w:rsidR="001876C8" w:rsidRDefault="00000000">
      <w:pPr>
        <w:pStyle w:val="a0"/>
      </w:pPr>
      <w:r>
        <w:t xml:space="preserve">After obtaining deep features from each modality, a learnable </w:t>
      </w:r>
      <w:r>
        <w:rPr>
          <w:b/>
          <w:bCs/>
        </w:rPr>
        <w:t>feature fusion</w:t>
      </w:r>
      <w:r>
        <w:t xml:space="preserve"> module combines these heterogeneous features into a joint representation. Let $X_{\text{opt}}(x)$ denote the multi-temporal optical data at pixel location $x$ (with $x$ indexing spatial coordinates in the image), and $X_{\text{sar}}(x)$ the corresponding SAR data. The Transformer and CNN backbones can be abstractly represented as feature extractors $f_{\text{opt}}$ and $f_{\text{sar}}$ such that:</w:t>
      </w:r>
    </w:p>
    <w:p w14:paraId="4ED6516B" w14:textId="77777777" w:rsidR="001876C8" w:rsidRDefault="00000000">
      <w:pPr>
        <w:pStyle w:val="Compact"/>
        <w:numPr>
          <w:ilvl w:val="0"/>
          <w:numId w:val="3"/>
        </w:numPr>
      </w:pPr>
      <w:r>
        <w:t>$F_{\text{opt}}(x) = f_{\text{opt}}\big(X_{\text{opt}}\big)(x) \in \mathbb{R}^{d_{\text{opt}}}$, the optical-stream deep feature vector at $x$,</w:t>
      </w:r>
    </w:p>
    <w:p w14:paraId="0EFE5123" w14:textId="77777777" w:rsidR="001876C8" w:rsidRDefault="00000000">
      <w:pPr>
        <w:pStyle w:val="Compact"/>
        <w:numPr>
          <w:ilvl w:val="0"/>
          <w:numId w:val="3"/>
        </w:numPr>
      </w:pPr>
      <w:r>
        <w:t>$F_{\text{sar}}(x) = f_{\text{sar}}\big(X_{\text{sar}}\big)(x) \in \mathbb{R}^{d_{\text{sar}}}$, the SAR-stream feature vector.</w:t>
      </w:r>
    </w:p>
    <w:p w14:paraId="4D7B6855" w14:textId="77777777" w:rsidR="001876C8" w:rsidRDefault="00000000">
      <w:pPr>
        <w:pStyle w:val="FirstParagraph"/>
      </w:pPr>
      <w:r>
        <w:t>Let $X_{\text{exp}}(x) \in \mathbb{R}^{d_{\text{exp}}}$ represent the vector of handcrafted (expert) features at $x$ (such as NDVI values or texture metrics). We then perform feature fusion via a small neural network (implemented as a series of $1\times1$ convolutions or a multilayer perceptron) that takes the concatenation of all modalities and produces a unified feature vector $F(x) \in \mathbb{R}^{d}$. We can denote this fusion operation as:</w:t>
      </w:r>
    </w:p>
    <w:p w14:paraId="125E5CB3" w14:textId="77777777" w:rsidR="001876C8" w:rsidRDefault="00000000">
      <w:pPr>
        <w:pStyle w:val="a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opt</m:t>
                  </m:r>
                </m:sub>
              </m:sSub>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sar</m:t>
                  </m:r>
                </m:sub>
              </m:sSub>
              <m:d>
                <m:dPr>
                  <m:ctrlPr>
                    <w:rPr>
                      <w:rFonts w:ascii="Cambria Math" w:hAnsi="Cambria Math"/>
                    </w:rPr>
                  </m:ctrlPr>
                </m:dPr>
                <m:e>
                  <m:r>
                    <w:rPr>
                      <w:rFonts w:ascii="Cambria Math" w:hAnsi="Cambria Math"/>
                    </w:rPr>
                    <m:t>x</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m:rPr>
                      <m:nor/>
                    </m:rPr>
                    <m:t>exp</m:t>
                  </m:r>
                </m:sub>
              </m:sSub>
              <m:d>
                <m:dPr>
                  <m:ctrlPr>
                    <w:rPr>
                      <w:rFonts w:ascii="Cambria Math" w:hAnsi="Cambria Math"/>
                    </w:rPr>
                  </m:ctrlPr>
                </m:dPr>
                <m:e>
                  <m:r>
                    <w:rPr>
                      <w:rFonts w:ascii="Cambria Math" w:hAnsi="Cambria Math"/>
                    </w:rPr>
                    <m:t>x</m:t>
                  </m:r>
                </m:e>
              </m:d>
            </m:e>
          </m:d>
          <m:r>
            <m:rPr>
              <m:sty m:val="p"/>
            </m:rPr>
            <w:rPr>
              <w:rFonts w:ascii="Cambria Math" w:hAnsi="Cambria Math"/>
            </w:rPr>
            <m:t>,</m:t>
          </m:r>
        </m:oMath>
      </m:oMathPara>
    </w:p>
    <w:p w14:paraId="4916EE02" w14:textId="77777777" w:rsidR="001876C8" w:rsidRDefault="00000000">
      <w:pPr>
        <w:pStyle w:val="FirstParagraph"/>
      </w:pPr>
      <w:r>
        <w:t>where $\Vert$ indicates concatenation and $\phi(\cdot)$ is a learnable function (with trainable parameters) that outputs a $d$-dimensional feature. In practice, $\phi$ may be implemented by a layer (or series of layers) that linearly combines the modality-specific features with adaptive weights. For example, one could use a single fully-connected layer: $F(x) = \sigma!\Big(W_{\text{fus}}\big[ F_{\text{opt}}(x) ; F_{\text{sar}}(x); X_{\text{exp}}(x)\big] + b\Big)$, where $[\,;\,]$ is concatenation, $W_{\text{fus}}$ and $b$ are learnable weights, and $\sigma$ is a non-linear activation. This mechanism allows the network to modulate contributions from each modality for each pixel. For instance, if an optical pixel is cloud-covered (low confidence in $X_{\text{opt}}$), the fusion layer can learn to rely more on SAR features for that pixel, whereas in clear-sky regions it may weight optical data more. By training end-to-end, the fusion module can attenuate modality-specific noise (e.g., SAR speckle) and amplify complementary signals (Choukri et al., 2024). The output of Module 1 is a set of deep fused feature maps $F = {F(x) : x \in \text{Image}}$ capturing spectral, temporal, and textural information for each pixel.</w:t>
      </w:r>
    </w:p>
    <w:p w14:paraId="0FB5984C" w14:textId="77777777" w:rsidR="001876C8" w:rsidRDefault="00000000">
      <w:pPr>
        <w:pStyle w:val="a0"/>
      </w:pPr>
      <w:r>
        <w:lastRenderedPageBreak/>
        <w:t>These fused features are then passed to a classifier to produce initial class logits or probabilities. In our implementation, we append a $1\times1$ convolution layer (or equivalently a pixel-wise MLP) on $F(x)$ to predict class scores for each pixel, yielding an initial pixel-wise class probability distribution $P(x) = \big(p_1(x), p_2(x), ..., p_C(x)\big)$ over the $C$ crop classes (via softmax). This initial segmentation will be further refined by the subsequent modules but provides a starting point for graph-based smoothing.</w:t>
      </w:r>
    </w:p>
    <w:p w14:paraId="44A05FB8" w14:textId="77777777" w:rsidR="001876C8" w:rsidRDefault="00000000">
      <w:pPr>
        <w:pStyle w:val="3"/>
      </w:pPr>
      <w:bookmarkStart w:id="7" w:name="X39c05171ceb4123bf5f32a2777705f8cab1f145"/>
      <w:bookmarkEnd w:id="6"/>
      <w:r>
        <w:t>2.2 Pixel–Parcel Relation Modeling &amp; Meta-Feature Generation</w:t>
      </w:r>
    </w:p>
    <w:p w14:paraId="5784F3F4" w14:textId="77777777" w:rsidR="001876C8" w:rsidRDefault="00000000">
      <w:pPr>
        <w:pStyle w:val="FirstParagraph"/>
      </w:pPr>
      <w:r>
        <w:rPr>
          <w:b/>
          <w:bCs/>
        </w:rPr>
        <w:t>Superpixel Graph Construction:</w:t>
      </w:r>
      <w:r>
        <w:t xml:space="preserve"> Rather than operate purely on individual pixels, which can be noisy, we leverage superpixels to introduce an object-based relational structure. The deep feature map $F$ is first over-segmented into superpixels – contiguous regions of pixels with similar spectral–textural properties. We use the Simple Linear Iterative Clustering (SLIC) algorithm to generate superpixels, with parameters tuned such that superpixels are smaller than actual fields (on average we use ~100 pixels per superpixel). This ensures that each field (agricultural parcel) is composed of multiple superpixels, allowing the graph to model intra-field relations while roughly aligning superpixel boundaries to potential field edges (Diao et al., 2022). Each superpixel $s_i$ is represented as a graph node in a graph $G = (V, E)$. We connect nodes with graph edges if their corresponding superpixels are adjacent in the image (i.e., they share a boundary). The resulting graph reflects the topology of the scene: an edge $e_{ij} \in E$ indicates superpixels $s_i$ and $s_j$ touch in the image, hence are likely to belong to the same or neighboring fields.</w:t>
      </w:r>
    </w:p>
    <w:p w14:paraId="228FB6E0" w14:textId="77777777" w:rsidR="001876C8" w:rsidRDefault="00000000">
      <w:pPr>
        <w:pStyle w:val="a0"/>
      </w:pPr>
      <w:r>
        <w:t>Formally, let $V = {s_1, s_2, ..., s_N}$ be the set of superpixel nodes (with $N$ superpixels in the image). We define adjacency based on spatial neighbors: $j \in \mathcal{N}(i)$ if superpixel $s_j$ borders $s_i$. The initial feature for node $s_i$, denoted $\mathbf{h}_i^{(0)}$, is obtained by pooling the deep pixel features $F$ within that superpixel. For example, one can take the mean feature vector in $F$ over all pixels $x \in s_i$, and optionally concatenate other attributes (such as the superpixel’s area or the initial class probability distribution from Module 1). In our case, we found it useful to include a summary of the initial class prediction for each superpixel as well. Specifically, we compute the average class probabilities in that superpixel to form an initial class score vector $\mathbf{p}_i^{(0)}$. If a hard initial label is desired, one could take the argmax of $P(x)$ within the superpixel and one-hot encode it, but we keep the probabilistic vector for richer information. We then define the node feature as $\mathbf{h}_i^{(0)} = [\;\overline{F}(s_i)\,;\,\mathbf{p}_i^{(0)}\;]$, the concatenation of the mean deep feature and the initial class probability vector for superpixel $i$. This $\mathbf{h}_i^{(0)} \in \mathbb{R}^{d + C}$ serves as the input node embedding for the graph network.</w:t>
      </w:r>
    </w:p>
    <w:p w14:paraId="7E67840A" w14:textId="77777777" w:rsidR="001876C8" w:rsidRDefault="00000000">
      <w:pPr>
        <w:pStyle w:val="a0"/>
      </w:pPr>
      <w:r>
        <w:rPr>
          <w:b/>
          <w:bCs/>
        </w:rPr>
        <w:lastRenderedPageBreak/>
        <w:t>Graph Attention Network (GAT):</w:t>
      </w:r>
      <w:r>
        <w:t xml:space="preserve"> We employ a GAT to propagate information on this superpixel graph (Velicković et al., 2018). The GAT performs message passing over the graph such that each node updates its feature by attending to its neighbors. We stack multiple GAT layers to allow information to travel further (beyond immediate neighbors) and thus capture parcel-level consistency across many superpixels.</w:t>
      </w:r>
    </w:p>
    <w:p w14:paraId="64417D93" w14:textId="77777777" w:rsidR="001876C8" w:rsidRDefault="00000000">
      <w:pPr>
        <w:pStyle w:val="a0"/>
      </w:pPr>
      <w:r>
        <w:t>On a single GAT layer, each node $i$ aggregates messages from its neighbors $j \in \mathcal{N}(i)$. The key innovation of GAT is to learn attention weights for each neighbor pair $(i,j)$, so that the influence of neighbor $j$ on $i$ is data-dependent. Let $\mathbf{h}</w:t>
      </w:r>
      <w:r>
        <w:rPr>
          <w:i/>
          <w:iCs/>
        </w:rPr>
        <w:t>i^{(l)}$ be the feature vector of node $i$ at layer $l$. A standard GAT update can be described as follows (assuming a single attention head for simplicity): first, a shared linear transformation is applied to the features, $\mathbf{z}_i^{(l)} = W^{(l)} \mathbf{h}_i^{(l)}$, where $W^{(l)}$ is a weight matrix. Then, for each edge $(i,j)$, a scalar attention score $e</w:t>
      </w:r>
      <w:r>
        <w:t>$ that takes the transformed features of the two nodes: }^{(l)}$ is computed using a learned attention mechanism $a^{(l)</w:t>
      </w:r>
    </w:p>
    <w:p w14:paraId="3F7B59AD" w14:textId="77777777" w:rsidR="001876C8"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ij</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r>
            <m:rPr>
              <m:nor/>
            </m:rPr>
            <m:t>LeakyReLU</m:t>
          </m:r>
          <m: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a</m:t>
                  </m:r>
                </m:e>
                <m:sup>
                  <m:d>
                    <m:dPr>
                      <m:ctrlPr>
                        <w:rPr>
                          <w:rFonts w:ascii="Cambria Math" w:hAnsi="Cambria Math"/>
                        </w:rPr>
                      </m:ctrlPr>
                    </m:dPr>
                    <m:e>
                      <m:r>
                        <w:rPr>
                          <w:rFonts w:ascii="Cambria Math" w:hAnsi="Cambria Math"/>
                        </w:rPr>
                        <m:t>l</m:t>
                      </m:r>
                    </m:e>
                  </m:d>
                  <m:r>
                    <w:rPr>
                      <w:rFonts w:ascii="Cambria Math" w:hAnsi="Cambria Math"/>
                    </w:rPr>
                    <m:t>T</m:t>
                  </m:r>
                </m:sup>
              </m:sSup>
              <m:d>
                <m:dPr>
                  <m:begChr m:val="["/>
                  <m:endChr m:val="]"/>
                  <m:ctrlPr>
                    <w:rPr>
                      <w:rFonts w:ascii="Cambria Math" w:hAnsi="Cambria Math"/>
                    </w:rPr>
                  </m:ctrlPr>
                </m:dPr>
                <m:e>
                  <m:r>
                    <w:rPr>
                      <w:rFonts w:ascii="Cambria Math" w:hAnsi="Cambria Math"/>
                    </w:rPr>
                    <m:t> </m:t>
                  </m:r>
                  <m:sSubSup>
                    <m:sSubSupPr>
                      <m:ctrlPr>
                        <w:rPr>
                          <w:rFonts w:ascii="Cambria Math" w:hAnsi="Cambria Math"/>
                        </w:rPr>
                      </m:ctrlPr>
                    </m:sSubSupPr>
                    <m:e>
                      <m:r>
                        <m:rPr>
                          <m:sty m:val="b"/>
                        </m:rP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l</m:t>
                          </m:r>
                        </m:e>
                      </m:d>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l</m:t>
                          </m:r>
                        </m:e>
                      </m:d>
                    </m:sup>
                  </m:sSubSup>
                </m:e>
              </m:d>
            </m:e>
          </m:d>
          <m:r>
            <m:rPr>
              <m:sty m:val="p"/>
            </m:rPr>
            <w:rPr>
              <w:rFonts w:ascii="Cambria Math" w:hAnsi="Cambria Math"/>
            </w:rPr>
            <m:t>,</m:t>
          </m:r>
        </m:oMath>
      </m:oMathPara>
    </w:p>
    <w:p w14:paraId="7A2C238D" w14:textId="77777777" w:rsidR="001876C8" w:rsidRDefault="00000000">
      <w:pPr>
        <w:pStyle w:val="FirstParagraph"/>
      </w:pPr>
      <w:r>
        <w:t xml:space="preserve">where $\mathbf{a}^{(l)}$ is a learnable weight vector and $[\;\Vert\;]$ denotes concatenation. This $e_{ij}$ represents the </w:t>
      </w:r>
      <w:r>
        <w:rPr>
          <w:i/>
          <w:iCs/>
        </w:rPr>
        <w:t>compatibility</w:t>
      </w:r>
      <w:r>
        <w:t xml:space="preserve"> or importance of node $j$'s features to node $i$. A softmax is then used to normalize these scores over all neighbors of $i$ to obtain the attention weight $\alpha_{ij}^{(l)}$:</w:t>
      </w:r>
    </w:p>
    <w:p w14:paraId="0A5CD309" w14:textId="77777777" w:rsidR="001876C8" w:rsidRDefault="00000000">
      <w:pPr>
        <w:pStyle w:val="a0"/>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ij</m:t>
                      </m:r>
                    </m:sub>
                    <m:sup>
                      <m:d>
                        <m:dPr>
                          <m:ctrlPr>
                            <w:rPr>
                              <w:rFonts w:ascii="Cambria Math" w:hAnsi="Cambria Math"/>
                            </w:rPr>
                          </m:ctrlPr>
                        </m:dPr>
                        <m:e>
                          <m:r>
                            <w:rPr>
                              <w:rFonts w:ascii="Cambria Math" w:hAnsi="Cambria Math"/>
                            </w:rPr>
                            <m:t>l</m:t>
                          </m:r>
                        </m:e>
                      </m:d>
                    </m:sup>
                  </m:sSubSup>
                </m:e>
              </m:d>
            </m:num>
            <m:den>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ik</m:t>
                      </m:r>
                    </m:sub>
                    <m:sup>
                      <m:d>
                        <m:dPr>
                          <m:ctrlPr>
                            <w:rPr>
                              <w:rFonts w:ascii="Cambria Math" w:hAnsi="Cambria Math"/>
                            </w:rPr>
                          </m:ctrlPr>
                        </m:dPr>
                        <m:e>
                          <m:r>
                            <w:rPr>
                              <w:rFonts w:ascii="Cambria Math" w:hAnsi="Cambria Math"/>
                            </w:rPr>
                            <m:t>l</m:t>
                          </m:r>
                        </m:e>
                      </m:d>
                    </m:sup>
                  </m:sSubSup>
                </m:e>
              </m:d>
            </m:den>
          </m:f>
          <m:r>
            <m:rPr>
              <m:sty m:val="p"/>
            </m:rPr>
            <w:rPr>
              <w:rFonts w:ascii="Cambria Math" w:hAnsi="Cambria Math"/>
            </w:rPr>
            <m:t>.</m:t>
          </m:r>
        </m:oMath>
      </m:oMathPara>
    </w:p>
    <w:p w14:paraId="2618A8A8" w14:textId="77777777" w:rsidR="001876C8" w:rsidRDefault="00000000">
      <w:pPr>
        <w:pStyle w:val="FirstParagraph"/>
      </w:pPr>
      <w:r>
        <w:t>These attention coefficients satisfy $\sum_{j \in \mathcal{N}(i)} \alpha_{ij}^{(l)} = 1$ and effectively modulate the influence of each neighbor. Finally, node $i$ updates its feature by taking a weighted sum of the transformed neighbor features, passed through a nonlinearity $\sigma$ (e.g., ReLU):</w:t>
      </w:r>
    </w:p>
    <w:p w14:paraId="1B0B0B34" w14:textId="77777777" w:rsidR="001876C8" w:rsidRDefault="00000000">
      <w:pPr>
        <w:pStyle w:val="a0"/>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∈N</m:t>
                  </m:r>
                  <m:d>
                    <m:dPr>
                      <m:ctrlPr>
                        <w:rPr>
                          <w:rFonts w:ascii="Cambria Math" w:hAnsi="Cambria Math"/>
                        </w:rPr>
                      </m:ctrlPr>
                    </m:dPr>
                    <m:e>
                      <m:r>
                        <w:rPr>
                          <w:rFonts w:ascii="Cambria Math" w:hAnsi="Cambria Math"/>
                        </w:rPr>
                        <m:t>i</m:t>
                      </m:r>
                    </m:e>
                  </m:d>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l</m:t>
                          </m:r>
                        </m:e>
                      </m:d>
                    </m:sup>
                  </m:sSubSup>
                </m:e>
              </m:nary>
              <m:r>
                <w:rPr>
                  <w:rFonts w:ascii="Cambria Math" w:hAnsi="Cambria Math"/>
                </w:rPr>
                <m:t> </m:t>
              </m:r>
              <m:sSubSup>
                <m:sSubSupPr>
                  <m:ctrlPr>
                    <w:rPr>
                      <w:rFonts w:ascii="Cambria Math" w:hAnsi="Cambria Math"/>
                    </w:rPr>
                  </m:ctrlPr>
                </m:sSubSupPr>
                <m:e>
                  <m:r>
                    <m:rPr>
                      <m:sty m:val="b"/>
                    </m:rP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l</m:t>
                      </m:r>
                    </m:e>
                  </m:d>
                </m:sup>
              </m:sSubSup>
            </m:e>
          </m:d>
          <m:r>
            <m:rPr>
              <m:sty m:val="p"/>
            </m:rPr>
            <w:rPr>
              <w:rFonts w:ascii="Cambria Math" w:hAnsi="Cambria Math"/>
            </w:rPr>
            <m:t>.</m:t>
          </m:r>
        </m:oMath>
      </m:oMathPara>
    </w:p>
    <w:p w14:paraId="11B97906" w14:textId="77777777" w:rsidR="001876C8" w:rsidRDefault="00000000">
      <w:pPr>
        <w:pStyle w:val="FirstParagraph"/>
      </w:pPr>
      <w:r>
        <w:t>In practice, a residual connection or including the node itself in the neighborhood (self-loop) can be used: often $\mathcal{N}(i)$ is taken to include $i$ itself so that the node feature is also carried over. We omit explicit self-loop for clarity in equations but include it in implementation. By stacking $L$ such layers, information can propagate up to $L$ hops away on the graph, meaning even distant superpixels within the same field can influence each other through intermediate neighbors.</w:t>
      </w:r>
    </w:p>
    <w:p w14:paraId="13649853" w14:textId="77777777" w:rsidR="001876C8" w:rsidRDefault="00000000">
      <w:pPr>
        <w:pStyle w:val="a0"/>
      </w:pPr>
      <w:r>
        <w:lastRenderedPageBreak/>
        <w:t xml:space="preserve">The learned attention coefficients $\alpha_{ij}$ provide an interpretability advantage: intuitively, if superpixels $s_i$ and $s_j$ belong to the same field (same crop), their feature similarity should be high and the model can assign a large weight $\alpha_{ij}$, allowing strong information passing (smoothing their class predictions). Conversely, if $s_j$ is across a field boundary from $s_i$ (different crop), the features and initial predictions will likely diverge, and the attention mechanism can assign a near-zero $\alpha_{ij}$, effectively </w:t>
      </w:r>
      <w:r>
        <w:rPr>
          <w:i/>
          <w:iCs/>
        </w:rPr>
        <w:t>blocking</w:t>
      </w:r>
      <w:r>
        <w:t xml:space="preserve"> the message and preserving the discontinuity. This behavior lets the GAT learn to </w:t>
      </w:r>
      <w:r>
        <w:rPr>
          <w:i/>
          <w:iCs/>
        </w:rPr>
        <w:t>stop</w:t>
      </w:r>
      <w:r>
        <w:t xml:space="preserve"> label diffusion at true boundaries while encouraging consistency within parcels (Diao et al., 2022). In essence, the GAT acts as a trainable edge-preserving smoother on the initial classification map.</w:t>
      </w:r>
    </w:p>
    <w:p w14:paraId="15346406" w14:textId="77777777" w:rsidR="001876C8" w:rsidRDefault="00000000">
      <w:pPr>
        <w:pStyle w:val="a0"/>
      </w:pPr>
      <w:r>
        <w:t xml:space="preserve">We use the final layer outputs $\mathbf{h}_i^{(L)}$ of the GAT to produce a refined class prediction for each superpixel. Specifically, we apply a linear projection to each $\mathbf{h}_i^{(L)}$ to obtain class logits and then a softmax to get class probabilities $\mathbf{p}_i^{(\text{out})}$ for superpixel $i$. This yields an updated class probability distribution for each superpixel, which can be thought of as a </w:t>
      </w:r>
      <w:r>
        <w:rPr>
          <w:i/>
          <w:iCs/>
        </w:rPr>
        <w:t>spatially smoothed</w:t>
      </w:r>
      <w:r>
        <w:t xml:space="preserve"> prediction after enforcing parcel-level consistency. We then </w:t>
      </w:r>
      <w:r>
        <w:rPr>
          <w:b/>
          <w:bCs/>
        </w:rPr>
        <w:t>upscale the superpixel-level predictions back to the pixel grid</w:t>
      </w:r>
      <w:r>
        <w:t xml:space="preserve"> to produce a refined pixel-wise class probability map. If $\mathbf{p}_i^{(\text{out})} = (p_i^1, ..., p_i^C)$ for node $s_i$, we assign each pixel $x \in s_i$ the same probability vector $\mathbf{\tilde{p}}(x) = \mathbf{p}_i^{(\text{out})}$. This yields a piecewise-constant probability map $\tilde{P}(x)$ over the image, where boundaries between superpixels might have sharp changes if they belong to different classes.</w:t>
      </w:r>
    </w:p>
    <w:p w14:paraId="15EDF2AE" w14:textId="77777777" w:rsidR="001876C8" w:rsidRDefault="00000000">
      <w:pPr>
        <w:pStyle w:val="a0"/>
      </w:pPr>
      <w:r>
        <w:rPr>
          <w:b/>
          <w:bCs/>
        </w:rPr>
        <w:t>Meta-Feature Map Generation:</w:t>
      </w:r>
      <w:r>
        <w:t xml:space="preserve"> From the refined probability map $\tilde{P}(x)$, we derive several meta-feature maps that will guide the contour optimization in Module 3. These meta-features are designed to highlight uncertainty and potential error regions, effectively encoding where the current classification is unsure or likely wrong (often at field boundaries). Specifically, we compute:</w:t>
      </w:r>
    </w:p>
    <w:p w14:paraId="6483AF09" w14:textId="77777777" w:rsidR="001876C8" w:rsidRDefault="00000000">
      <w:pPr>
        <w:numPr>
          <w:ilvl w:val="0"/>
          <w:numId w:val="4"/>
        </w:numPr>
      </w:pPr>
      <w:r>
        <w:rPr>
          <w:b/>
          <w:bCs/>
        </w:rPr>
        <w:t>Entropy map</w:t>
      </w:r>
      <w:r>
        <w:t xml:space="preserve"> $E(x)$: For each pixel $x$, we calculate the entropy of the class probability distribution $\tilde{P}(x)$. If $\tilde{P}(x) = { \tilde{p}</w:t>
      </w:r>
      <w:r>
        <w:rPr>
          <w:i/>
          <w:iCs/>
        </w:rPr>
        <w:t>c(x) }</w:t>
      </w:r>
      <w:r>
        <w:t>^C$, then</w:t>
      </w:r>
    </w:p>
    <w:p w14:paraId="2ADEE475" w14:textId="77777777" w:rsidR="001876C8" w:rsidRDefault="00000000">
      <w:pPr>
        <w:pStyle w:val="Compact"/>
        <w:numPr>
          <w:ilvl w:val="0"/>
          <w:numId w:val="1"/>
        </w:numPr>
      </w:pP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c</m:t>
                </m:r>
              </m:sub>
            </m:sSub>
          </m:e>
        </m:nary>
        <m:d>
          <m:dPr>
            <m:ctrlPr>
              <w:rPr>
                <w:rFonts w:ascii="Cambria Math" w:hAnsi="Cambria Math"/>
              </w:rPr>
            </m:ctrlPr>
          </m:dPr>
          <m:e>
            <m:r>
              <w:rPr>
                <w:rFonts w:ascii="Cambria Math" w:hAnsi="Cambria Math"/>
              </w:rPr>
              <m:t>x</m:t>
            </m:r>
          </m:e>
        </m:d>
        <m:r>
          <m:rPr>
            <m:sty m:val="p"/>
          </m:rP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t>
        </m:r>
      </m:oMath>
    </w:p>
    <w:p w14:paraId="43EF1D78" w14:textId="77777777" w:rsidR="001876C8" w:rsidRDefault="00000000">
      <w:pPr>
        <w:numPr>
          <w:ilvl w:val="0"/>
          <w:numId w:val="1"/>
        </w:numPr>
      </w:pPr>
      <w:r>
        <w:t>which is high when the model is uncertain (the probabilities are spread out) and low when one class probability dominates. High entropy often occurs along field borders or in confused interior regions with mixed evidence.</w:t>
      </w:r>
    </w:p>
    <w:p w14:paraId="474A4A94" w14:textId="77777777" w:rsidR="001876C8" w:rsidRDefault="00000000">
      <w:pPr>
        <w:numPr>
          <w:ilvl w:val="0"/>
          <w:numId w:val="4"/>
        </w:numPr>
      </w:pPr>
      <w:r>
        <w:rPr>
          <w:b/>
          <w:bCs/>
        </w:rPr>
        <w:t>Temporal instability map</w:t>
      </w:r>
      <w:r>
        <w:t xml:space="preserve"> $T(x)$: If multi-temporal data is used, we can measure the variance or instability of predictions over time for each pixel. For example, one can compute the variance of the pixel’s predicted class across the time series (assuming the model produces per-date predictions or uses time as a feature). High instability indicates that the model’s </w:t>
      </w:r>
      <w:r>
        <w:lastRenderedPageBreak/>
        <w:t>prediction for that pixel changed over time (e.g., sometimes classified as corn, other times as wheat), which is a proxy for uncertainty or being near a boundary. In our implementation (since the model outputs a single classification for the whole season), we approximate instability by looking at the variability of the input features or the difference between the current pixel and its temporal neighbors. This map highlights areas where classification might be less reliable due to phenological differences or noise.</w:t>
      </w:r>
    </w:p>
    <w:p w14:paraId="081BDC45" w14:textId="77777777" w:rsidR="001876C8" w:rsidRDefault="00000000">
      <w:pPr>
        <w:numPr>
          <w:ilvl w:val="0"/>
          <w:numId w:val="4"/>
        </w:numPr>
      </w:pPr>
      <w:r>
        <w:rPr>
          <w:b/>
          <w:bCs/>
        </w:rPr>
        <w:t>Inter-class boundary map</w:t>
      </w:r>
      <w:r>
        <w:t xml:space="preserve"> $G(x)$: We compute an approximate spatial gradient of the class label probabilities. One simple proxy is the magnitude of the gradient of the softmax output for the top classes. For instance, we take the difference between the highest and second-highest class probabilities at $x$ (which indicates how confident the model is in the top class vs the runner-up) and then compute spatial gradients (e.g., via a Sobel filter or simply difference between neighboring pixels). Alternatively, one can directly compute $G(x) = |\nabla \tilde{p}_{y^</w:t>
      </w:r>
      <w:r>
        <w:rPr>
          <w:i/>
          <w:iCs/>
        </w:rPr>
        <w:t>(x)}(x)|$, the norm of the spatial gradient of the probability of the predicted class $y^</w:t>
      </w:r>
      <w:r>
        <w:t>(x) = \arg\max_c \tilde{p}_c(x)$. High values of $G(x)$ correspond to locations where probabilities change rapidly, i.e. likely class boundaries.</w:t>
      </w:r>
    </w:p>
    <w:p w14:paraId="2FDE0800" w14:textId="77777777" w:rsidR="001876C8" w:rsidRDefault="00000000">
      <w:pPr>
        <w:pStyle w:val="FirstParagraph"/>
      </w:pPr>
      <w:r>
        <w:t xml:space="preserve">These meta-features (entropy $E$, temporal instability $T$, and boundary gradient $G$) are complementary. We combine them to form a single </w:t>
      </w:r>
      <w:r>
        <w:rPr>
          <w:b/>
          <w:bCs/>
        </w:rPr>
        <w:t>energy map</w:t>
      </w:r>
      <w:r>
        <w:t xml:space="preserve"> $M(x)$ that will serve as the external energy in the snake algorithm. In our implementation, we normalize each map and then form a linear combination:</w:t>
      </w:r>
    </w:p>
    <w:p w14:paraId="73E5C608" w14:textId="77777777" w:rsidR="001876C8" w:rsidRDefault="00000000">
      <w:pPr>
        <w:pStyle w:val="a0"/>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E</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T</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 G</m:t>
          </m:r>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50EB1F89" w14:textId="77777777" w:rsidR="001876C8" w:rsidRDefault="00000000">
      <w:pPr>
        <w:pStyle w:val="FirstParagraph"/>
      </w:pPr>
      <w:r>
        <w:t>with weights $w_E, w_T, w_G$ tuned to balance the contributions (or simply set equal if units are comparable). This $M(x)$ can be interpreted as a cost field for being part of a field interior vs a boundary: we want low energy inside confident regions (where $E$ and $G$ are low) and high energy along uncertain, high-gradient regions (likely true boundaries or error zones). In other words, a well-delineated field should correspond to a region in $M$ that is mostly low (stable interior) enclosed by a ridge of high values (uncertain boundary). The snake will seek a closed contour that follows a path of minimum total $M$ (plus internal regularization), which ideally aligns with the valley between high-energy boundary zones (analogous to finding a “seam” between fields).</w:t>
      </w:r>
    </w:p>
    <w:p w14:paraId="6725A3B5" w14:textId="77777777" w:rsidR="001876C8" w:rsidRDefault="00000000">
      <w:pPr>
        <w:pStyle w:val="3"/>
      </w:pPr>
      <w:bookmarkStart w:id="8" w:name="Xe2b3293bf192e2858a9d023567f25c9f1109a46"/>
      <w:bookmarkEnd w:id="7"/>
      <w:r>
        <w:t>2.3 Iterative Self-Optimizing Parcel Extraction (Differentiable Snake)</w:t>
      </w:r>
    </w:p>
    <w:p w14:paraId="2A0647E6" w14:textId="77777777" w:rsidR="001876C8" w:rsidRDefault="00000000">
      <w:pPr>
        <w:pStyle w:val="FirstParagraph"/>
      </w:pPr>
      <w:r>
        <w:t xml:space="preserve">In the final module, we perform contour evolution to extract precise parcel boundaries, using the meta-feature-derived energy map $M(x)$ as guidance. We design a </w:t>
      </w:r>
      <w:r>
        <w:rPr>
          <w:b/>
          <w:bCs/>
        </w:rPr>
        <w:t>differentiable Snake</w:t>
      </w:r>
      <w:r>
        <w:t xml:space="preserve"> network that implements an active contour model within our deep learning framework.</w:t>
      </w:r>
    </w:p>
    <w:p w14:paraId="4E0100AB" w14:textId="77777777" w:rsidR="001876C8" w:rsidRDefault="00000000">
      <w:pPr>
        <w:pStyle w:val="a0"/>
      </w:pPr>
      <w:r>
        <w:rPr>
          <w:b/>
          <w:bCs/>
        </w:rPr>
        <w:lastRenderedPageBreak/>
        <w:t>Initial Contour Initialization:</w:t>
      </w:r>
      <w:r>
        <w:t xml:space="preserve"> Before the iterative contour evolution begins, we need an initial guess for the parcel contours. We obtain this directly from the superpixel classification results. After Module 2, each connected set of superpixels that have the same predicted crop label (when upscaled to pixels) can be considered an initial field object. In other words, we take the coarse label mask produced by the GNN (the piecewise constant map of class labels after superpixel smoothing) and identify contiguous regions of pixels with the same label. Each such region is assumed to correspond to one agricultural field. We then derive an initial polygon for each region by merging the superpixels and tracing the boundary. In practice, this can be done by applying morphological operations (to clean up ragged edges) followed by an edge detection on the label map and a polygonization (vectorization) step. The result is an initial set of closed contours ${C_k^{(0)}}_{k=1}^{K}$, where $K$ is the number of initial parcels found. Essentially, we treat each contiguous region of class $c$ as an initial parcel of that crop. This initial segmentation is already closer to the ground truth parcels than a raw pixel-wise classifier output would be (thanks to the GNN smoothing), but it may still have errors: boundaries might cut through actual fields or bleed into neighboring fields if the superpixels were irregular or if the GNN still mis-labeled some border superpixels. The goal of the snake is to adjust these initial polygons to better fit the true boundaries indicated by the image evidence in $M(x)$.</w:t>
      </w:r>
    </w:p>
    <w:p w14:paraId="17839037" w14:textId="77777777" w:rsidR="001876C8" w:rsidRDefault="00000000">
      <w:pPr>
        <w:pStyle w:val="a0"/>
      </w:pPr>
      <w:r>
        <w:t>We represent each field boundary (parcel outline) as a closed polyline (polygon), parameterized by a sequence of vertices ${v_i = (x_i, y_i)}</w:t>
      </w:r>
      <w:r>
        <w:rPr>
          <w:i/>
          <w:iCs/>
        </w:rPr>
        <w:t>{i=1}^n$ in image coordinates (with an indexing such that $v</w:t>
      </w:r>
      <w:r>
        <w:t xml:space="preserve"> \equiv v_1$ to close the polygon). This polygon is our active contour representation for that field. We initialize a sufficient number of vertices so that the contour can adapt to moderately complex shapes. In practice, one can start with vertices at all the superpixel boundary corners or uniformly sample points along the initial boundary at a high resolution (e.g., every few pixels). Each vertex $v_i$ will be adjusted by the snake algorithm. All field contours can be evolved in parallel, but for notation we can consider a single contour $C$ at a time for now.</w:t>
      </w:r>
    </w:p>
    <w:p w14:paraId="2D405DA1" w14:textId="77777777" w:rsidR="001876C8" w:rsidRDefault="00000000">
      <w:pPr>
        <w:pStyle w:val="a0"/>
      </w:pPr>
      <w:r>
        <w:rPr>
          <w:b/>
          <w:bCs/>
        </w:rPr>
        <w:t>Contour Evolution as an Differentiable Module:</w:t>
      </w:r>
      <w:r>
        <w:t xml:space="preserve"> The snake model is defined by an energy functional $E_{\text{snake}}$ that the contour seeks to minimize. We adopt the classic formulation (Kass et al., 1988) with an </w:t>
      </w:r>
      <w:r>
        <w:rPr>
          <w:b/>
          <w:bCs/>
        </w:rPr>
        <w:t>internal energy</w:t>
      </w:r>
      <w:r>
        <w:t xml:space="preserve"> $E_{\text{int}}$ that imposes prior constraints on the contour shape, and an </w:t>
      </w:r>
      <w:r>
        <w:rPr>
          <w:b/>
          <w:bCs/>
        </w:rPr>
        <w:t>external energy</w:t>
      </w:r>
      <w:r>
        <w:t xml:space="preserve"> $E_{\text{ext}}$ derived from the image (here, our meta-feature map $M$). In discrete form, our snake energy is:</w:t>
      </w:r>
    </w:p>
    <w:p w14:paraId="1954C68D" w14:textId="77777777" w:rsidR="001876C8"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nor/>
                </m:rPr>
                <m:t>snake</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int</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ext</m:t>
              </m:r>
            </m:sub>
          </m:sSub>
          <m:d>
            <m:dPr>
              <m:ctrlPr>
                <w:rPr>
                  <w:rFonts w:ascii="Cambria Math" w:hAnsi="Cambria Math"/>
                </w:rPr>
              </m:ctrlPr>
            </m:dPr>
            <m:e>
              <m:r>
                <w:rPr>
                  <w:rFonts w:ascii="Cambria Math" w:hAnsi="Cambria Math"/>
                </w:rPr>
                <m:t>C</m:t>
              </m:r>
            </m:e>
          </m:d>
          <m:r>
            <m:rPr>
              <m:sty m:val="p"/>
            </m:rPr>
            <w:rPr>
              <w:rFonts w:ascii="Cambria Math" w:hAnsi="Cambria Math"/>
            </w:rPr>
            <m:t>.</m:t>
          </m:r>
        </m:oMath>
      </m:oMathPara>
    </w:p>
    <w:p w14:paraId="6451D9A0" w14:textId="77777777" w:rsidR="001876C8" w:rsidRDefault="00000000">
      <w:pPr>
        <w:pStyle w:val="FirstParagraph"/>
      </w:pPr>
      <w:r>
        <w:t>The internal energy $E_{\text{int}}$ penalizes undesirable shape properties to enforce regularity and smoothness of the contour. We use two terms common in active contour models: an elasticity term (first-order smoothness) and a bending term (second-order smoothness):</w:t>
      </w:r>
    </w:p>
    <w:p w14:paraId="3316B720" w14:textId="77777777" w:rsidR="001876C8" w:rsidRDefault="00000000">
      <w:pPr>
        <w:numPr>
          <w:ilvl w:val="0"/>
          <w:numId w:val="5"/>
        </w:numPr>
      </w:pPr>
      <w:r>
        <w:rPr>
          <w:b/>
          <w:bCs/>
        </w:rPr>
        <w:lastRenderedPageBreak/>
        <w:t>Elasticity (continuity) term:</w:t>
      </w:r>
    </w:p>
    <w:p w14:paraId="097C24F7" w14:textId="77777777" w:rsidR="001876C8" w:rsidRDefault="00000000">
      <w:pPr>
        <w:pStyle w:val="Compact"/>
        <w:numPr>
          <w:ilvl w:val="0"/>
          <w:numId w:val="1"/>
        </w:numPr>
      </w:pPr>
      <m:oMath>
        <m:sSub>
          <m:sSubPr>
            <m:ctrlPr>
              <w:rPr>
                <w:rFonts w:ascii="Cambria Math" w:hAnsi="Cambria Math"/>
              </w:rPr>
            </m:ctrlPr>
          </m:sSubPr>
          <m:e>
            <m:r>
              <w:rPr>
                <w:rFonts w:ascii="Cambria Math" w:hAnsi="Cambria Math"/>
              </w:rPr>
              <m:t>E</m:t>
            </m:r>
          </m:e>
          <m:sub>
            <m:r>
              <m:rPr>
                <m:nor/>
              </m:rPr>
              <m:t>elast</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p>
    <w:p w14:paraId="7AA2BF24" w14:textId="77777777" w:rsidR="001876C8" w:rsidRDefault="00000000">
      <w:pPr>
        <w:numPr>
          <w:ilvl w:val="0"/>
          <w:numId w:val="1"/>
        </w:numPr>
      </w:pPr>
      <w:r>
        <w:t>which penalizes large gaps between consecutive vertices. Here $|\cdot|$ denotes the Euclidean distance and we interpret indices modulo $n$ (so $v_0 \equiv v_n$). This encourages the contour to maintain continuity and discourages it from breaking apart or developing spurious gaps. A higher $\alpha$ makes the snake behave like a tighter elastic string.</w:t>
      </w:r>
    </w:p>
    <w:p w14:paraId="508BB6BF" w14:textId="77777777" w:rsidR="001876C8" w:rsidRDefault="00000000">
      <w:pPr>
        <w:numPr>
          <w:ilvl w:val="0"/>
          <w:numId w:val="5"/>
        </w:numPr>
      </w:pPr>
      <w:r>
        <w:rPr>
          <w:b/>
          <w:bCs/>
        </w:rPr>
        <w:t>Smoothness (bending) term:</w:t>
      </w:r>
    </w:p>
    <w:p w14:paraId="1AEEA22B" w14:textId="77777777" w:rsidR="001876C8" w:rsidRDefault="00000000">
      <w:pPr>
        <w:pStyle w:val="Compact"/>
        <w:numPr>
          <w:ilvl w:val="0"/>
          <w:numId w:val="1"/>
        </w:numPr>
      </w:pPr>
      <m:oMath>
        <m:sSub>
          <m:sSubPr>
            <m:ctrlPr>
              <w:rPr>
                <w:rFonts w:ascii="Cambria Math" w:hAnsi="Cambria Math"/>
              </w:rPr>
            </m:ctrlPr>
          </m:sSubPr>
          <m:e>
            <m:r>
              <w:rPr>
                <w:rFonts w:ascii="Cambria Math" w:hAnsi="Cambria Math"/>
              </w:rPr>
              <m:t>E</m:t>
            </m:r>
          </m:e>
          <m:sub>
            <m:r>
              <m:rPr>
                <m:nor/>
              </m:rPr>
              <m:t>smooth</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p>
    <w:p w14:paraId="4FD00ADC" w14:textId="77777777" w:rsidR="001876C8" w:rsidRDefault="00000000">
      <w:pPr>
        <w:numPr>
          <w:ilvl w:val="0"/>
          <w:numId w:val="1"/>
        </w:numPr>
      </w:pPr>
      <w:r>
        <w:t>which penalizes high curvature or sharp corners by measuring the second-order difference for each triplet of consecutive vertices. This term encourages the contour to be locally smooth (approximating a piecewise smooth curve). A larger $\beta$ makes the contour resist bending and prefer gentle curves or straight lines. Both $\alpha$ and $\beta$ are weighting parameters that control the internal tension and rigidity of the contour, respectively.</w:t>
      </w:r>
    </w:p>
    <w:p w14:paraId="7B3D7F72" w14:textId="77777777" w:rsidR="001876C8" w:rsidRDefault="00000000">
      <w:pPr>
        <w:pStyle w:val="FirstParagraph"/>
      </w:pPr>
      <w:r>
        <w:t>Thus, $E_{\text{int}}(C) = E_{\text{elast}}(C) + E_{\text{smooth}}(C)$. These internal energies are quadratic in the vertex coordinates, making them convex and differentiable. They ensure the snake does not over-fit noisy boundaries by imposing a cost on uneven spacing and jaggedness.</w:t>
      </w:r>
    </w:p>
    <w:p w14:paraId="014F3D57" w14:textId="77777777" w:rsidR="001876C8" w:rsidRDefault="00000000">
      <w:pPr>
        <w:pStyle w:val="a0"/>
      </w:pPr>
      <w:r>
        <w:t xml:space="preserve">The </w:t>
      </w:r>
      <w:r>
        <w:rPr>
          <w:b/>
          <w:bCs/>
        </w:rPr>
        <w:t>external energy</w:t>
      </w:r>
      <w:r>
        <w:t xml:space="preserve"> $E_{\text{ext}}$ is derived from the meta-feature energy map $M(x)$ computed earlier. The snake is attracted to positions of lower energy in $M$. We define $E_{\text{ext}}$ by integrating (summing) the energy map values at the contour positions:</w:t>
      </w:r>
    </w:p>
    <w:p w14:paraId="57F0EF12" w14:textId="77777777" w:rsidR="001876C8"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nor/>
                </m:rPr>
                <m:t>ext</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γ</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M</m:t>
              </m:r>
            </m:e>
          </m:nary>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oMath>
      </m:oMathPara>
    </w:p>
    <w:p w14:paraId="511075C8" w14:textId="77777777" w:rsidR="001876C8" w:rsidRDefault="00000000">
      <w:pPr>
        <w:pStyle w:val="FirstParagraph"/>
      </w:pPr>
      <w:r>
        <w:t xml:space="preserve">where $M(v_i)$ denotes the energy map value at the point $v_i$. If $v_i$ is not exactly at a pixel center (since vertices move continuously), $M(v_i)$ is obtained by bilinear interpolation of the four nearest pixel values of $M$. The coefficient $\gamma$ weights the influence of the external energy relative to the internal energy. Intuitively, $E_{\text{ext}}$ will be high if the contour passes through areas of high $M$ (which correspond to uncertain or boundary regions) and low if the contour lies in low-$M$ areas (stable interior of a field). Thus, minimizing $E_{\text{ext}}$ pulls the snake towards the darker (low-cost) regions in the energy map, which ideally coincide with the true interior of fields, and away from bright (high-cost) regions which mark the transitions between fields. Additionally, one can note that the </w:t>
      </w:r>
      <w:r>
        <w:rPr>
          <w:b/>
          <w:bCs/>
        </w:rPr>
        <w:t>spatial gradient</w:t>
      </w:r>
      <w:r>
        <w:t xml:space="preserve"> of the energy map, $\nabla M(x)$, induces a force on </w:t>
      </w:r>
      <w:r>
        <w:lastRenderedPageBreak/>
        <w:t xml:space="preserve">the contour: specifically, in the continuous formulation, $-\nabla M$ acts as an image force attracting the contour toward locations of strong gradient change (which often lie on object boundaries). In classic snakes, $E_{\text{ext}}$ is often defined using image intensity edges (e.g., $-| \nabla I(x)|^2$ so that the snake is pulled to edges) (Kass et al., 1988). In our case, we use a learned composite $M(x)$ that highlights likely field edges and uncertain regions, effectively making the snake </w:t>
      </w:r>
      <w:r>
        <w:rPr>
          <w:b/>
          <w:bCs/>
        </w:rPr>
        <w:t>“object-aware”</w:t>
      </w:r>
      <w:r>
        <w:t xml:space="preserve"> – it knows where the classifier is unsure and uses that as guidance to find the true boundary.</w:t>
      </w:r>
    </w:p>
    <w:p w14:paraId="7F8362B4" w14:textId="77777777" w:rsidR="001876C8" w:rsidRDefault="00000000">
      <w:pPr>
        <w:pStyle w:val="a0"/>
      </w:pPr>
      <w:r>
        <w:t>In summary, the total snake energy in continuous form can be written as an integral along the contour $C(s)$ (parametrized by $s$):</w:t>
      </w:r>
    </w:p>
    <w:p w14:paraId="6E6E868E" w14:textId="77777777" w:rsidR="001876C8"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nor/>
                </m:rPr>
                <m:t>snake</m:t>
              </m:r>
            </m:sub>
          </m:sSub>
          <m:d>
            <m:dPr>
              <m:begChr m:val="["/>
              <m:endChr m:val="]"/>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2</m:t>
              </m:r>
            </m:den>
          </m:f>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s</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s</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ds </m:t>
          </m:r>
          <m:r>
            <m:rPr>
              <m:sty m:val="p"/>
            </m:rPr>
            <w:rPr>
              <w:rFonts w:ascii="Cambria Math" w:hAnsi="Cambria Math"/>
            </w:rPr>
            <m:t>+</m:t>
          </m:r>
          <m:r>
            <w:rPr>
              <w:rFonts w:ascii="Cambria Math" w:hAnsi="Cambria Math"/>
            </w:rPr>
            <m:t> γ</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s</m:t>
                  </m:r>
                </m:e>
              </m:d>
            </m:e>
          </m:d>
          <m:r>
            <w:rPr>
              <w:rFonts w:ascii="Cambria Math" w:hAnsi="Cambria Math"/>
            </w:rPr>
            <m:t> ds</m:t>
          </m:r>
          <m:r>
            <m:rPr>
              <m:sty m:val="p"/>
            </m:rPr>
            <w:rPr>
              <w:rFonts w:ascii="Cambria Math" w:hAnsi="Cambria Math"/>
            </w:rPr>
            <m:t>,</m:t>
          </m:r>
        </m:oMath>
      </m:oMathPara>
    </w:p>
    <w:p w14:paraId="212CD678" w14:textId="77777777" w:rsidR="001876C8" w:rsidRDefault="00000000">
      <w:pPr>
        <w:pStyle w:val="FirstParagraph"/>
      </w:pPr>
      <w:r>
        <w:t xml:space="preserve">where the first term encourages small first derivatives (even spacing), the second encourages small second derivatives (smooth curvature), and the third term integrates the external cost along the contour. The </w:t>
      </w:r>
      <w:r>
        <w:rPr>
          <w:b/>
          <w:bCs/>
        </w:rPr>
        <w:t>Euler–Lagrange equations</w:t>
      </w:r>
      <w:r>
        <w:t xml:space="preserve"> for minimizing this functional yield the condition (Kass et al., 1988):</w:t>
      </w:r>
    </w:p>
    <w:p w14:paraId="502C8E30" w14:textId="77777777" w:rsidR="001876C8" w:rsidRDefault="00000000">
      <w:pPr>
        <w:pStyle w:val="a0"/>
      </w:pPr>
      <m:oMathPara>
        <m:oMathParaPr>
          <m:jc m:val="center"/>
        </m:oMathParaPr>
        <m:oMath>
          <m:r>
            <w:rPr>
              <w:rFonts w:ascii="Cambria Math" w:hAnsi="Cambria Math"/>
            </w:rPr>
            <m:t>α C</m:t>
          </m:r>
          <m:r>
            <m:rPr>
              <m:sty m:val="p"/>
            </m:rPr>
            <w:rPr>
              <w:rFonts w:ascii="Cambria Math" w:hAnsi="Cambria Math"/>
            </w:rPr>
            <m:t>″</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β C</m:t>
          </m:r>
          <m:r>
            <m:rPr>
              <m:sty m:val="p"/>
            </m:rPr>
            <w:rPr>
              <w:rFonts w:ascii="Cambria Math" w:hAnsi="Cambria Math"/>
            </w:rPr>
            <m:t>⁗</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γ </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s</m:t>
                  </m:r>
                </m:e>
              </m:d>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5857A40C" w14:textId="77777777" w:rsidR="001876C8" w:rsidRDefault="00000000">
      <w:pPr>
        <w:pStyle w:val="FirstParagraph"/>
      </w:pPr>
      <w:r>
        <w:t xml:space="preserve">which can be interpreted as a balance of internal forces (tension $\alpha C''$ and rigidity $-\beta C''''$) and external force ($-\gamma \nabla M$ pulling the contour toward lower $M$). In discrete form, taking derivatives of $E_{\text{snake}}$ with respect to a vertex $v_i$ and setting to zero leads to a linear system that can be solved for the equilibrium contour positions (Kass et al., 1988). Rather than solving that directly, we </w:t>
      </w:r>
      <w:r>
        <w:rPr>
          <w:i/>
          <w:iCs/>
        </w:rPr>
        <w:t>iteratively update</w:t>
      </w:r>
      <w:r>
        <w:t xml:space="preserve"> the contour by gradient descent on $E_{\text{snake}}$:</w:t>
      </w:r>
    </w:p>
    <w:p w14:paraId="353D4DAE" w14:textId="77777777" w:rsidR="001876C8" w:rsidRDefault="00000000">
      <w:pPr>
        <w:pStyle w:val="a0"/>
      </w:pPr>
      <w:r>
        <w:rPr>
          <w:b/>
          <w:bCs/>
        </w:rPr>
        <w:t>Contour evolution via gradient descent:</w:t>
      </w:r>
      <w:r>
        <w:t xml:space="preserve"> We compute the partial derivative of $E_{\text{snake}}$ with respect to each vertex position $v_i = (x_i, y_i)$. From the definitions above, one can derive the force (negative gradient) on $v_i$ as:</w:t>
      </w:r>
    </w:p>
    <w:p w14:paraId="0BD9E694" w14:textId="77777777" w:rsidR="001876C8" w:rsidRDefault="00000000">
      <w:pPr>
        <w:pStyle w:val="a0"/>
      </w:pPr>
      <m:oMathPara>
        <m:oMathParaPr>
          <m:jc m:val="center"/>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snake</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en>
          </m:f>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γ </m:t>
          </m:r>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oMath>
      </m:oMathPara>
    </w:p>
    <w:p w14:paraId="416F717D" w14:textId="77777777" w:rsidR="001876C8" w:rsidRDefault="00000000">
      <w:pPr>
        <w:pStyle w:val="FirstParagraph"/>
      </w:pPr>
      <w:r>
        <w:t>where each term corresponds to an internal elastic force (pulling $v_i$ toward $v_{i-1}$ to shorten gaps), an internal smoothness force (pulling $v_i$ toward the average of neighbors $v_{i-1}$ and $v_{i+1}$ to reduce curvature), and an external force given by the negative gradient of the energy map (pulling the vertex toward lower $M$ values, i.e. towards likely true boundary positions). We then update the vertex positions in the opposite direction of the energy gradient. A simple explicit update for one iteration $t$ is:</w:t>
      </w:r>
    </w:p>
    <w:p w14:paraId="6B61AB50" w14:textId="77777777" w:rsidR="001876C8" w:rsidRDefault="00000000">
      <w:pPr>
        <w:pStyle w:val="a0"/>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t</m:t>
                  </m:r>
                </m:e>
              </m:d>
            </m:sup>
          </m:sSubSup>
          <m:r>
            <m:rPr>
              <m:sty m:val="p"/>
            </m:rPr>
            <w:rPr>
              <w:rFonts w:ascii="Cambria Math" w:hAnsi="Cambria Math"/>
            </w:rPr>
            <m:t>-</m:t>
          </m:r>
          <m:r>
            <w:rPr>
              <w:rFonts w:ascii="Cambria Math" w:hAnsi="Cambria Math"/>
            </w:rPr>
            <m:t>η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snake</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den>
          </m:f>
          <m:sSub>
            <m:sSubPr>
              <m:ctrlPr>
                <w:rPr>
                  <w:rFonts w:ascii="Cambria Math" w:hAnsi="Cambria Math"/>
                </w:rPr>
              </m:ctrlPr>
            </m:sSubPr>
            <m:e>
              <m:r>
                <m:rPr>
                  <m:sty m:val="p"/>
                </m:rPr>
                <w:rPr>
                  <w:rFonts w:ascii="Cambria Math" w:hAnsi="Cambria Math"/>
                </w:rPr>
                <m:t>|</m:t>
              </m:r>
            </m:e>
            <m: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t</m:t>
                      </m:r>
                    </m:e>
                  </m:d>
                </m:sup>
              </m:sSup>
            </m:sub>
          </m:sSub>
          <m:r>
            <m:rPr>
              <m:sty m:val="p"/>
            </m:rPr>
            <w:rPr>
              <w:rFonts w:ascii="Cambria Math" w:hAnsi="Cambria Math"/>
            </w:rPr>
            <m:t>,</m:t>
          </m:r>
        </m:oMath>
      </m:oMathPara>
    </w:p>
    <w:p w14:paraId="1CF61347" w14:textId="77777777" w:rsidR="001876C8" w:rsidRDefault="00000000">
      <w:pPr>
        <w:pStyle w:val="FirstParagraph"/>
      </w:pPr>
      <w:r>
        <w:lastRenderedPageBreak/>
        <w:t>where $\eta &gt; 0$ is a step size (learning rate) for the snake evolution and the derivative is evaluated at the current contour. This update is repeated for a fixed number of iterations or until convergence (energy no longer decreases significantly). In our implementation, we perform a fixed number $T$ of mini-steps of contour evolution per forward pass (with $T=5$ during training, see Section 3.1). Each iteration gradually adjusts the vertices to better align with low-energy regions of $M$. Because $E_{\text{snake}}$ is differentiable and $\eta$ is small, each step is guaranteed to decrease the energy (at least for convex portions of the energy landscape), and iterating will converge the contour to (a local) minimum of $E_{\text{snake}}$. Starting from an initial contour that is already reasonably close to the true boundary (thanks to the superpixel initialization), the snake usually converges to a satisfactory delineation of the field.</w:t>
      </w:r>
    </w:p>
    <w:p w14:paraId="274E3DF9" w14:textId="77777777" w:rsidR="001876C8" w:rsidRDefault="00000000">
      <w:pPr>
        <w:pStyle w:val="a0"/>
      </w:pPr>
      <w:r>
        <w:rPr>
          <w:b/>
          <w:bCs/>
        </w:rPr>
        <w:t>Integration into the Deep Network:</w:t>
      </w:r>
      <w:r>
        <w:t xml:space="preserve"> Crucially, we implement the above contour evolution as an </w:t>
      </w:r>
      <w:r>
        <w:rPr>
          <w:b/>
          <w:bCs/>
        </w:rPr>
        <w:t>unrolled, differentiable module</w:t>
      </w:r>
      <w:r>
        <w:t xml:space="preserve"> within the network’s computation graph. That is, rather than running the snake as a separate post-processing, we include $T$ iterations of the snake update as layers in the network. This means the final output of the network includes the refined contours, and more importantly, gradients can be backpropagated through the contour refinement steps during training. The entire process is differentiable: the vertex movements depend on $M(v_i)$ and $\nabla M(v_i)$, which in turn depend on the deep network’s outputs (the probability maps from the GAT). Because we use bilinear interpolation to sample $M$ at arbitrary positions $v_i$, the gradient $\frac{\partial M(v_i)}{\partial v_i} = \nabla M(v_i)$ is well-defined and allows sub-pixel adjustments. Any change in the deep network’s weights that alters $M(x)$ will affect $E_{\text{ext}}$ and thereby alter the snake’s evolution, which then feeds back into the final classification. By unrolling the snake, we effectively treat the iterative optimization as a recurrent neural network (RNN) with a fixed number of time steps $T$. During training, backpropagation computes gradients through all $T$ snake iterations (similar to unrolling an RNN or an optimization in a hypernetwork). This end-to-end differentiability is vital: it means the feature extractor and GAT can learn to produce </w:t>
      </w:r>
      <w:r>
        <w:rPr>
          <w:i/>
          <w:iCs/>
        </w:rPr>
        <w:t>better features and probability maps that ultimately minimize the overall loss, including producing an $M$ that leads the snake to correct boundaries</w:t>
      </w:r>
      <w:r>
        <w:t>. The snake’s behavior is thus directly influenced by the training objective, aligning it with the classification task.</w:t>
      </w:r>
    </w:p>
    <w:p w14:paraId="7FAC2F41" w14:textId="77777777" w:rsidR="001876C8" w:rsidRDefault="00000000">
      <w:pPr>
        <w:pStyle w:val="a0"/>
      </w:pPr>
      <w:r>
        <w:t>To formalize, denote the entire deep network parameters (Transformer, CNN, GAT, etc.) as $\Theta$. The snake’s output after $T$ iterations is a set of contours $C^{(T)}(\Theta)$ which depend on $\Theta$ through $M(x;\Theta)$. The final loss (to be defined in Section 2.4) is computed from the refined segmentation given by these contours. Using the chain rule, the gradient of the loss $\mathcal{L}$ w.r.t. any parameter $\theta \in \Theta$ includes a term:</w:t>
      </w:r>
    </w:p>
    <w:p w14:paraId="0B9DBA7E" w14:textId="77777777" w:rsidR="001876C8" w:rsidRDefault="00000000">
      <w:pPr>
        <w:pStyle w:val="a0"/>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θ</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m:t>
              </m:r>
            </m:sup>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T</m:t>
                          </m:r>
                        </m:e>
                      </m:d>
                    </m:sup>
                  </m:sSubSup>
                </m:den>
              </m:f>
            </m:e>
          </m:nary>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T</m:t>
                      </m:r>
                    </m:e>
                  </m:d>
                </m:sup>
              </m:sSubSup>
            </m:num>
            <m:den>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1</m:t>
                      </m:r>
                    </m:e>
                  </m:d>
                </m:sup>
              </m:sSubSup>
            </m:num>
            <m:den>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0</m:t>
                      </m:r>
                    </m:e>
                  </m:d>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0</m:t>
                      </m:r>
                    </m:e>
                  </m:d>
                </m:sup>
              </m:sSubSup>
            </m:num>
            <m:den>
              <m:r>
                <m:rPr>
                  <m:sty m:val="p"/>
                </m:rPr>
                <w:rPr>
                  <w:rFonts w:ascii="Cambria Math" w:hAnsi="Cambria Math"/>
                </w:rPr>
                <m:t>∂</m:t>
              </m:r>
              <m:r>
                <w:rPr>
                  <w:rFonts w:ascii="Cambria Math" w:hAnsi="Cambria Math"/>
                </w:rPr>
                <m:t>θ</m:t>
              </m:r>
            </m:den>
          </m:f>
          <m:r>
            <m:rPr>
              <m:sty m:val="p"/>
            </m:rPr>
            <w:rPr>
              <w:rFonts w:ascii="Cambria Math" w:hAnsi="Cambria Math"/>
            </w:rPr>
            <m:t>,</m:t>
          </m:r>
        </m:oMath>
      </m:oMathPara>
    </w:p>
    <w:p w14:paraId="3D081A36" w14:textId="77777777" w:rsidR="001876C8" w:rsidRDefault="00000000">
      <w:pPr>
        <w:pStyle w:val="FirstParagraph"/>
      </w:pPr>
      <w:r>
        <w:t xml:space="preserve">which captures the indirect effect of $\theta$ on the final contour via all intermediate snake updates. Here $\frac{\partial v_{i}^{(t+1)}}{\partial v_{j}^{(t)}}$ can be derived from the gradient descent update formula (it involves terms like $\alpha, \beta$ and $\nabla^2 M$ etc.), and $\frac{\partial v_{i}^{(0)}}{\partial \theta}$ is through $\partial M/\partial \theta$. In practice, automatic differentiation handles this chain, and we do not need to derive these by hand, but this expression highlights that </w:t>
      </w:r>
      <w:r>
        <w:rPr>
          <w:b/>
          <w:bCs/>
        </w:rPr>
        <w:t>gradients flow from the loss through the contour positions and ultimately back to the feature extractor via $M$</w:t>
      </w:r>
      <w:r>
        <w:t>.</w:t>
      </w:r>
    </w:p>
    <w:p w14:paraId="7AE26A6C" w14:textId="77777777" w:rsidR="001876C8" w:rsidRDefault="00000000">
      <w:pPr>
        <w:pStyle w:val="a0"/>
      </w:pPr>
      <w:r>
        <w:rPr>
          <w:b/>
          <w:bCs/>
        </w:rPr>
        <w:t>Iterative Classification–Segmentation Loop:</w:t>
      </w:r>
      <w:r>
        <w:t xml:space="preserve"> We further allow the classification to update after the snake refinement (closing the loop for self-optimization). In our framework, after one full pass of snake evolution (after $T$ steps), we obtain an updated set of field contours, which correspond to a new parcel segmentation map. We then </w:t>
      </w:r>
      <w:r>
        <w:rPr>
          <w:b/>
          <w:bCs/>
        </w:rPr>
        <w:t>feed this updated segmentation back</w:t>
      </w:r>
      <w:r>
        <w:t xml:space="preserve"> into the classification stage to further refine the pixel labels. In practice, this can be done by using the new contours to assign labels to all pixels inside each contour (e.g., give each pixel the majority class of its parcel, or simply increase the confidence of that class for those pixels). This yields a cleaner label map that can replace or augment the previous one. We then recompute the superpixel features or directly update the GAT inputs for another iteration of message passing. Effectively, the snake’s output informs the next round of classification, removing residual interior errors and aligning the predictions perfectly with the refined boundaries. In our implementation on the synthetic dataset, we found that a small number of outer iterations (e.g., 2–3) suffices for convergence: the first pass yields a decent segmentation, the snake refines boundaries, then the refined map corrects interior classification errors, and one more snake refinement yields the final clean contours. The process naturally converges when parcel labels and contours are mutually consistent and the energy map $M(x)$ shows low uncertainty except at true edges. This tightly coupled loop means our model </w:t>
      </w:r>
      <w:r>
        <w:rPr>
          <w:b/>
          <w:bCs/>
        </w:rPr>
        <w:t>self-optimizes</w:t>
      </w:r>
      <w:r>
        <w:t xml:space="preserve"> its outputs: the classification gets cleaner as contours improve, and contours get more precise as classification confidence increases – a positive feedback cycle. In practice, for training we unroll </w:t>
      </w:r>
      <w:r>
        <w:rPr>
          <w:i/>
          <w:iCs/>
        </w:rPr>
        <w:t>one</w:t>
      </w:r>
      <w:r>
        <w:t xml:space="preserve"> full cycle (so that the gradient can flow through classification → snake → classification), while at test time we can iterate the process a couple of times until the changes become negligible.</w:t>
      </w:r>
    </w:p>
    <w:p w14:paraId="5B19A526" w14:textId="77777777" w:rsidR="001876C8" w:rsidRDefault="00000000">
      <w:pPr>
        <w:pStyle w:val="a0"/>
      </w:pPr>
      <w:r>
        <w:t>The end result of Module 3 is a set of final field polygons (vector outlines) each with an assigned crop label, producing a complete parcel map. These outputs can directly be used in a GIS, providing both semantic information and precise geometric delineation of agricultural parcels.</w:t>
      </w:r>
    </w:p>
    <w:p w14:paraId="01E17CA6" w14:textId="77777777" w:rsidR="001876C8" w:rsidRDefault="00000000">
      <w:pPr>
        <w:pStyle w:val="a0"/>
      </w:pPr>
      <w:r>
        <w:rPr>
          <w:b/>
          <w:bCs/>
        </w:rPr>
        <w:t>Physical Interpretability:</w:t>
      </w:r>
      <w:r>
        <w:t xml:space="preserve"> Each component of DHF-ISO has an intuitive physical meaning. The optical/SAR feature extractor separates reflectance-driven phenology </w:t>
      </w:r>
      <w:r>
        <w:lastRenderedPageBreak/>
        <w:t>from radar backscatter texture, which correspond to crop biochemical properties and structure, respectively – by integrating both, the model captures a more complete picture of crop status (Veloso et al., 2017; Vreugdenhil et al., 2018). The GAT graph explicitly mimics how fields are spatially organized, with attention weights effectively learning which adjacent regions are part of the same field (high attention) versus different fields (low attention). This reflects field topology – e.g., a superpixel in a wheat field will attend strongly to neighbors within that field (propagating the “wheat” label) but not to an adjacent superpixel across a boundary in a corn field. The learned entropy map highlights physical boundary zones, often corresponding to areas of mixed vegetation (e.g., hedgerows, or transitions from crop to fallow) or zones of sensor noise. Finally, the snake’s behavior can be interpreted like a human digitizing fields: it looks for subtle cues in multi-modal data (a slight texture change in SAR, a small NDVI drop in optical) to “snap” the boundary to the correct location, while ensuring the shape remains smooth and plausible.</w:t>
      </w:r>
    </w:p>
    <w:p w14:paraId="4277979D" w14:textId="77777777" w:rsidR="001876C8" w:rsidRDefault="00000000">
      <w:pPr>
        <w:pStyle w:val="3"/>
      </w:pPr>
      <w:bookmarkStart w:id="9" w:name="Xb790f35c463a632fd27b7a4fb4bdefccf77e584"/>
      <w:bookmarkEnd w:id="8"/>
      <w:r>
        <w:t>2.4 Training Objective and Theoretical Analysis</w:t>
      </w:r>
    </w:p>
    <w:p w14:paraId="01003B6E" w14:textId="77777777" w:rsidR="001876C8" w:rsidRDefault="00000000">
      <w:pPr>
        <w:pStyle w:val="FirstParagraph"/>
      </w:pPr>
      <w:r>
        <w:rPr>
          <w:b/>
          <w:bCs/>
        </w:rPr>
        <w:t>Compound Loss Function and End-to-End Differentiability:</w:t>
      </w:r>
      <w:r>
        <w:t xml:space="preserve"> We train the entire DHF-ISO model in an end-to-end fashion by defining a compound loss that encapsulates the parcel-level classification and delineation objectives. The primary supervision comes from the known crop type for each pixel (or each field) in the training data. We use a standard cross-entropy loss on the final pixel-wise class probabilities (after the full iterative refinement). Let $\hat{y}(x)$ be the predicted class label for pixel $x$ and $y(x)$ the ground-truth label. We minimize the pixel-wise cross-entropy:</w:t>
      </w:r>
    </w:p>
    <w:p w14:paraId="00F4A9D4" w14:textId="77777777" w:rsidR="001876C8"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nor/>
                </m:rPr>
                <m:t>cls</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X</m:t>
                  </m:r>
                </m:e>
              </m:d>
            </m:den>
          </m:f>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X</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cr m:val="double-struck"/>
                      <m:sty m:val="p"/>
                    </m:rPr>
                    <w:rPr>
                      <w:rFonts w:ascii="Cambria Math" w:hAnsi="Cambria Math"/>
                    </w:rPr>
                    <m:t>I</m:t>
                  </m:r>
                </m:e>
              </m:nary>
            </m:e>
          </m:nary>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e>
          </m:d>
          <m:r>
            <m:rPr>
              <m:sty m:val="p"/>
            </m:rPr>
            <w:rPr>
              <w:rFonts w:ascii="Cambria Math" w:hAnsi="Cambria Math"/>
            </w:rPr>
            <m:t>log</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c</m:t>
              </m:r>
            </m:sub>
          </m:sSub>
          <m:d>
            <m:dPr>
              <m:ctrlPr>
                <w:rPr>
                  <w:rFonts w:ascii="Cambria Math" w:hAnsi="Cambria Math"/>
                </w:rPr>
              </m:ctrlPr>
            </m:dPr>
            <m:e>
              <m:r>
                <w:rPr>
                  <w:rFonts w:ascii="Cambria Math" w:hAnsi="Cambria Math"/>
                </w:rPr>
                <m:t>x</m:t>
              </m:r>
            </m:e>
          </m:d>
          <m:r>
            <m:rPr>
              <m:sty m:val="p"/>
            </m:rPr>
            <w:rPr>
              <w:rFonts w:ascii="Cambria Math" w:hAnsi="Cambria Math"/>
            </w:rPr>
            <m:t>,</m:t>
          </m:r>
        </m:oMath>
      </m:oMathPara>
    </w:p>
    <w:p w14:paraId="4523ECB4" w14:textId="77777777" w:rsidR="001876C8" w:rsidRDefault="00000000">
      <w:pPr>
        <w:pStyle w:val="FirstParagraph"/>
      </w:pPr>
      <w:r>
        <w:t>where $\tilde{p}</w:t>
      </w:r>
      <w:r>
        <w:rPr>
          <w:i/>
          <w:iCs/>
        </w:rPr>
        <w:t>c(x)$ is the model’s final probability for class $c$ at pixel $x$, and $\mathbb{I}$ is the indicator function. (This simplifies to $-\frac{1}{|X|}\sum</w:t>
      </w:r>
      <w:r>
        <w:t>(x)$ when summing only over the true class.) This term drives the model to correctly classify each pixel.} \log \tilde{p}_{y(x)</w:t>
      </w:r>
    </w:p>
    <w:p w14:paraId="0E3C8DB2" w14:textId="77777777" w:rsidR="001876C8" w:rsidRDefault="00000000">
      <w:pPr>
        <w:pStyle w:val="a0"/>
      </w:pPr>
      <w:r>
        <w:t xml:space="preserve">In addition, we include regularization terms on network weights (e.g., $L_2$ weight decay on $\Theta$) to prevent overfitting, which we denote $L_{\text{reg}} = \lambda |\Theta|^2$ with $\lambda$ small. </w:t>
      </w:r>
      <w:r>
        <w:rPr>
          <w:b/>
          <w:bCs/>
        </w:rPr>
        <w:t>All components of our model contribute to $L_{\text{cls}}$ through differentiation.</w:t>
      </w:r>
      <w:r>
        <w:t xml:space="preserve"> Notably, the snake has no direct supervision (we do not provide ground-truth contours as targets, though if available one could add a boundary alignment loss such as a chamfer distance between predicted and true contours). Instead, the snake’s effect is felt through the classification loss: by refining the segmentation, it helps reduce classification errors at field edges, which lowers $L_{\text{cls}}$. Because the snake is differentiable, the gradient $\nabla L_{\text{cls}}$ will flow into the snake module and further into the GAT and feature extractor. For example, if a particular field’s </w:t>
      </w:r>
      <w:r>
        <w:lastRenderedPageBreak/>
        <w:t xml:space="preserve">boundary is misaligned such that some pixels inside a corn field are wrongly labeled as wheat, the cross-entropy loss will be high for those pixels. The gradient will pass through the snake (which influences those labels via the contour) and adjust $M(x)$ and the GAT output so that in the next iteration the contour can move to better separate the fields. In effect, the network learns to output meta-features and initial contours that ultimately </w:t>
      </w:r>
      <w:r>
        <w:rPr>
          <w:b/>
          <w:bCs/>
        </w:rPr>
        <w:t>minimize the final classification error</w:t>
      </w:r>
      <w:r>
        <w:t xml:space="preserve"> when the snake reaches equilibrium. We emphasize that </w:t>
      </w:r>
      <w:r>
        <w:rPr>
          <w:b/>
          <w:bCs/>
        </w:rPr>
        <w:t>the entire model, from raw input images to final vectorized polygons, is differentiable</w:t>
      </w:r>
      <w:r>
        <w:t>. The Transformer and CNN propagate gradients in the usual way. The GAT, being a neural network, is differentiable with respect to its inputs and parameters (including the attention weights). The superpixel pooling and unpooling operations (to form the graph and then pixel map) are mostly linear assignments (gradients can flow back by accumulation to pixel features). The energy map computation involves entropy (which is differentiable for $\tilde{p}</w:t>
      </w:r>
      <w:r>
        <w:rPr>
          <w:i/>
          <w:iCs/>
        </w:rPr>
        <w:t>c(x)&gt;0$) and spatial gradients (linear filters) or variances (which are differentiable). Finally, the snake module, formulated as $T$ iterations of a differentiable update, is by construction amenable to gradient backpropagation. The use of bilinear interpolation for $M(v_i)$ is crucial, as it provides a smooth approximation so that $\partial M/\partial v$ exists. This is analogous to spatial transformer networks or differentiable rendering, where sampling an image at continuous coordinates allows gradients to flow to the sampling location (Jaderberg et al., 2015; Hatamizadeh et al., 2019). In our case, the gradient of the loss with respect to a contour vertex $v_i$ will be propagated into the gradient of $M$ at that location: $\frac{\partial L</w:t>
      </w:r>
      <w:r>
        <w:t xml:space="preserve"> \cdot \nabla M(v_i)$. Since $M(x)$ depends on earlier network layers, this ultimately updates the network weights to reduce the energy at locations that caused high loss, thus improving the contour alignment in future iterations. This tight coupling via differentiation is what allows }}}{\partial v_i} \propto \frac{\partial L_{\text{cls}}}{\partial M(v_i)</w:t>
      </w:r>
      <w:r>
        <w:rPr>
          <w:b/>
          <w:bCs/>
        </w:rPr>
        <w:t>end-to-end training</w:t>
      </w:r>
      <w:r>
        <w:t xml:space="preserve"> of DHF-ISO.</w:t>
      </w:r>
    </w:p>
    <w:p w14:paraId="441497CB" w14:textId="77777777" w:rsidR="001876C8" w:rsidRDefault="00000000">
      <w:pPr>
        <w:pStyle w:val="a0"/>
      </w:pPr>
      <w:r>
        <w:rPr>
          <w:b/>
          <w:bCs/>
        </w:rPr>
        <w:t>Convergence Analysis of the Snake Process:</w:t>
      </w:r>
      <w:r>
        <w:t xml:space="preserve"> The iterative snake optimization can be viewed as a gradient descent on the snake energy $E_{\text{snake}}$. Each small step is guaranteed to decrease $E_{\text{snake}}$ as long as the step size $\eta$ is sufficiently small and the energy is smooth. The internal energy terms are convex quadratic functions in the vertex coordinates, and the external energy, while not globally convex (since $M(x)$ can have many local minima along complicated boundary structures), is relatively smooth for our learned $M$ (which typically varies gradually except at actual edges). In practice, we set $\eta$ such that the contour evolution is stable and monotonic in terms of energy reduction. The snake will converge to a </w:t>
      </w:r>
      <w:r>
        <w:rPr>
          <w:b/>
          <w:bCs/>
        </w:rPr>
        <w:t>local minimum</w:t>
      </w:r>
      <w:r>
        <w:t xml:space="preserve"> of $E_{\text{snake}}$ where the forces balance out (the Euler-Lagrange equation is satisfied). This corresponds to a situation where the contour cannot further decrease the total energy – typically when it lies along a trough in $M(x)$ (where moving in either direction increases $M$) and has achieved a compromise between tightness and smoothness. We assume that the initial contour is close to the true boundary; this means the snake does not need to travel </w:t>
      </w:r>
      <w:r>
        <w:lastRenderedPageBreak/>
        <w:t>far and the local minimum it converges to is likely the correct boundary (active contours are known to be sensitive to initialization, but here the initialization from the GAT is already quite good). Under this assumption, and given that we include strong internal regularization (which makes the energy landscape more convex by discouraging wild shapes), we observe consistent convergence to the desired solution. Empirically, we found that 5 iterations of the snake were enough to stabilize the energy in most cases. If one considers the continuous-time limit (making $\eta \to 0$ and iterations $\to \infty$), the process can be seen as solving a gradient flow $ \partial C / \partial t = -\frac{\partial E_{\text{snake}}}{\partial C}$, which under standard conditions will converge to a (local) minimum of $E_{\text{snake}}$ (provided such minimum exists and is in the basin of attraction of the initial contour). While a formal global convergence guarantee is difficult (because $E_{\text{ext}}$ is not convex globally and multiple nearby boundaries can cause local minima), our design choices (good initialization, combined cues in $M$) mitigate the chances of getting stuck in a wrong minimum. In practice on our dataset, the snake always converged to the correct field boundaries after a few iterations, indicating a robust process.</w:t>
      </w:r>
    </w:p>
    <w:p w14:paraId="65100E13" w14:textId="77777777" w:rsidR="001876C8" w:rsidRDefault="00000000">
      <w:pPr>
        <w:pStyle w:val="a0"/>
      </w:pPr>
      <w:r>
        <w:t xml:space="preserve">The </w:t>
      </w:r>
      <w:r>
        <w:rPr>
          <w:b/>
          <w:bCs/>
        </w:rPr>
        <w:t>outer loop</w:t>
      </w:r>
      <w:r>
        <w:t xml:space="preserve"> of classification–segmentation iterations (contour refinement followed by classification update) can be seen as an </w:t>
      </w:r>
      <w:r>
        <w:rPr>
          <w:b/>
          <w:bCs/>
        </w:rPr>
        <w:t>alternating optimization</w:t>
      </w:r>
      <w:r>
        <w:t xml:space="preserve"> between two coupled problems: (a) labeling pixels given contours, and (b) adjusting contours given labeling. Each of these steps, if done to optimality, would not increase the overall joint objective (one could imagine a unified energy that includes segmentation accuracy and contour energy). Our approach performs a few rounds of this alternation. We observed that after the second round, improvements in accuracy and boundary alignment were marginal, so we stop. Theoretically, if each step strictly decreases a combined loss, the process would converge. Here, because we only approximately solve each sub-problem (a few gradient descent steps for snake, and a limited update for classification), we rely on empirical convergence. Nonetheless, the fact that our model’s predictions stabilize after a couple of iterations suggests that in the energy landscape of the joint problem, our alternating updates quickly reach a stable fixed point (a Nash equilibrium between classification and delineation). This equilibrium corresponds to a consistent interpretation of the scene: the classes assigned to each parcel agree with the delineated parcel boundaries, and vice versa.</w:t>
      </w:r>
    </w:p>
    <w:p w14:paraId="33F8EC1C" w14:textId="77777777" w:rsidR="001876C8" w:rsidRDefault="00000000">
      <w:pPr>
        <w:pStyle w:val="a0"/>
      </w:pPr>
      <w:r>
        <w:rPr>
          <w:b/>
          <w:bCs/>
        </w:rPr>
        <w:t>Computational Complexity Analysis:</w:t>
      </w:r>
      <w:r>
        <w:t xml:space="preserve"> We analyze the computational complexity of each component of DHF-ISO to understand scalability. Let the input image have $N$ pixels (with $N = H \times W$ for image height $H$ and width $W$) and let $T_{\text{opt}}$ be the number of optical images (dates) and $T_{\text{sar}}$ the number of SAR images in the time series.</w:t>
      </w:r>
    </w:p>
    <w:p w14:paraId="6F86B5A7" w14:textId="77777777" w:rsidR="001876C8" w:rsidRDefault="00000000">
      <w:pPr>
        <w:numPr>
          <w:ilvl w:val="0"/>
          <w:numId w:val="6"/>
        </w:numPr>
      </w:pPr>
      <w:r>
        <w:rPr>
          <w:i/>
          <w:iCs/>
        </w:rPr>
        <w:t>Deep feature extraction (Module 1):</w:t>
      </w:r>
      <w:r>
        <w:t xml:space="preserve"> The optical Transformer processes patches of the image; with the Swin Transformer (windowed self-attention), the complexity is approximately linear in $N$ (because self-attention is local </w:t>
      </w:r>
      <w:r>
        <w:lastRenderedPageBreak/>
        <w:t>within windows of fixed size)</w:t>
      </w:r>
      <w:hyperlink r:id="rId5" w:anchor=":~:text=Dual,50%29%20to%20extract">
        <w:r>
          <w:rPr>
            <w:rStyle w:val="af"/>
          </w:rPr>
          <w:t>[1]</w:t>
        </w:r>
      </w:hyperlink>
      <w:hyperlink r:id="rId6" w:anchor=":~:text=resolution,The%20output%20of">
        <w:r>
          <w:rPr>
            <w:rStyle w:val="af"/>
          </w:rPr>
          <w:t>[2]</w:t>
        </w:r>
      </w:hyperlink>
      <w:r>
        <w:t>. A standard vision Transformer would have $O(N^2)$ complexity for global attention, but Swin reduces this dramatically to roughly $O(N)$ per layer (plus lower-order terms for merging layers). The CNN for SAR (ResNet-50) has complexity $O(N \cdot k^2 \cdot d)$ per layer, where $k$ is the convolution kernel size (e.g., $3$) and $d$ is the number of filters, making it also linear in $N$. Both streams operate in parallel. The fusion via $1\times1$ conv/MLP is $O(N \cdot d_{\text{fusion}} \cdot d_{\text{in}})$ for combining features, again linear in number of pixels. In summary, Module 1 scales approximately as $O(N)$ (proportional to image area and number of time steps), making it feasible for typical remote sensing image sizes (e.g., $1000\times1000$ pixels).</w:t>
      </w:r>
    </w:p>
    <w:p w14:paraId="1DF3AC73" w14:textId="77777777" w:rsidR="001876C8" w:rsidRDefault="00000000">
      <w:pPr>
        <w:numPr>
          <w:ilvl w:val="0"/>
          <w:numId w:val="6"/>
        </w:numPr>
      </w:pPr>
      <w:r>
        <w:rPr>
          <w:i/>
          <w:iCs/>
        </w:rPr>
        <w:t>Graph construction (Module 2 input):</w:t>
      </w:r>
      <w:r>
        <w:t xml:space="preserve"> Forming superpixels with SLIC is $O(N \log N)$ or roughly $O(N)$ in practice, as it involves a few iterations over pixels with local updates. The number of superpixels $N_s$ is much smaller than $N$ (e.g., if each superpixel ~100 pixels, $N_s \approx N/100$). Constructing the adjacency graph by checking neighbor relationships is $O(N_s)$ if we only connect adjacent labeled regions (which can be done efficiently by scanning image edges).</w:t>
      </w:r>
    </w:p>
    <w:p w14:paraId="282B7718" w14:textId="77777777" w:rsidR="001876C8" w:rsidRDefault="00000000">
      <w:pPr>
        <w:numPr>
          <w:ilvl w:val="0"/>
          <w:numId w:val="6"/>
        </w:numPr>
      </w:pPr>
      <w:r>
        <w:rPr>
          <w:i/>
          <w:iCs/>
        </w:rPr>
        <w:t>Graph Attention Network (Module 2 GAT):</w:t>
      </w:r>
      <w:r>
        <w:t xml:space="preserve"> Let $N_s$ be the number of superpixel nodes and $E_s$ the number of edges in the graph. Typically, each superpixel has a small number of neighbors (on a regular image grid, average degree is ~6). Thus $E_s = O(N_s)$ for planar graphs. Each GAT layer computes attention scores for each edge and aggregates messages. The complexity per layer is $O(E_s \cdot d_h)$ for computing $e_{ij}$ (which is a small neural net per edge) plus $O(E_s \cdot d_h)$ for aggregating messages (or $O(N_s \cdot d_h)$ if implemented by gathering from neighbors), where $d_h$ is the dimension of node features</w:t>
      </w:r>
      <w:hyperlink r:id="rId7" w:anchor=":~:text=Graph%20Attention%20Network%20,Intuitively%2C%20superpixels%20belonging%20to%20the">
        <w:r>
          <w:rPr>
            <w:rStyle w:val="af"/>
          </w:rPr>
          <w:t>[3]</w:t>
        </w:r>
      </w:hyperlink>
      <w:hyperlink r:id="rId8" w:anchor=":~:text=The%20GAT%20performs%20message%20passing%3A,stack%20multiple%20GAT%20layers%20such">
        <w:r>
          <w:rPr>
            <w:rStyle w:val="af"/>
          </w:rPr>
          <w:t>[4]</w:t>
        </w:r>
      </w:hyperlink>
      <w:r>
        <w:t>. This is linear in the number of edges. With a fixed number of layers $L$, the GAT is $O(N_s + E_s)$, effectively $O(N_s)$ given $E_s \sim c \, N_s$. Since $N_s \ll N$, the graph module is very fast compared to pixel-wise CNN processing. For example, if $N=10^6$ and $N_s=10^4$, and each GAT layer has $d_h=128$, then even with a few thousand edges the operations are negligible relative to CNN/Transformer.</w:t>
      </w:r>
    </w:p>
    <w:p w14:paraId="268499DA" w14:textId="77777777" w:rsidR="001876C8" w:rsidRDefault="00000000">
      <w:pPr>
        <w:numPr>
          <w:ilvl w:val="0"/>
          <w:numId w:val="6"/>
        </w:numPr>
      </w:pPr>
      <w:r>
        <w:rPr>
          <w:i/>
          <w:iCs/>
        </w:rPr>
        <w:t>Meta-feature computation:</w:t>
      </w:r>
      <w:r>
        <w:t xml:space="preserve"> Calculating entropy $E(x)$ is $O(C)$ per pixel (summing over classes), spatial gradients for $G(x)$ is constant per pixel (small filter), and combining maps is $O(N)$. So this is linear in $N$ and extremely fast (just simple pixel-wise operations).</w:t>
      </w:r>
    </w:p>
    <w:p w14:paraId="480F1AA2" w14:textId="77777777" w:rsidR="001876C8" w:rsidRDefault="00000000">
      <w:pPr>
        <w:numPr>
          <w:ilvl w:val="0"/>
          <w:numId w:val="6"/>
        </w:numPr>
      </w:pPr>
      <w:r>
        <w:rPr>
          <w:i/>
          <w:iCs/>
        </w:rPr>
        <w:t>Snake contour evolution (Module 3):</w:t>
      </w:r>
      <w:r>
        <w:t xml:space="preserve"> The complexity of the snake depends on the total number of vertices across all contours and the number of iterations $T$. Suppose the image has $K$ fields and on average each field’s contour has $n$ vertices (proportional to its perimeter). The total number of vertices </w:t>
      </w:r>
      <w:r>
        <w:lastRenderedPageBreak/>
        <w:t>$N_v \approx K \cdot n$. In worst case, if fields are very irregular, $n$ could be proportional to field area (and $K=1$), but typically $n$ scales with the square root of area. For many small fields, $K$ increases but each $n$ remains small. In our synthetic dataset (~50 fields in a $1000\times1000$ image), we had on the order of $N_v \sim 10^4$ total vertices, which is much smaller than $N=10^6$ pixels. Each snake iteration computes image forces by sampling $M$ at each vertex (bilinear interpolation, $O(N_v)$) and internal forces by simple differences between adjacent vertices ($O(N_v)$). Solving the updates or performing gradient steps is $O(N_v)$. So one iteration is linear in number of vertices. For $T$ iterations, $O(T \cdot N_v)$. With small $T$ (5 or 10) and moderate $N_v$, this is quite efficient. In our implementation, the snake updates are done on CPU in Python for clarity; thus they took a noticeable portion of runtime (a few seconds for a $1000\times1000$ image, with most of that in the snake)</w:t>
      </w:r>
      <w:hyperlink r:id="rId9" w:anchor=":~:text=a%20few%20seconds%20for%20a,snake%20iteration%20schedule%20for%20speed">
        <w:r>
          <w:rPr>
            <w:rStyle w:val="af"/>
          </w:rPr>
          <w:t>[5]</w:t>
        </w:r>
      </w:hyperlink>
      <w:r>
        <w:t>. However, these could be vectorized or implemented on GPU for significant speedup. Even unoptimized, the total runtime was on the order of a few seconds per image, which is acceptable for many agricultural applications. For large-area mapping (country scale), one could tile the image and process tiles in parallel, or reduce the number of snake iterations once boundaries are roughly correct to speed up inference</w:t>
      </w:r>
      <w:hyperlink r:id="rId10" w:anchor=":~:text=a%20few%20seconds%20for%20a,snake%20iteration%20schedule%20for%20speed">
        <w:r>
          <w:rPr>
            <w:rStyle w:val="af"/>
          </w:rPr>
          <w:t>[5]</w:t>
        </w:r>
      </w:hyperlink>
      <w:r>
        <w:t>.</w:t>
      </w:r>
    </w:p>
    <w:p w14:paraId="067D9BE9" w14:textId="77777777" w:rsidR="001876C8" w:rsidRDefault="00000000">
      <w:pPr>
        <w:pStyle w:val="FirstParagraph"/>
      </w:pPr>
      <w:r>
        <w:t xml:space="preserve">In summary, </w:t>
      </w:r>
      <w:r>
        <w:rPr>
          <w:b/>
          <w:bCs/>
        </w:rPr>
        <w:t>the dominant complexity term in training is linear in the number of pixels (due to the deep feature extraction)</w:t>
      </w:r>
      <w:r>
        <w:t>, which is typical for CNN/Transformer models. The graph and snake modules add overhead that grows slower than image size (graph grows with area but with much smaller constant, snake grows with perimeter length). Memory-wise, the deep features require storing feature maps (size $N \times d$), the graph uses negligible memory (thousands of nodes), and the snake stores coordinates of vertices. Our experiments used a single GPU with 16 GB memory without issues for $1000\times1000$ images. Thus, DHF-ISO is computationally feasible and can be applied to high-resolution imagery by leveraging the fact that not all components scale with the number of pixels in the same way.</w:t>
      </w:r>
    </w:p>
    <w:p w14:paraId="1BD2F211" w14:textId="77777777" w:rsidR="001876C8" w:rsidRDefault="00000000">
      <w:pPr>
        <w:pStyle w:val="2"/>
      </w:pPr>
      <w:bookmarkStart w:id="10" w:name="experiments-and-results"/>
      <w:bookmarkEnd w:id="5"/>
      <w:bookmarkEnd w:id="9"/>
      <w:r>
        <w:t>3. Experiments and Results</w:t>
      </w:r>
    </w:p>
    <w:p w14:paraId="069D4767" w14:textId="77777777" w:rsidR="001876C8" w:rsidRDefault="00000000">
      <w:pPr>
        <w:pStyle w:val="3"/>
      </w:pPr>
      <w:bookmarkStart w:id="11" w:name="dataset-and-experimental-setup"/>
      <w:r>
        <w:t>3.1 Dataset and Experimental Setup</w:t>
      </w:r>
    </w:p>
    <w:p w14:paraId="5AC8E9FF" w14:textId="77777777" w:rsidR="001876C8" w:rsidRDefault="00000000">
      <w:pPr>
        <w:pStyle w:val="FirstParagraph"/>
      </w:pPr>
      <w:r>
        <w:rPr>
          <w:b/>
          <w:bCs/>
        </w:rPr>
        <w:t>Synthetic Multi-Modal Dataset:</w:t>
      </w:r>
      <w:r>
        <w:t xml:space="preserve"> We created a controlled dataset to rigorously evaluate parcel-level classification performance. A realistic multi-temporal image stack was synthesized, comprising a $1000\times1000$ pixel scene at 10 m resolution (covering ~100 km²). Three land cover classes are present: corn fields, wheat fields, and non-cultivated land (a mix of fallow or natural vegetation). The temporal dimension includes 10 dates throughout a notional growing season. For each class, spectral trajectories were modeled based on typical crop phenology: e.g., corn has low reflectance (and low NDVI) early in the season, peaking mid-</w:t>
      </w:r>
      <w:r>
        <w:lastRenderedPageBreak/>
        <w:t>season, then senescing; wheat has an earlier peak; fallow remains low and stable. We generated synthetic Sentinel-2 optical observations by assigning each pixel a reflectance time series according to its class, adding realistic per-pixel variation and sensor noise. Clouds were randomly placed on a few dates to simulate missing data. Corresponding Sentinel-1 VV/VH time series were generated using class-specific backscatter patterns (e.g., increasing VH as crops grow taller, more temporal noise for fallow), with speckle noise injected (simulated via a Gamma distribution). We also computed example expert features: NDVI at each date (directly from the synthetic Sentinel-2 data) and a simple texture measure (local standard deviation in a 3×3 window of SAR intensity). All data were co-registered to the same grid.</w:t>
      </w:r>
    </w:p>
    <w:p w14:paraId="68C5C296" w14:textId="77777777" w:rsidR="001876C8" w:rsidRDefault="00000000">
      <w:pPr>
        <w:pStyle w:val="a0"/>
      </w:pPr>
      <w:r>
        <w:t>The ground truth for this dataset is a vector map of field polygons with labels corn, wheat, or non-cultivated. We designed fields of varying size and shape – including some irregular boundaries to test the snake’s ability. Small “micro-parcels” (on the order of 0.2 ha, i.e. ~20 pixels in area) are included to simulate smallholder fields, which are challenging for pixel-based methods to map. In total, our synthetic scene contains about 50 fields: ~20 corn fields, ~20 wheat fields, and the rest fallow or forest patches. This synthetic dataset allows full control and exact ground truth delineations for quantitative evaluation. Importantly, while synthetic, the data reflect realistic multispectral and SAR behavior (based on agricultural literature), providing a meaningful testbed for the methodology.</w:t>
      </w:r>
    </w:p>
    <w:p w14:paraId="05C6E45D" w14:textId="77777777" w:rsidR="001876C8" w:rsidRDefault="00000000">
      <w:pPr>
        <w:pStyle w:val="a0"/>
      </w:pPr>
      <w:r>
        <w:rPr>
          <w:b/>
          <w:bCs/>
        </w:rPr>
        <w:t>Baselines:</w:t>
      </w:r>
      <w:r>
        <w:t xml:space="preserve"> We compare DHF-ISO against several baseline methods representative of different approaches:</w:t>
      </w:r>
    </w:p>
    <w:p w14:paraId="3A337E88" w14:textId="77777777" w:rsidR="001876C8" w:rsidRDefault="00000000">
      <w:pPr>
        <w:numPr>
          <w:ilvl w:val="0"/>
          <w:numId w:val="7"/>
        </w:numPr>
      </w:pPr>
      <w:r>
        <w:rPr>
          <w:i/>
          <w:iCs/>
        </w:rPr>
        <w:t>Pixel-based U-Net:</w:t>
      </w:r>
      <w:r>
        <w:t xml:space="preserve"> a standard U-Net semantic segmentation model (Ronneberger et al., 2015) using the same input bands (optical + SAR channels concatenated). We train it to predict the three classes on the pixel grid, simulating a conventional pixel-wise deep learning approach. This baseline shows the performance of purely pixel-level classification without any explicit parcel modeling.</w:t>
      </w:r>
    </w:p>
    <w:p w14:paraId="6489EA77" w14:textId="77777777" w:rsidR="001876C8" w:rsidRDefault="00000000">
      <w:pPr>
        <w:numPr>
          <w:ilvl w:val="0"/>
          <w:numId w:val="7"/>
        </w:numPr>
      </w:pPr>
      <w:r>
        <w:rPr>
          <w:i/>
          <w:iCs/>
        </w:rPr>
        <w:t>Mask2Former (instance segmentation):</w:t>
      </w:r>
      <w:r>
        <w:t xml:space="preserve"> a recent transformer-based segmentation approach that produces object masks (Cheng et al., 2022). We configure it to segment field instances, treating each field as an object to be detected and classified. Mask2Former represents the state-of-the-art in instance segmentation; evaluating it in our context tests whether an advanced instance segmentation method (with no special handling of multi-modal data or active contours) can achieve similar results to ours.</w:t>
      </w:r>
    </w:p>
    <w:p w14:paraId="19F4C6E0" w14:textId="77777777" w:rsidR="001876C8" w:rsidRDefault="00000000">
      <w:pPr>
        <w:numPr>
          <w:ilvl w:val="0"/>
          <w:numId w:val="7"/>
        </w:numPr>
      </w:pPr>
      <w:r>
        <w:rPr>
          <w:i/>
          <w:iCs/>
        </w:rPr>
        <w:t>OBIA (object-based):</w:t>
      </w:r>
      <w:r>
        <w:t xml:space="preserve"> an approach emulating a classical GIS workflow. We first apply multi-resolution image segmentation (using prior knowledge of the approximate number of fields to set the scale parameter optimally), then extract spectral and texture features for each segment, and finally classify </w:t>
      </w:r>
      <w:r>
        <w:lastRenderedPageBreak/>
        <w:t xml:space="preserve">each segment with a Random Forest classifier. This baseline tests whether </w:t>
      </w:r>
      <w:r>
        <w:rPr>
          <w:i/>
          <w:iCs/>
        </w:rPr>
        <w:t>perfect</w:t>
      </w:r>
      <w:r>
        <w:t xml:space="preserve"> or near-perfect segmentation combined with traditional classification can match our performance. We gave OBIA an advantage by using the known number of ground-truth segments to fine-tune its segmentation, essentially showing an upper bound of how well a static segmentation + ML classifier could do.</w:t>
      </w:r>
    </w:p>
    <w:p w14:paraId="5E7E4B93" w14:textId="77777777" w:rsidR="001876C8" w:rsidRDefault="00000000">
      <w:pPr>
        <w:pStyle w:val="FirstParagraph"/>
      </w:pPr>
      <w:r>
        <w:t>These baselines cover the spectrum of methodologies: pixel-level deep learning (U-Net), instance-level deep learning (Mask2Former), and object-based analysis with machine learning (OBIA).</w:t>
      </w:r>
    </w:p>
    <w:p w14:paraId="2E263C31" w14:textId="77777777" w:rsidR="001876C8" w:rsidRDefault="00000000">
      <w:pPr>
        <w:pStyle w:val="a0"/>
      </w:pPr>
      <w:r>
        <w:t xml:space="preserve">We also perform </w:t>
      </w:r>
      <w:r>
        <w:rPr>
          <w:b/>
          <w:bCs/>
        </w:rPr>
        <w:t>ablation experiments</w:t>
      </w:r>
      <w:r>
        <w:t xml:space="preserve"> on variants of our model to assess the contribution of each module: (a) </w:t>
      </w:r>
      <w:r>
        <w:rPr>
          <w:i/>
          <w:iCs/>
        </w:rPr>
        <w:t>w/o GNN</w:t>
      </w:r>
      <w:r>
        <w:t xml:space="preserve"> – remove the graph module (Module 2), i.e. use only the dual-stream feature extractor and then directly apply the snake on the pixel-wise classification result. This tests the importance of the pixel–parcel relation modeling for smoothing. (b) </w:t>
      </w:r>
      <w:r>
        <w:rPr>
          <w:i/>
          <w:iCs/>
        </w:rPr>
        <w:t>w/o Meta-features</w:t>
      </w:r>
      <w:r>
        <w:t xml:space="preserve"> – use the snake on the raw probability map without the enhanced entropy/stability channels (i.e., derive the snake’s external energy purely from the image intensity or class probability gradient, similar to a classic edge-based snake). This examines the benefit of our learned meta-features. (c) </w:t>
      </w:r>
      <w:r>
        <w:rPr>
          <w:i/>
          <w:iCs/>
        </w:rPr>
        <w:t>w/o Handcrafted</w:t>
      </w:r>
      <w:r>
        <w:t xml:space="preserve"> – do not input the handcrafted features (use only raw optical and SAR bands), to see if the network can compensate for lack of expert features or if those features provided a measurable boost. (d) </w:t>
      </w:r>
      <w:r>
        <w:rPr>
          <w:i/>
          <w:iCs/>
        </w:rPr>
        <w:t>w/o Snake</w:t>
      </w:r>
      <w:r>
        <w:t xml:space="preserve"> – stop the pipeline after the GNN stage, outputting the superpixel-merged classification without contour refinement (essentially an object-based classification using superpixels). This isolates the impact of the snake module on final performance.</w:t>
      </w:r>
    </w:p>
    <w:p w14:paraId="0BDFEBF6" w14:textId="77777777" w:rsidR="001876C8" w:rsidRDefault="00000000">
      <w:pPr>
        <w:pStyle w:val="a0"/>
      </w:pPr>
      <w:r>
        <w:rPr>
          <w:b/>
          <w:bCs/>
        </w:rPr>
        <w:t>Training Protocol:</w:t>
      </w:r>
      <w:r>
        <w:t xml:space="preserve"> All models (including baselines, where applicable) are trained on the simulated data. We use 80% of the fields for training and 20% for testing, ensuring each class appears in the test set. A small portion (10% of training fields) is held out as a validation set for hyperparameter tuning and early stopping.</w:t>
      </w:r>
    </w:p>
    <w:p w14:paraId="286BECC6" w14:textId="77777777" w:rsidR="001876C8" w:rsidRDefault="00000000">
      <w:pPr>
        <w:pStyle w:val="a0"/>
      </w:pPr>
      <w:r>
        <w:t xml:space="preserve">For </w:t>
      </w:r>
      <w:r>
        <w:rPr>
          <w:b/>
          <w:bCs/>
        </w:rPr>
        <w:t>DHF-ISO</w:t>
      </w:r>
      <w:r>
        <w:t>, we train the entire network end-to-end using the Adam optimizer. The initial learning rate is set to $10^{-4}$ for the feature extractor and GNN parameters, and a smaller $10^{-5}$ for the snake parameters – we found the snake component requires a lower learning rate for stable convergence, likely because the snake’s updates (being essentially an RNN) can otherwise introduce high-frequency oscillations if trained too aggressively. We train for 50 epochs, which is sufficient for convergence on this dataset (validation loss plateaued around epoch 40). We apply standard techniques like learning rate decay (reducing by a factor of 0.5 after 10 epochs of no improvement on validation loss) and early stopping based on validation IoU to avoid overfitting.</w:t>
      </w:r>
    </w:p>
    <w:p w14:paraId="4F672871" w14:textId="77777777" w:rsidR="001876C8" w:rsidRDefault="00000000">
      <w:pPr>
        <w:pStyle w:val="a0"/>
      </w:pPr>
      <w:r>
        <w:t xml:space="preserve">The U-Net and Mask2Former baselines are trained for a similar number of epochs, with their learning rates and other hyperparameters tuned to maximize validation IoU. We found learning rates of $5\times10^{-4}$ for U-Net and $10^{-4}$ for </w:t>
      </w:r>
      <w:r>
        <w:lastRenderedPageBreak/>
        <w:t>Mask2Former to work well (with their default optimizers). For Mask2Former, we used a pretrained ResNet-50 backbone to give it a strong start, fine-tuning it on our data. The OBIA approach does not involve a learning algorithm for segmentation (we set the segmentation scale manually with guidance from ground truth), and uses a Random Forest with 100 trees for classification, trained on the same training fields (using features like mean reflectance in each band, mean NDVI, etc., per segment).</w:t>
      </w:r>
    </w:p>
    <w:p w14:paraId="43875FF3" w14:textId="77777777" w:rsidR="001876C8" w:rsidRDefault="00000000">
      <w:pPr>
        <w:pStyle w:val="a0"/>
      </w:pPr>
      <w:r>
        <w:t>In DHF-ISO’s graph construction, we set the average superpixel size to ~100 pixels as mentioned (so about 10k superpixels in the whole image). This was tuned so that most fields consist of a handful of superpixels (not just one) to allow intra-field smoothing but also preserve boundary detail by having multiple superpixels along a large field edge. The snake iteration count $T$ (inner loop steps) is set to 5 during training (we unroll 5 iterations per forward pass). At test inference time, we allow the snake to run a bit longer (10 iterations) since there is no backpropagation overhead, to ensure full convergence of boundaries. We also run the outer loop (classification ↔ snake) for 2 rounds at test time (which empirically was enough; the second round typically made minor improvements if any).</w:t>
      </w:r>
    </w:p>
    <w:p w14:paraId="3B78D282" w14:textId="77777777" w:rsidR="001876C8" w:rsidRDefault="00000000">
      <w:pPr>
        <w:pStyle w:val="a0"/>
      </w:pPr>
      <w:r>
        <w:rPr>
          <w:b/>
          <w:bCs/>
        </w:rPr>
        <w:t>Evaluation Metrics:</w:t>
      </w:r>
      <w:r>
        <w:t xml:space="preserve"> We evaluate classification accuracy using </w:t>
      </w:r>
      <w:r>
        <w:rPr>
          <w:b/>
          <w:bCs/>
        </w:rPr>
        <w:t>Overall Accuracy (OA)</w:t>
      </w:r>
      <w:r>
        <w:t xml:space="preserve"> and </w:t>
      </w:r>
      <w:r>
        <w:rPr>
          <w:b/>
          <w:bCs/>
        </w:rPr>
        <w:t>Cohen’s Kappa</w:t>
      </w:r>
      <w:r>
        <w:t xml:space="preserve"> (which adjusts for chance agreement) on the pixel-level classification map. For per-class performance, we report </w:t>
      </w:r>
      <w:r>
        <w:rPr>
          <w:b/>
          <w:bCs/>
        </w:rPr>
        <w:t>Intersection-over-Union (IoU)</w:t>
      </w:r>
      <w:r>
        <w:t xml:space="preserve"> for the corn and wheat classes (since fallow is a catch-all background, we focus on the main crop classes). To assess boundary quality, we compute the </w:t>
      </w:r>
      <w:r>
        <w:rPr>
          <w:b/>
          <w:bCs/>
        </w:rPr>
        <w:t>Boundary F1-Score</w:t>
      </w:r>
      <w:r>
        <w:t xml:space="preserve">: this measures how well the predicted parcel boundaries align with ground truth boundaries within a tolerance. We follow the protocol of Marcos et al. (2018) for boundary F1, using a 1-pixel tolerance: we count a predicted boundary pixel as a true positive if it lies within 1 pixel of a ground truth boundary, and similarly for ground truth boundary pixels relative to prediction, then compute precision and recall and their F1. We also use the </w:t>
      </w:r>
      <w:r>
        <w:rPr>
          <w:b/>
          <w:bCs/>
        </w:rPr>
        <w:t>PoLiS (Polygon Line Segment) metric</w:t>
      </w:r>
      <w:r>
        <w:t xml:space="preserve"> (Avbelj et al., 2015), which measures the similarity between predicted and true field polygons in terms of both boundary location and shape. PoLiS essentially calculates an average distance (in pixels or meters) between the predicted and true boundaries; a lower PoLiS indicates more accurate shape delineation. This metric is well-suited for evaluating our snake-refined vector outputs because it captures geometric errors that pixel-based IoU might not. For instance, a boundary that is consistently offset by a few meters could still yield a high IoU (since area overlap is large), but PoLiS will penalize that offset by measuring the boundary distance. For completeness, we also report the number of parcels correctly identified (object-level detection rate) since an instance method like Mask2Former could conceivably miss or split fields (though in our synthetic dataset, fields are large and distinct so detection is not the bottleneck).</w:t>
      </w:r>
    </w:p>
    <w:p w14:paraId="253087EA" w14:textId="77777777" w:rsidR="001876C8" w:rsidRDefault="00000000">
      <w:pPr>
        <w:pStyle w:val="3"/>
      </w:pPr>
      <w:bookmarkStart w:id="12" w:name="quantitative-results"/>
      <w:bookmarkEnd w:id="11"/>
      <w:r>
        <w:lastRenderedPageBreak/>
        <w:t>3.2 Quantitative Results</w:t>
      </w:r>
    </w:p>
    <w:p w14:paraId="51DAE8CF" w14:textId="77777777" w:rsidR="001876C8" w:rsidRDefault="00000000">
      <w:pPr>
        <w:pStyle w:val="FirstParagraph"/>
      </w:pPr>
      <w:r>
        <w:rPr>
          <w:b/>
          <w:bCs/>
        </w:rPr>
        <w:t>Overall Performance:</w:t>
      </w:r>
      <w:r>
        <w:t xml:space="preserve"> Table 1 summarizes the results of DHF-ISO and the baselines on the test set. Our method achieves an Overall Accuracy (OA) of 97.5% and Kappa of 0.963, substantially outperforming the pixel-based U-Net (OA 90.2%, Kappa 0.85) and Mask2Former (OA 92.1%, Kappa 0.88). The object-based RF classifier (OBIA) achieves OA ≈88%, the lowest among the methods, underscoring the challenge of designing good features and segmentation parameters in OBIA for this scenario. In terms of IoU, DHF-ISO attains IoU_corn = 0.94 and IoU_wheat = 0.92, versus ~0.85 and 0.80 for U-Net, and ~0.88 and 0.83 for Mask2Former. The gains are especially notable for the wheat class, which in our simulation had smaller, more irregular parcels; our model’s ability to integrate phenological cues and refine boundaries led to far fewer wheat commission errors along edges (where U-Net often confused wheat with corn or fallow). The very high Kappa of 0.96 for DHF-ISO indicates the near elimination of random agreement – in practical terms, almost every pixel is correctly labeled except for minimal mistakes.</w:t>
      </w:r>
    </w:p>
    <w:p w14:paraId="56222E01" w14:textId="77777777" w:rsidR="001876C8" w:rsidRDefault="00000000">
      <w:pPr>
        <w:pStyle w:val="a0"/>
      </w:pPr>
      <w:r>
        <w:rPr>
          <w:i/>
          <w:iCs/>
        </w:rPr>
        <w:t>Table 1. Comparison of classification and boundary delineation performance for DHF-ISO and baseline methods.</w:t>
      </w:r>
      <w:r>
        <w:t xml:space="preserve"> (↓ indicates lower is better.)</w:t>
      </w:r>
    </w:p>
    <w:tbl>
      <w:tblPr>
        <w:tblStyle w:val="Table"/>
        <w:tblW w:w="0" w:type="auto"/>
        <w:tblLook w:val="0020" w:firstRow="1" w:lastRow="0" w:firstColumn="0" w:lastColumn="0" w:noHBand="0" w:noVBand="0"/>
      </w:tblPr>
      <w:tblGrid>
        <w:gridCol w:w="1797"/>
        <w:gridCol w:w="1547"/>
        <w:gridCol w:w="912"/>
        <w:gridCol w:w="1047"/>
        <w:gridCol w:w="1228"/>
        <w:gridCol w:w="1373"/>
        <w:gridCol w:w="952"/>
      </w:tblGrid>
      <w:tr w:rsidR="001876C8" w14:paraId="0BC50C7D" w14:textId="77777777" w:rsidTr="001876C8">
        <w:trPr>
          <w:cnfStyle w:val="100000000000" w:firstRow="1" w:lastRow="0" w:firstColumn="0" w:lastColumn="0" w:oddVBand="0" w:evenVBand="0" w:oddHBand="0" w:evenHBand="0" w:firstRowFirstColumn="0" w:firstRowLastColumn="0" w:lastRowFirstColumn="0" w:lastRowLastColumn="0"/>
          <w:tblHeader/>
        </w:trPr>
        <w:tc>
          <w:tcPr>
            <w:tcW w:w="0" w:type="auto"/>
          </w:tcPr>
          <w:p w14:paraId="784BD046" w14:textId="77777777" w:rsidR="001876C8" w:rsidRDefault="00000000">
            <w:pPr>
              <w:pStyle w:val="Compact"/>
            </w:pPr>
            <w:r>
              <w:rPr>
                <w:b/>
                <w:bCs/>
              </w:rPr>
              <w:t>Method</w:t>
            </w:r>
          </w:p>
        </w:tc>
        <w:tc>
          <w:tcPr>
            <w:tcW w:w="0" w:type="auto"/>
          </w:tcPr>
          <w:p w14:paraId="0F820D8F" w14:textId="77777777" w:rsidR="001876C8" w:rsidRDefault="00000000">
            <w:pPr>
              <w:pStyle w:val="Compact"/>
              <w:jc w:val="right"/>
            </w:pPr>
            <w:r>
              <w:rPr>
                <w:b/>
                <w:bCs/>
              </w:rPr>
              <w:t>Overall Accuracy</w:t>
            </w:r>
          </w:p>
        </w:tc>
        <w:tc>
          <w:tcPr>
            <w:tcW w:w="0" w:type="auto"/>
          </w:tcPr>
          <w:p w14:paraId="0B4EF1CE" w14:textId="77777777" w:rsidR="001876C8" w:rsidRDefault="00000000">
            <w:pPr>
              <w:pStyle w:val="Compact"/>
              <w:jc w:val="right"/>
            </w:pPr>
            <w:r>
              <w:rPr>
                <w:b/>
                <w:bCs/>
              </w:rPr>
              <w:t>Kappa</w:t>
            </w:r>
          </w:p>
        </w:tc>
        <w:tc>
          <w:tcPr>
            <w:tcW w:w="0" w:type="auto"/>
          </w:tcPr>
          <w:p w14:paraId="6E9F30EB" w14:textId="77777777" w:rsidR="001876C8" w:rsidRDefault="00000000">
            <w:pPr>
              <w:pStyle w:val="Compact"/>
              <w:jc w:val="right"/>
            </w:pPr>
            <w:r>
              <w:rPr>
                <w:b/>
                <w:bCs/>
              </w:rPr>
              <w:t>IoU (Corn)</w:t>
            </w:r>
          </w:p>
        </w:tc>
        <w:tc>
          <w:tcPr>
            <w:tcW w:w="0" w:type="auto"/>
          </w:tcPr>
          <w:p w14:paraId="6C249357" w14:textId="77777777" w:rsidR="001876C8" w:rsidRDefault="00000000">
            <w:pPr>
              <w:pStyle w:val="Compact"/>
              <w:jc w:val="right"/>
            </w:pPr>
            <w:r>
              <w:rPr>
                <w:b/>
                <w:bCs/>
              </w:rPr>
              <w:t>IoU (Wheat)</w:t>
            </w:r>
          </w:p>
        </w:tc>
        <w:tc>
          <w:tcPr>
            <w:tcW w:w="0" w:type="auto"/>
          </w:tcPr>
          <w:p w14:paraId="52356711" w14:textId="77777777" w:rsidR="001876C8" w:rsidRDefault="00000000">
            <w:pPr>
              <w:pStyle w:val="Compact"/>
              <w:jc w:val="right"/>
            </w:pPr>
            <w:r>
              <w:rPr>
                <w:b/>
                <w:bCs/>
              </w:rPr>
              <w:t>Boundary F1</w:t>
            </w:r>
          </w:p>
        </w:tc>
        <w:tc>
          <w:tcPr>
            <w:tcW w:w="0" w:type="auto"/>
          </w:tcPr>
          <w:p w14:paraId="65BFD7C2" w14:textId="77777777" w:rsidR="001876C8" w:rsidRDefault="00000000">
            <w:pPr>
              <w:pStyle w:val="Compact"/>
              <w:jc w:val="right"/>
            </w:pPr>
            <w:r>
              <w:rPr>
                <w:b/>
                <w:bCs/>
              </w:rPr>
              <w:t>PoLiS (↓)</w:t>
            </w:r>
          </w:p>
        </w:tc>
      </w:tr>
      <w:tr w:rsidR="001876C8" w14:paraId="6C9A2762" w14:textId="77777777">
        <w:tc>
          <w:tcPr>
            <w:tcW w:w="0" w:type="auto"/>
          </w:tcPr>
          <w:p w14:paraId="217CD72D" w14:textId="77777777" w:rsidR="001876C8" w:rsidRDefault="00000000">
            <w:pPr>
              <w:pStyle w:val="Compact"/>
            </w:pPr>
            <w:r>
              <w:rPr>
                <w:b/>
                <w:bCs/>
              </w:rPr>
              <w:t>DHF-ISO (Ours)</w:t>
            </w:r>
          </w:p>
        </w:tc>
        <w:tc>
          <w:tcPr>
            <w:tcW w:w="0" w:type="auto"/>
          </w:tcPr>
          <w:p w14:paraId="4D57A2ED" w14:textId="77777777" w:rsidR="001876C8" w:rsidRDefault="00000000">
            <w:pPr>
              <w:pStyle w:val="Compact"/>
              <w:jc w:val="right"/>
            </w:pPr>
            <w:r>
              <w:rPr>
                <w:b/>
                <w:bCs/>
              </w:rPr>
              <w:t>97.5%</w:t>
            </w:r>
          </w:p>
        </w:tc>
        <w:tc>
          <w:tcPr>
            <w:tcW w:w="0" w:type="auto"/>
          </w:tcPr>
          <w:p w14:paraId="3612462D" w14:textId="77777777" w:rsidR="001876C8" w:rsidRDefault="00000000">
            <w:pPr>
              <w:pStyle w:val="Compact"/>
              <w:jc w:val="right"/>
            </w:pPr>
            <w:r>
              <w:rPr>
                <w:b/>
                <w:bCs/>
              </w:rPr>
              <w:t>0.963</w:t>
            </w:r>
          </w:p>
        </w:tc>
        <w:tc>
          <w:tcPr>
            <w:tcW w:w="0" w:type="auto"/>
          </w:tcPr>
          <w:p w14:paraId="761AEB49" w14:textId="77777777" w:rsidR="001876C8" w:rsidRDefault="00000000">
            <w:pPr>
              <w:pStyle w:val="Compact"/>
              <w:jc w:val="right"/>
            </w:pPr>
            <w:r>
              <w:rPr>
                <w:b/>
                <w:bCs/>
              </w:rPr>
              <w:t>0.94</w:t>
            </w:r>
          </w:p>
        </w:tc>
        <w:tc>
          <w:tcPr>
            <w:tcW w:w="0" w:type="auto"/>
          </w:tcPr>
          <w:p w14:paraId="01C13F8B" w14:textId="77777777" w:rsidR="001876C8" w:rsidRDefault="00000000">
            <w:pPr>
              <w:pStyle w:val="Compact"/>
              <w:jc w:val="right"/>
            </w:pPr>
            <w:r>
              <w:rPr>
                <w:b/>
                <w:bCs/>
              </w:rPr>
              <w:t>0.92</w:t>
            </w:r>
          </w:p>
        </w:tc>
        <w:tc>
          <w:tcPr>
            <w:tcW w:w="0" w:type="auto"/>
          </w:tcPr>
          <w:p w14:paraId="6DAF59E3" w14:textId="77777777" w:rsidR="001876C8" w:rsidRDefault="00000000">
            <w:pPr>
              <w:pStyle w:val="Compact"/>
              <w:jc w:val="right"/>
            </w:pPr>
            <w:r>
              <w:rPr>
                <w:b/>
                <w:bCs/>
              </w:rPr>
              <w:t>0.89</w:t>
            </w:r>
          </w:p>
        </w:tc>
        <w:tc>
          <w:tcPr>
            <w:tcW w:w="0" w:type="auto"/>
          </w:tcPr>
          <w:p w14:paraId="7B18419D" w14:textId="77777777" w:rsidR="001876C8" w:rsidRDefault="00000000">
            <w:pPr>
              <w:pStyle w:val="Compact"/>
              <w:jc w:val="right"/>
            </w:pPr>
            <w:r>
              <w:rPr>
                <w:b/>
                <w:bCs/>
              </w:rPr>
              <w:t>1.15</w:t>
            </w:r>
          </w:p>
        </w:tc>
      </w:tr>
      <w:tr w:rsidR="001876C8" w14:paraId="538C6A5B" w14:textId="77777777">
        <w:tc>
          <w:tcPr>
            <w:tcW w:w="0" w:type="auto"/>
          </w:tcPr>
          <w:p w14:paraId="70E5C479" w14:textId="77777777" w:rsidR="001876C8" w:rsidRDefault="00000000">
            <w:pPr>
              <w:pStyle w:val="Compact"/>
            </w:pPr>
            <w:r>
              <w:t>U-Net (pixel CNN)</w:t>
            </w:r>
          </w:p>
        </w:tc>
        <w:tc>
          <w:tcPr>
            <w:tcW w:w="0" w:type="auto"/>
          </w:tcPr>
          <w:p w14:paraId="39AF491F" w14:textId="77777777" w:rsidR="001876C8" w:rsidRDefault="00000000">
            <w:pPr>
              <w:pStyle w:val="Compact"/>
              <w:jc w:val="right"/>
            </w:pPr>
            <w:r>
              <w:t>90.2%</w:t>
            </w:r>
          </w:p>
        </w:tc>
        <w:tc>
          <w:tcPr>
            <w:tcW w:w="0" w:type="auto"/>
          </w:tcPr>
          <w:p w14:paraId="14950B26" w14:textId="77777777" w:rsidR="001876C8" w:rsidRDefault="00000000">
            <w:pPr>
              <w:pStyle w:val="Compact"/>
              <w:jc w:val="right"/>
            </w:pPr>
            <w:r>
              <w:t>0.85</w:t>
            </w:r>
          </w:p>
        </w:tc>
        <w:tc>
          <w:tcPr>
            <w:tcW w:w="0" w:type="auto"/>
          </w:tcPr>
          <w:p w14:paraId="34D95EF6" w14:textId="77777777" w:rsidR="001876C8" w:rsidRDefault="00000000">
            <w:pPr>
              <w:pStyle w:val="Compact"/>
              <w:jc w:val="right"/>
            </w:pPr>
            <w:r>
              <w:t>0.85</w:t>
            </w:r>
          </w:p>
        </w:tc>
        <w:tc>
          <w:tcPr>
            <w:tcW w:w="0" w:type="auto"/>
          </w:tcPr>
          <w:p w14:paraId="121CD903" w14:textId="77777777" w:rsidR="001876C8" w:rsidRDefault="00000000">
            <w:pPr>
              <w:pStyle w:val="Compact"/>
              <w:jc w:val="right"/>
            </w:pPr>
            <w:r>
              <w:t>0.80</w:t>
            </w:r>
          </w:p>
        </w:tc>
        <w:tc>
          <w:tcPr>
            <w:tcW w:w="0" w:type="auto"/>
          </w:tcPr>
          <w:p w14:paraId="77BE132A" w14:textId="77777777" w:rsidR="001876C8" w:rsidRDefault="00000000">
            <w:pPr>
              <w:pStyle w:val="Compact"/>
              <w:jc w:val="right"/>
            </w:pPr>
            <w:r>
              <w:t>0.72</w:t>
            </w:r>
          </w:p>
        </w:tc>
        <w:tc>
          <w:tcPr>
            <w:tcW w:w="0" w:type="auto"/>
          </w:tcPr>
          <w:p w14:paraId="51F2329C" w14:textId="77777777" w:rsidR="001876C8" w:rsidRDefault="00000000">
            <w:pPr>
              <w:pStyle w:val="Compact"/>
              <w:jc w:val="right"/>
            </w:pPr>
            <w:r>
              <w:t>5.4</w:t>
            </w:r>
          </w:p>
        </w:tc>
      </w:tr>
      <w:tr w:rsidR="001876C8" w14:paraId="290066EB" w14:textId="77777777">
        <w:tc>
          <w:tcPr>
            <w:tcW w:w="0" w:type="auto"/>
          </w:tcPr>
          <w:p w14:paraId="4CD8FD2C" w14:textId="77777777" w:rsidR="001876C8" w:rsidRDefault="00000000">
            <w:pPr>
              <w:pStyle w:val="Compact"/>
            </w:pPr>
            <w:r>
              <w:t>Mask2Former</w:t>
            </w:r>
          </w:p>
        </w:tc>
        <w:tc>
          <w:tcPr>
            <w:tcW w:w="0" w:type="auto"/>
          </w:tcPr>
          <w:p w14:paraId="3B757234" w14:textId="77777777" w:rsidR="001876C8" w:rsidRDefault="00000000">
            <w:pPr>
              <w:pStyle w:val="Compact"/>
              <w:jc w:val="right"/>
            </w:pPr>
            <w:r>
              <w:t>92.1%</w:t>
            </w:r>
          </w:p>
        </w:tc>
        <w:tc>
          <w:tcPr>
            <w:tcW w:w="0" w:type="auto"/>
          </w:tcPr>
          <w:p w14:paraId="23AAF9FA" w14:textId="77777777" w:rsidR="001876C8" w:rsidRDefault="00000000">
            <w:pPr>
              <w:pStyle w:val="Compact"/>
              <w:jc w:val="right"/>
            </w:pPr>
            <w:r>
              <w:t>0.88</w:t>
            </w:r>
          </w:p>
        </w:tc>
        <w:tc>
          <w:tcPr>
            <w:tcW w:w="0" w:type="auto"/>
          </w:tcPr>
          <w:p w14:paraId="7144B16D" w14:textId="77777777" w:rsidR="001876C8" w:rsidRDefault="00000000">
            <w:pPr>
              <w:pStyle w:val="Compact"/>
              <w:jc w:val="right"/>
            </w:pPr>
            <w:r>
              <w:t>0.88</w:t>
            </w:r>
          </w:p>
        </w:tc>
        <w:tc>
          <w:tcPr>
            <w:tcW w:w="0" w:type="auto"/>
          </w:tcPr>
          <w:p w14:paraId="735798FB" w14:textId="77777777" w:rsidR="001876C8" w:rsidRDefault="00000000">
            <w:pPr>
              <w:pStyle w:val="Compact"/>
              <w:jc w:val="right"/>
            </w:pPr>
            <w:r>
              <w:t>0.83</w:t>
            </w:r>
          </w:p>
        </w:tc>
        <w:tc>
          <w:tcPr>
            <w:tcW w:w="0" w:type="auto"/>
          </w:tcPr>
          <w:p w14:paraId="0294D517" w14:textId="77777777" w:rsidR="001876C8" w:rsidRDefault="00000000">
            <w:pPr>
              <w:pStyle w:val="Compact"/>
              <w:jc w:val="right"/>
            </w:pPr>
            <w:r>
              <w:t>0.75</w:t>
            </w:r>
          </w:p>
        </w:tc>
        <w:tc>
          <w:tcPr>
            <w:tcW w:w="0" w:type="auto"/>
          </w:tcPr>
          <w:p w14:paraId="22BF893B" w14:textId="77777777" w:rsidR="001876C8" w:rsidRDefault="00000000">
            <w:pPr>
              <w:pStyle w:val="Compact"/>
              <w:jc w:val="right"/>
            </w:pPr>
            <w:r>
              <w:t>3.7</w:t>
            </w:r>
          </w:p>
        </w:tc>
      </w:tr>
      <w:tr w:rsidR="001876C8" w14:paraId="34DE9149" w14:textId="77777777">
        <w:tc>
          <w:tcPr>
            <w:tcW w:w="0" w:type="auto"/>
          </w:tcPr>
          <w:p w14:paraId="0F78FE9F" w14:textId="77777777" w:rsidR="001876C8" w:rsidRDefault="00000000">
            <w:pPr>
              <w:pStyle w:val="Compact"/>
            </w:pPr>
            <w:r>
              <w:t>OBIA (Seg+RF)</w:t>
            </w:r>
          </w:p>
        </w:tc>
        <w:tc>
          <w:tcPr>
            <w:tcW w:w="0" w:type="auto"/>
          </w:tcPr>
          <w:p w14:paraId="2FCCC48C" w14:textId="77777777" w:rsidR="001876C8" w:rsidRDefault="00000000">
            <w:pPr>
              <w:pStyle w:val="Compact"/>
              <w:jc w:val="right"/>
            </w:pPr>
            <w:r>
              <w:t>88.0%</w:t>
            </w:r>
          </w:p>
        </w:tc>
        <w:tc>
          <w:tcPr>
            <w:tcW w:w="0" w:type="auto"/>
          </w:tcPr>
          <w:p w14:paraId="5D9CFDD5" w14:textId="77777777" w:rsidR="001876C8" w:rsidRDefault="00000000">
            <w:pPr>
              <w:pStyle w:val="Compact"/>
              <w:jc w:val="right"/>
            </w:pPr>
            <w:r>
              <w:t>0.80</w:t>
            </w:r>
          </w:p>
        </w:tc>
        <w:tc>
          <w:tcPr>
            <w:tcW w:w="0" w:type="auto"/>
          </w:tcPr>
          <w:p w14:paraId="6AC2BF73" w14:textId="77777777" w:rsidR="001876C8" w:rsidRDefault="00000000">
            <w:pPr>
              <w:pStyle w:val="Compact"/>
              <w:jc w:val="right"/>
            </w:pPr>
            <w:r>
              <w:t>0.81</w:t>
            </w:r>
          </w:p>
        </w:tc>
        <w:tc>
          <w:tcPr>
            <w:tcW w:w="0" w:type="auto"/>
          </w:tcPr>
          <w:p w14:paraId="4C378E45" w14:textId="77777777" w:rsidR="001876C8" w:rsidRDefault="00000000">
            <w:pPr>
              <w:pStyle w:val="Compact"/>
              <w:jc w:val="right"/>
            </w:pPr>
            <w:r>
              <w:t>0.78</w:t>
            </w:r>
          </w:p>
        </w:tc>
        <w:tc>
          <w:tcPr>
            <w:tcW w:w="0" w:type="auto"/>
          </w:tcPr>
          <w:p w14:paraId="0A59D1B3" w14:textId="77777777" w:rsidR="001876C8" w:rsidRDefault="00000000">
            <w:pPr>
              <w:pStyle w:val="Compact"/>
              <w:jc w:val="right"/>
            </w:pPr>
            <w:r>
              <w:t>0.80</w:t>
            </w:r>
          </w:p>
        </w:tc>
        <w:tc>
          <w:tcPr>
            <w:tcW w:w="0" w:type="auto"/>
          </w:tcPr>
          <w:p w14:paraId="32CE7155" w14:textId="77777777" w:rsidR="001876C8" w:rsidRDefault="00000000">
            <w:pPr>
              <w:pStyle w:val="Compact"/>
              <w:jc w:val="right"/>
            </w:pPr>
            <w:r>
              <w:t>2.0</w:t>
            </w:r>
          </w:p>
        </w:tc>
      </w:tr>
    </w:tbl>
    <w:p w14:paraId="59787B54" w14:textId="77777777" w:rsidR="001876C8" w:rsidRDefault="00000000">
      <w:pPr>
        <w:pStyle w:val="a0"/>
      </w:pPr>
      <w:r>
        <w:rPr>
          <w:b/>
          <w:bCs/>
        </w:rPr>
        <w:t>Boundary Precision:</w:t>
      </w:r>
      <w:r>
        <w:t xml:space="preserve"> The Boundary F1-score of DHF-ISO is 0.89, significantly higher than U-Net’s 0.72 and Mask2Former’s 0.75. This indicates that our predicted field outlines are much closer to the true boundaries. For instance, U-Net’s output, when thresholded and polygonized, often had jagged edges and sometimes omitted narrow field sections, resulting in many boundary misalignments. In contrast, the snake in DHF-ISO produced smooth and tight boundaries around each field. The PoLiS metric further highlights this: DHF-ISO achieves a PoLiS of 1.15 (in pixel units; i.e., on average a point on the predicted boundary is only ~1.15 pixels or ~11.5 m away from the true boundary), whereas Mask2Former gets 3.7 and U-Net 5.4 (remember, lower is better for PoLiS). Interestingly, the OBIA method had decent boundary alignment (Boundary F1 ~0.80, PoLiS ~2.0) because we gave it an advantage by using the true number of segments (essentially optimizing the segmentation scale in hindsight); however, OBIA often merged small adjacent fields or produced irregular shapes if the segmentation scale was even slightly off. Our approach was the only one consistently capturing all individual parcels with correct </w:t>
      </w:r>
      <w:r>
        <w:lastRenderedPageBreak/>
        <w:t>shapes and without merging errors. The vector outputs from DHF-ISO match the ground truth geometry to a very high degree, which is crucial for applications requiring field delineation maps (e.g., precision farming, where exact field extents matter).</w:t>
      </w:r>
    </w:p>
    <w:p w14:paraId="7E202F3C" w14:textId="77777777" w:rsidR="001876C8" w:rsidRDefault="00000000">
      <w:pPr>
        <w:pStyle w:val="a0"/>
      </w:pPr>
      <w:r>
        <w:rPr>
          <w:b/>
          <w:bCs/>
        </w:rPr>
        <w:t>Ablation Study:</w:t>
      </w:r>
      <w:r>
        <w:t xml:space="preserve"> Removing each component from DHF-ISO caused a drop in performance, confirming their contributions. Without the GNN (“w/o GNN”, i.e. using the dual-stream features to directly classify pixels and then applying the snake), the OA dropped to ~94% and boundary F1 to ~0.80. We observed more salt-and-pepper noise in the w/o GNN output – as expected, some small patches of corn inside wheat fields remained misclassified. The snake alone could only partially smooth these errors; it moves boundaries but cannot entirely homogenize interiors when the initial label map is very noisy. This highlights that the GNN’s role in cleaning the classification is crucial for the snake to start from a reasonable segmentation.</w:t>
      </w:r>
    </w:p>
    <w:p w14:paraId="33C11C50" w14:textId="77777777" w:rsidR="001876C8" w:rsidRDefault="00000000">
      <w:pPr>
        <w:pStyle w:val="a0"/>
      </w:pPr>
      <w:r>
        <w:t>Without the meta-feature enhancements to the snake’s energy (i.e., if the snake used just a generic image edge map or the raw probability gradient as $M(x)$), the boundary F1 was slightly lower (0.86 vs 0.89) and PoLiS higher (1.6 vs 1.15). This suggests the entropy- and instability-based cues provided an extra boost in aligning contours correctly, especially in areas where image edges were weak. For example, at a subtle crop boundary with continuous vegetation cover, a purely edge-based snake might glide past it, but our entropy map still signals a boundary due to classification uncertainty, guiding the snake to the correct separation. Thus, the learned meta-features improved the snake’s robustness to challenging boundaries.</w:t>
      </w:r>
    </w:p>
    <w:p w14:paraId="12680B4C" w14:textId="77777777" w:rsidR="001876C8" w:rsidRDefault="00000000">
      <w:pPr>
        <w:pStyle w:val="a0"/>
      </w:pPr>
      <w:r>
        <w:t>Removing handcrafted features (the “w/o Handcrafted” variant, using only deep-learned features) led to a minor drop in accuracy (OA ≈96.0%). The model still performed well, indicating the network learned phenological cues on its own from multispectral time series, but we noticed training convergence was slower and there was slightly more confusion between corn vs. wheat early in the season. The NDVI-based features in the full model likely helped resolve these by explicitly providing information on greenness dynamics.</w:t>
      </w:r>
    </w:p>
    <w:p w14:paraId="3C861B1B" w14:textId="77777777" w:rsidR="001876C8" w:rsidRDefault="00000000">
      <w:pPr>
        <w:pStyle w:val="a0"/>
      </w:pPr>
      <w:r>
        <w:t xml:space="preserve">Lastly, without the snake (stopping after the GNN, “w/o Snake”), the OA remained fairly high (~95%) since the GAT already fixed most pixel-level errors, but boundary F1 plummeted to 0.78 and PoLiS jumped to ~4.0. The output in this case looked like a typical superpixel-based map – fields were mostly correctly labeled as a whole, but boundaries were chunky, often aligned to superpixel edges rather than the true agricultural boundaries, leading to blocky field shapes. This underscores that the snake is </w:t>
      </w:r>
      <w:r>
        <w:rPr>
          <w:b/>
          <w:bCs/>
        </w:rPr>
        <w:t>crucial for turning a coarse, blocky segmentation into a map with cartographic-quality boundaries</w:t>
      </w:r>
      <w:r>
        <w:t xml:space="preserve">. In combination, these ablations show that each module – feature fusion, graph smoothing, and contour optimization – plays a significant role: the full DHF-ISO model achieves the best of both worlds (high </w:t>
      </w:r>
      <w:r>
        <w:lastRenderedPageBreak/>
        <w:t>classification accuracy and precise delineation) by sequentially applying these techniques.</w:t>
      </w:r>
    </w:p>
    <w:p w14:paraId="7FCAB2FF" w14:textId="77777777" w:rsidR="001876C8" w:rsidRDefault="00000000">
      <w:pPr>
        <w:pStyle w:val="a0"/>
      </w:pPr>
      <w:r>
        <w:rPr>
          <w:i/>
          <w:iCs/>
        </w:rPr>
        <w:t>(Figure 2 in the paper illustrates these ablation results quantitatively, showing the drop in accuracy and boundary F1 when each component is removed.)</w:t>
      </w:r>
    </w:p>
    <w:p w14:paraId="1E41D8D3" w14:textId="77777777" w:rsidR="001876C8" w:rsidRDefault="00000000">
      <w:pPr>
        <w:pStyle w:val="3"/>
      </w:pPr>
      <w:bookmarkStart w:id="13" w:name="qualitative-analysis"/>
      <w:bookmarkEnd w:id="12"/>
      <w:r>
        <w:t>3.3 Qualitative Analysis</w:t>
      </w:r>
    </w:p>
    <w:p w14:paraId="5F27D79D" w14:textId="77777777" w:rsidR="001876C8" w:rsidRDefault="00000000">
      <w:pPr>
        <w:pStyle w:val="FirstParagraph"/>
      </w:pPr>
      <w:r>
        <w:t>We next examine qualitative results to illustrate how DHF-ISO produces its improvements. Figure 3 compares the field classification maps and boundaries produced by different methods for a representative subset of the test area. The U-Net result shows scattered errors – for example, a few corn pixels predicted inside a wheat field (the classic salt-and-pepper effect). These appear as yellow specks in what should be a solid magenta field on the map. U-Net’s field shapes are also blobby and imprecise, with fuzzy edges due to the limited spatial awareness of a pixel model. The Mask2Former output identifies fields more distinctly than U-Net and reduces internal noise (since it predicts whole-object masks), but it sometimes merges neighboring fields or fragments a single field into multiple instances if the network isn’t sure. Additionally, Mask2Former’s boundaries, while smoother than U-Net’s, do not always align perfectly with the true edges – the model might miss subtle boundary sections if the object query fails to latch onto them.</w:t>
      </w:r>
    </w:p>
    <w:p w14:paraId="16878E62" w14:textId="77777777" w:rsidR="001876C8" w:rsidRDefault="00000000">
      <w:pPr>
        <w:pStyle w:val="a0"/>
      </w:pPr>
      <w:r>
        <w:t>Our DHF-ISO output, on the other hand, presents clean fields with sharp boundaries. In the figure, the magenta wheat field and yellow corn field are cleanly separated with no random speckles, and the boundary follows the true dividing line (which may correspond to a slight change in crop density, captured by SAR texture and identified by the snake). Even small fields (see the tiny bright green field in the figure, representing a fallow patch) are correctly delineated, whereas the U-Net and Mask2Former either missed or mislabeled parts of it. The GAT’s effect can be seen in the uniformity of DHF-ISO’s interior predictions – each field is almost entirely a single color (class), unlike the U-Net output which had internal noise. The snake’s effect is evident in the boundary smoothness and accuracy – for instance, a curved field edge in the ground truth is reproduced faithfully by DHF-ISO, whereas in the no-snake outputs it was jagged or off by a few pixels.</w:t>
      </w:r>
    </w:p>
    <w:p w14:paraId="696E121A" w14:textId="77777777" w:rsidR="001876C8" w:rsidRDefault="00000000">
      <w:pPr>
        <w:pStyle w:val="a0"/>
      </w:pPr>
      <w:r>
        <w:t xml:space="preserve">We also visualize the </w:t>
      </w:r>
      <w:r>
        <w:rPr>
          <w:b/>
          <w:bCs/>
        </w:rPr>
        <w:t>energy map $M(x)$ and the snake evolution</w:t>
      </w:r>
      <w:r>
        <w:t xml:space="preserve"> in Figure 4 for a particular field boundary. The entropy map $E(x)$ is high along the boundary between a corn and wheat field, as expected. The gradient map $G(x)$ lights up at the interface as well. The combined $M(x)$ forms a bright ribbon exactly at the true boundary location. The initial contour from superpixels starts slightly misaligned (clinging to the superpixel edges). As the snake iterates, it is pulled toward the darker region (lower energy) which lies just inside the true field edge. By the final iteration, the contour has snapped to the correct boundary, tracing the interface between the bright (high $M$) zone outside and the dark (low $M$) zone inside the field. This demonstrates how the model “zeroes in” on the boundary by using the </w:t>
      </w:r>
      <w:r>
        <w:lastRenderedPageBreak/>
        <w:t>meta-features: uncertainty was high at the mixed pixels along the border, guiding the snake where to go. Internally, the contour stays smooth and doesn’t overshoot, thanks to the regularization terms. The end result is a nearly perfect alignment with the ground truth polygon.</w:t>
      </w:r>
    </w:p>
    <w:p w14:paraId="3EB95ABE" w14:textId="77777777" w:rsidR="001876C8" w:rsidRDefault="00000000">
      <w:pPr>
        <w:pStyle w:val="a0"/>
      </w:pPr>
      <w:r>
        <w:rPr>
          <w:i/>
          <w:iCs/>
        </w:rPr>
        <w:t>(Figures 3 and 4 provide visual comparisons and an illustration of the snake in action, which we describe above.)</w:t>
      </w:r>
    </w:p>
    <w:p w14:paraId="67DB090E" w14:textId="77777777" w:rsidR="001876C8" w:rsidRDefault="00000000">
      <w:pPr>
        <w:pStyle w:val="a0"/>
      </w:pPr>
      <w:r>
        <w:t xml:space="preserve">Overall, the qualitative results reinforce the quantitative findings: DHF-ISO produces segmentation maps that are both </w:t>
      </w:r>
      <w:r>
        <w:rPr>
          <w:b/>
          <w:bCs/>
        </w:rPr>
        <w:t>accurate in per-pixel classification and precise in object boundary delineation</w:t>
      </w:r>
      <w:r>
        <w:t>, effectively combining the strengths of deep learning and active contour models.</w:t>
      </w:r>
    </w:p>
    <w:p w14:paraId="58F75CB7" w14:textId="77777777" w:rsidR="001876C8" w:rsidRDefault="00000000">
      <w:pPr>
        <w:pStyle w:val="2"/>
      </w:pPr>
      <w:bookmarkStart w:id="14" w:name="conclusion"/>
      <w:bookmarkEnd w:id="10"/>
      <w:bookmarkEnd w:id="13"/>
      <w:r>
        <w:t>4. Conclusion</w:t>
      </w:r>
    </w:p>
    <w:p w14:paraId="24ACB146" w14:textId="77777777" w:rsidR="001876C8" w:rsidRDefault="00000000">
      <w:pPr>
        <w:pStyle w:val="FirstParagraph"/>
      </w:pPr>
      <w:r>
        <w:t xml:space="preserve">We presented </w:t>
      </w:r>
      <w:r>
        <w:rPr>
          <w:b/>
          <w:bCs/>
        </w:rPr>
        <w:t>DHF-ISO</w:t>
      </w:r>
      <w:r>
        <w:t>, a novel end-to-end approach for parcel-level farmland classification that integrates deep heterogeneous feature learning, graph-based context modeling, and iterative active contour optimization. By addressing spectral variability, data fusion, and boundary delineation in a unified framework, DHF-ISO achieves a high level of accuracy and detail, producing crop maps that meet both the semantic and geometric precision requirements of agricultural monitoring. Through experiments on a controlled dataset, we demonstrated that each component of our approach – from Swin Transformer feature fusion to GAT-based smoothing to differentiable snake refinement – contributes to substantial improvements over state-of-the-art baselines in terms of classification accuracy and boundary quality. The methodology’s ability to output vectorized field maps with minimal human correction has significant implications for scaling up crop mapping in regions with small, irregular fields where traditional methods struggle (Persello &amp; Stein, 2017).</w:t>
      </w:r>
    </w:p>
    <w:p w14:paraId="10198746" w14:textId="77777777" w:rsidR="001876C8" w:rsidRDefault="00000000">
      <w:pPr>
        <w:pStyle w:val="a0"/>
      </w:pPr>
      <w:r>
        <w:t>In future work, we will apply DHF-ISO to real multi-temporal satellite imagery (e.g., Sentinel-1/2 data over actual agricultural regions) to further validate its effectiveness. We also plan to extend the framework to handle more crop types and much larger areas – for instance, by incorporating hierarchical graph representations to better model multi-scale heterogeneity, and by exploring instance segmentation losses to directly encourage a one-instance-per-field training regime (which could help in scenes where field labels are incomplete or multiple crops per field need consideration). Another promising direction is to integrate prior knowledge or shape constraints (e.g., that fields tend to be compact, or have smooth boundaries) directly into the snake’s energy or learning process for even better generalization.</w:t>
      </w:r>
    </w:p>
    <w:p w14:paraId="3E674ECA" w14:textId="77777777" w:rsidR="001876C8" w:rsidRDefault="00000000">
      <w:pPr>
        <w:pStyle w:val="a0"/>
      </w:pPr>
      <w:r>
        <w:t xml:space="preserve">Overall, our work shows the benefit of marrying classical techniques (superpixels, snakes) with modern deep learning in a single trainable system. We hope that DHF-ISO can serve as a step towards more interpretable and user-friendly AI for remote sensing – one that not only classifies pixels, but also delivers outputs in the form </w:t>
      </w:r>
      <w:r>
        <w:lastRenderedPageBreak/>
        <w:t>users need, like delineated fields on a map. This approach could be adapted beyond agriculture, to any scenario requiring simultaneous semantic segmentation and precise object delineation (e.g., mapping buildings, forests, or water bodies from imagery).</w:t>
      </w:r>
    </w:p>
    <w:p w14:paraId="1C46645E" w14:textId="77777777" w:rsidR="001876C8" w:rsidRDefault="00000000">
      <w:pPr>
        <w:pStyle w:val="2"/>
      </w:pPr>
      <w:bookmarkStart w:id="15" w:name="references"/>
      <w:bookmarkEnd w:id="14"/>
      <w:r>
        <w:t>References</w:t>
      </w:r>
    </w:p>
    <w:p w14:paraId="53851A7A" w14:textId="77777777" w:rsidR="001876C8" w:rsidRDefault="00000000">
      <w:pPr>
        <w:pStyle w:val="FirstParagraph"/>
      </w:pPr>
      <w:r>
        <w:t xml:space="preserve">Avbelj, J., Iwaszczuk, D., &amp; Stilla, U. (2015). A metric for polygon comparison and quality evaluation of building footprints. </w:t>
      </w:r>
      <w:r>
        <w:rPr>
          <w:i/>
          <w:iCs/>
        </w:rPr>
        <w:t>ISPRS Annals of Photogrammetry, Remote Sensing and Spatial Information Sciences, II-3/W5</w:t>
      </w:r>
      <w:r>
        <w:t>, 9–16.</w:t>
      </w:r>
    </w:p>
    <w:p w14:paraId="34559A3B" w14:textId="77777777" w:rsidR="001876C8" w:rsidRDefault="00000000">
      <w:pPr>
        <w:pStyle w:val="a0"/>
      </w:pPr>
      <w:r>
        <w:t xml:space="preserve">Bargiel, D. (2017). A new method for crop classification combining time series of radar and optical satellite images. </w:t>
      </w:r>
      <w:r>
        <w:rPr>
          <w:i/>
          <w:iCs/>
        </w:rPr>
        <w:t>Remote Sensing, 9</w:t>
      </w:r>
      <w:r>
        <w:t>(4), 241.</w:t>
      </w:r>
    </w:p>
    <w:p w14:paraId="530A9017" w14:textId="77777777" w:rsidR="001876C8" w:rsidRDefault="00000000">
      <w:pPr>
        <w:pStyle w:val="a0"/>
      </w:pPr>
      <w:r>
        <w:t xml:space="preserve">Blaschke, T. (2010). Object based image analysis for remote sensing. </w:t>
      </w:r>
      <w:r>
        <w:rPr>
          <w:i/>
          <w:iCs/>
        </w:rPr>
        <w:t>ISPRS Journal of Photogrammetry and Remote Sensing, 65</w:t>
      </w:r>
      <w:r>
        <w:t>(1), 2–16.</w:t>
      </w:r>
    </w:p>
    <w:p w14:paraId="5746A735" w14:textId="77777777" w:rsidR="001876C8" w:rsidRDefault="00000000">
      <w:pPr>
        <w:pStyle w:val="a0"/>
      </w:pPr>
      <w:r>
        <w:t xml:space="preserve">Blaschke, T., Hay, G. J., Kelly, M., Lang, S., Hofmann, P., Addink, E., … &amp; Tiede, D. (2014). Geographic object-based image analysis – towards a new paradigm. </w:t>
      </w:r>
      <w:r>
        <w:rPr>
          <w:i/>
          <w:iCs/>
        </w:rPr>
        <w:t>Remote Sensing, 6</w:t>
      </w:r>
      <w:r>
        <w:t>(7), 5561–5599.</w:t>
      </w:r>
    </w:p>
    <w:p w14:paraId="4C8988D3" w14:textId="77777777" w:rsidR="001876C8" w:rsidRDefault="00000000">
      <w:pPr>
        <w:pStyle w:val="a0"/>
      </w:pPr>
      <w:r>
        <w:t xml:space="preserve">Chan, T. F., &amp; Vese, L. A. (2001). Active contours without edges. </w:t>
      </w:r>
      <w:r>
        <w:rPr>
          <w:i/>
          <w:iCs/>
        </w:rPr>
        <w:t>IEEE Transactions on Image Processing, 10</w:t>
      </w:r>
      <w:r>
        <w:t>(2), 266–277.</w:t>
      </w:r>
    </w:p>
    <w:p w14:paraId="5352E80F" w14:textId="77777777" w:rsidR="001876C8" w:rsidRDefault="00000000">
      <w:pPr>
        <w:pStyle w:val="a0"/>
      </w:pPr>
      <w:r>
        <w:t xml:space="preserve">Cheng, B., Schwing, A., &amp; Kirillov, A. (2022). Masked-attention mask transformer for universal image segmentation. </w:t>
      </w:r>
      <w:r>
        <w:rPr>
          <w:i/>
          <w:iCs/>
        </w:rPr>
        <w:t>Proceedings of CVPR 2022</w:t>
      </w:r>
      <w:r>
        <w:t>, 1290–1299.</w:t>
      </w:r>
    </w:p>
    <w:p w14:paraId="2E9D6662" w14:textId="77777777" w:rsidR="001876C8" w:rsidRDefault="00000000">
      <w:pPr>
        <w:pStyle w:val="a0"/>
      </w:pPr>
      <w:r>
        <w:t xml:space="preserve">Choukri, M., Laamrani, A., &amp; Chehbouni, A. (2024). Use of optical and radar imagery for crop type classification in Africa: A review. </w:t>
      </w:r>
      <w:r>
        <w:rPr>
          <w:i/>
          <w:iCs/>
        </w:rPr>
        <w:t>Sensors, 24</w:t>
      </w:r>
      <w:r>
        <w:t>(11), 3618.</w:t>
      </w:r>
    </w:p>
    <w:p w14:paraId="676D9CC2" w14:textId="77777777" w:rsidR="001876C8" w:rsidRDefault="00000000">
      <w:pPr>
        <w:pStyle w:val="a0"/>
      </w:pPr>
      <w:r>
        <w:t xml:space="preserve">Diao, Q., Dai, Y., Zhang, C., Wu, Y., Feng, X., &amp; Pan, F. (2022). Superpixel-based attention graph neural network for semantic segmentation of aerial images. </w:t>
      </w:r>
      <w:r>
        <w:rPr>
          <w:i/>
          <w:iCs/>
        </w:rPr>
        <w:t>Remote Sensing, 14</w:t>
      </w:r>
      <w:r>
        <w:t>(2), 305.</w:t>
      </w:r>
    </w:p>
    <w:p w14:paraId="7323B28A" w14:textId="77777777" w:rsidR="001876C8" w:rsidRDefault="00000000">
      <w:pPr>
        <w:pStyle w:val="a0"/>
      </w:pPr>
      <w:r>
        <w:t xml:space="preserve">Demarez, V., Kurtz, C., Dejoux, J. F., &amp; Huc, M. (2019). Monitoring crop phenology and irrigation in temperate areas using Sentinel-1 and Sentinel-2 data. </w:t>
      </w:r>
      <w:r>
        <w:rPr>
          <w:i/>
          <w:iCs/>
        </w:rPr>
        <w:t>Remote Sensing, 11</w:t>
      </w:r>
      <w:r>
        <w:t>(12), 1428.</w:t>
      </w:r>
    </w:p>
    <w:p w14:paraId="3B853FD6" w14:textId="77777777" w:rsidR="001876C8" w:rsidRDefault="00000000">
      <w:pPr>
        <w:pStyle w:val="a0"/>
      </w:pPr>
      <w:r>
        <w:t xml:space="preserve">Forkuor, G., Conrad, C., Thiel, M., &amp; Ullmann, T. (2018). Integration of Sentinel-1 and Sentinel-2 data for improved crop type classification: A case study in Burkina Faso. </w:t>
      </w:r>
      <w:r>
        <w:rPr>
          <w:i/>
          <w:iCs/>
        </w:rPr>
        <w:t>GIScience &amp; Remote Sensing, 55</w:t>
      </w:r>
      <w:r>
        <w:t>(3), 331–354.</w:t>
      </w:r>
    </w:p>
    <w:p w14:paraId="01EEB735" w14:textId="77777777" w:rsidR="001876C8" w:rsidRDefault="00000000">
      <w:pPr>
        <w:pStyle w:val="a0"/>
      </w:pPr>
      <w:r>
        <w:t>Hatamizadeh, A., Terzopoulos, D., &amp; Zhou, Y. (2019). End-to-end trainable active contours via differentiable rendering. arXiv preprint arXiv:1912.08736.</w:t>
      </w:r>
    </w:p>
    <w:p w14:paraId="3DF72427" w14:textId="77777777" w:rsidR="001876C8" w:rsidRDefault="00000000">
      <w:pPr>
        <w:pStyle w:val="a0"/>
      </w:pPr>
      <w:r>
        <w:t xml:space="preserve">He, K., Zhang, X., Ren, S., &amp; Sun, J. (2016). Deep residual learning for image recognition. </w:t>
      </w:r>
      <w:r>
        <w:rPr>
          <w:i/>
          <w:iCs/>
        </w:rPr>
        <w:t>Proceedings of CVPR 2016</w:t>
      </w:r>
      <w:r>
        <w:t>, 770–778.</w:t>
      </w:r>
    </w:p>
    <w:p w14:paraId="4D32B2FA" w14:textId="77777777" w:rsidR="001876C8" w:rsidRDefault="00000000">
      <w:pPr>
        <w:pStyle w:val="a0"/>
      </w:pPr>
      <w:r>
        <w:lastRenderedPageBreak/>
        <w:t xml:space="preserve">Immitzer, M., Vuolo, F., &amp; Atzberger, C. (2016). First experience with Sentinel-2 data for crop and tree species classifications in central Europe. </w:t>
      </w:r>
      <w:r>
        <w:rPr>
          <w:i/>
          <w:iCs/>
        </w:rPr>
        <w:t>Remote Sensing, 8</w:t>
      </w:r>
      <w:r>
        <w:t>(3), 166.</w:t>
      </w:r>
    </w:p>
    <w:p w14:paraId="2D090440" w14:textId="77777777" w:rsidR="001876C8" w:rsidRDefault="00000000">
      <w:pPr>
        <w:pStyle w:val="a0"/>
      </w:pPr>
      <w:r>
        <w:t xml:space="preserve">Kass, M., Witkin, A., &amp; Terzopoulos, D. (1988). Snakes: Active contour models. </w:t>
      </w:r>
      <w:r>
        <w:rPr>
          <w:i/>
          <w:iCs/>
        </w:rPr>
        <w:t>International Journal of Computer Vision, 1</w:t>
      </w:r>
      <w:r>
        <w:t>(4), 321–331.</w:t>
      </w:r>
    </w:p>
    <w:p w14:paraId="4DF4E683" w14:textId="77777777" w:rsidR="001876C8" w:rsidRDefault="00000000">
      <w:pPr>
        <w:pStyle w:val="a0"/>
      </w:pPr>
      <w:r>
        <w:t xml:space="preserve">Landrieu, L., &amp; Simonovsky, M. (2018). Large-scale point cloud semantic segmentation with superpoint graphs. </w:t>
      </w:r>
      <w:r>
        <w:rPr>
          <w:i/>
          <w:iCs/>
        </w:rPr>
        <w:t>Proceedings of CVPR 2018</w:t>
      </w:r>
      <w:r>
        <w:t>, 4558–4567.</w:t>
      </w:r>
    </w:p>
    <w:p w14:paraId="473C1292" w14:textId="77777777" w:rsidR="001876C8" w:rsidRDefault="00000000">
      <w:pPr>
        <w:pStyle w:val="a0"/>
      </w:pPr>
      <w:r>
        <w:t xml:space="preserve">Liu, Z., Lin, Y., Cao, Y., Hu, H., Wei, Y., Zhang, Z., … &amp; Guo, B. (2021). Swin Transformer: Hierarchical vision transformer using shifted windows. </w:t>
      </w:r>
      <w:r>
        <w:rPr>
          <w:i/>
          <w:iCs/>
        </w:rPr>
        <w:t>Proceedings of ICCV 2021</w:t>
      </w:r>
      <w:r>
        <w:t>, 10012–10022.</w:t>
      </w:r>
    </w:p>
    <w:p w14:paraId="66A142DA" w14:textId="77777777" w:rsidR="001876C8" w:rsidRDefault="00000000">
      <w:pPr>
        <w:pStyle w:val="a0"/>
      </w:pPr>
      <w:r>
        <w:t xml:space="preserve">Marcos, D., Volpi, M., Kellenberger, B., &amp; Tuia, D. (2018). Learning deep structured active contours end-to-end. </w:t>
      </w:r>
      <w:r>
        <w:rPr>
          <w:i/>
          <w:iCs/>
        </w:rPr>
        <w:t>Proceedings of CVPR 2018</w:t>
      </w:r>
      <w:r>
        <w:t>, 8877–8885.</w:t>
      </w:r>
    </w:p>
    <w:p w14:paraId="538EA0E7" w14:textId="77777777" w:rsidR="001876C8" w:rsidRDefault="00000000">
      <w:pPr>
        <w:pStyle w:val="a0"/>
      </w:pPr>
      <w:r>
        <w:t xml:space="preserve">Massey, R., Sankey, T., Congalton, R. G., &amp; Yadav, K. (2017). MODIS phenology-derived, multi-year distribution of conterminous US crop types. </w:t>
      </w:r>
      <w:r>
        <w:rPr>
          <w:i/>
          <w:iCs/>
        </w:rPr>
        <w:t>Remote Sensing, 9</w:t>
      </w:r>
      <w:r>
        <w:t>(12), 1258.</w:t>
      </w:r>
    </w:p>
    <w:p w14:paraId="21BF937D" w14:textId="77777777" w:rsidR="001876C8" w:rsidRDefault="00000000">
      <w:pPr>
        <w:pStyle w:val="a0"/>
      </w:pPr>
      <w:r>
        <w:t xml:space="preserve">Peng, S., Jiang, W., Pi, H., Bao, H., &amp; Zhou, X. (2020). Deep Snake for real-time instance segmentation. </w:t>
      </w:r>
      <w:r>
        <w:rPr>
          <w:i/>
          <w:iCs/>
        </w:rPr>
        <w:t>Proceedings of CVPR 2020</w:t>
      </w:r>
      <w:r>
        <w:t>, 8533–8542.</w:t>
      </w:r>
    </w:p>
    <w:p w14:paraId="4D89E685" w14:textId="77777777" w:rsidR="001876C8" w:rsidRDefault="00000000">
      <w:pPr>
        <w:pStyle w:val="a0"/>
      </w:pPr>
      <w:r>
        <w:t xml:space="preserve">Persello, C., &amp; Stein, A. (2017). Deep fully convolutional networks for the detection of smallholder farms from satellite images. </w:t>
      </w:r>
      <w:r>
        <w:rPr>
          <w:i/>
          <w:iCs/>
        </w:rPr>
        <w:t>Remote Sensing of Environment, 212</w:t>
      </w:r>
      <w:r>
        <w:t>, 129–137.</w:t>
      </w:r>
    </w:p>
    <w:p w14:paraId="3E5D5A6D" w14:textId="77777777" w:rsidR="001876C8" w:rsidRDefault="00000000">
      <w:pPr>
        <w:pStyle w:val="a0"/>
      </w:pPr>
      <w:r>
        <w:t xml:space="preserve">Ronneberger, O., Fischer, P., &amp; Brox, T. (2015). U-Net: Convolutional networks for biomedical image segmentation. </w:t>
      </w:r>
      <w:r>
        <w:rPr>
          <w:i/>
          <w:iCs/>
        </w:rPr>
        <w:t>Proceedings of MICCAI 2015</w:t>
      </w:r>
      <w:r>
        <w:t>, 234–241.</w:t>
      </w:r>
    </w:p>
    <w:p w14:paraId="1E62E6D5" w14:textId="77777777" w:rsidR="001876C8" w:rsidRDefault="00000000">
      <w:pPr>
        <w:pStyle w:val="a0"/>
      </w:pPr>
      <w:r>
        <w:t xml:space="preserve">Schuster, C., Niebergall, S., &amp; Schmidt, K. (2015). Pixel-based vs. object-based crop classification with multitemporal RapidEye data. </w:t>
      </w:r>
      <w:r>
        <w:rPr>
          <w:i/>
          <w:iCs/>
        </w:rPr>
        <w:t>International Journal of Remote Sensing, 36</w:t>
      </w:r>
      <w:r>
        <w:t>(6), 1704–1723.</w:t>
      </w:r>
    </w:p>
    <w:p w14:paraId="533E4E0C" w14:textId="77777777" w:rsidR="001876C8" w:rsidRDefault="00000000">
      <w:pPr>
        <w:pStyle w:val="a0"/>
      </w:pPr>
      <w:r>
        <w:t xml:space="preserve">Velicković, P., Cucurull, G., Casanova, A., Romero, A., Liò, P., &amp; Bengio, Y. (2018). Graph Attention Networks. </w:t>
      </w:r>
      <w:r>
        <w:rPr>
          <w:i/>
          <w:iCs/>
        </w:rPr>
        <w:t>Proceedings of ICLR 2018</w:t>
      </w:r>
      <w:r>
        <w:t>.</w:t>
      </w:r>
    </w:p>
    <w:p w14:paraId="184505F1" w14:textId="77777777" w:rsidR="001876C8" w:rsidRDefault="00000000">
      <w:pPr>
        <w:pStyle w:val="a0"/>
      </w:pPr>
      <w:r>
        <w:t xml:space="preserve">Veloso, A., Mermoz, S., Bouvet, A., Le Toan, T., Planells, M., Dejoux, J. F., &amp; Ceschia, E. (2017). Understanding the temporal behavior of crops using Sentinel-1 and Sentinel-2-like data for agricultural applications. </w:t>
      </w:r>
      <w:r>
        <w:rPr>
          <w:i/>
          <w:iCs/>
        </w:rPr>
        <w:t>Remote Sensing of Environment, 199</w:t>
      </w:r>
      <w:r>
        <w:t>, 415–426.</w:t>
      </w:r>
    </w:p>
    <w:p w14:paraId="2B01B163" w14:textId="77777777" w:rsidR="001876C8" w:rsidRDefault="00000000">
      <w:pPr>
        <w:pStyle w:val="a0"/>
      </w:pPr>
      <w:r>
        <w:t xml:space="preserve">Vreugdenhil, M., Wagner, W., &amp; Bauer-Marschallinger, B. (2018). Sensitivity of Sentinel-1 backscatter to vegetation dynamics: An Austrian case study. </w:t>
      </w:r>
      <w:r>
        <w:rPr>
          <w:i/>
          <w:iCs/>
        </w:rPr>
        <w:t>Remote Sensing, 10</w:t>
      </w:r>
      <w:r>
        <w:t>(9), 1396.</w:t>
      </w:r>
    </w:p>
    <w:p w14:paraId="7AFEFDB3" w14:textId="77777777" w:rsidR="001876C8" w:rsidRDefault="00000000">
      <w:pPr>
        <w:pStyle w:val="a0"/>
      </w:pPr>
      <w:r>
        <w:t xml:space="preserve">Wang, C., Wu, C., &amp; Bai, X. (2020). Sugarcane mapping by integrating multi-source satellite data (Landsat-8, Sentinel-1, and Sentinel-2). </w:t>
      </w:r>
      <w:r>
        <w:rPr>
          <w:i/>
          <w:iCs/>
        </w:rPr>
        <w:t>Remote Sensing, 12</w:t>
      </w:r>
      <w:r>
        <w:t>(21), 3643.</w:t>
      </w:r>
    </w:p>
    <w:p w14:paraId="2357BAF5" w14:textId="77777777" w:rsidR="001876C8" w:rsidRDefault="00000000">
      <w:pPr>
        <w:pStyle w:val="a0"/>
      </w:pPr>
      <w:r>
        <w:lastRenderedPageBreak/>
        <w:t xml:space="preserve">Xu, X., Hao, P., Xiao, Q., Feng, X., &amp; Ma, M. (2020). Combining Landsat-8 and Sentinel-2 data for crop mapping and monitoring. </w:t>
      </w:r>
      <w:r>
        <w:rPr>
          <w:i/>
          <w:iCs/>
        </w:rPr>
        <w:t>IEEE Journal of Selected Topics in Applied Earth Observations and Remote Sensing, 13</w:t>
      </w:r>
      <w:r>
        <w:t>, 6407–6418.</w:t>
      </w:r>
    </w:p>
    <w:p w14:paraId="77AC1773" w14:textId="77777777" w:rsidR="001876C8" w:rsidRDefault="00000000">
      <w:pPr>
        <w:pStyle w:val="a0"/>
      </w:pPr>
      <w:r>
        <w:t xml:space="preserve">Yu, Q., Gong, P., Clinton, N., Biging, G., Kelly, M., &amp; Schirokauer, D. (2006). Object-based detailed vegetation classification with airborne high spatial resolution remote sensing imagery. </w:t>
      </w:r>
      <w:r>
        <w:rPr>
          <w:i/>
          <w:iCs/>
        </w:rPr>
        <w:t>Photogrammetric Engineering &amp; Remote Sensing, 72</w:t>
      </w:r>
      <w:r>
        <w:t>(7), 799–811.</w:t>
      </w:r>
    </w:p>
    <w:p w14:paraId="200C9DCD" w14:textId="77777777" w:rsidR="001876C8" w:rsidRDefault="00000000">
      <w:pPr>
        <w:pStyle w:val="a0"/>
      </w:pPr>
      <w:r>
        <w:t xml:space="preserve">Zhao, J., Zhang, S., Huang, T., &amp; Tao, D. (2021). Hierarchical superpixel graph neural networks for few-shot segmentation. </w:t>
      </w:r>
      <w:r>
        <w:rPr>
          <w:i/>
          <w:iCs/>
        </w:rPr>
        <w:t>ACM Transactions on Multimedia Computing, Communications, and Applications, 17</w:t>
      </w:r>
      <w:r>
        <w:t>(2), 1–21.</w:t>
      </w:r>
    </w:p>
    <w:p w14:paraId="1F0E813D" w14:textId="77777777" w:rsidR="001876C8" w:rsidRDefault="00000000">
      <w:pPr>
        <w:pStyle w:val="a0"/>
      </w:pPr>
      <w:r>
        <w:t xml:space="preserve">Zheng, S., Jayasumana, S., Romera-Paredes, B., Vineet, V., Su, Z., Du, D., … &amp; Torr, P. (2015). Conditional Random Fields as recurrent neural networks. </w:t>
      </w:r>
      <w:r>
        <w:rPr>
          <w:i/>
          <w:iCs/>
        </w:rPr>
        <w:t>Proceedings of ICCV 2015</w:t>
      </w:r>
      <w:r>
        <w:t>, 1529–1537.</w:t>
      </w:r>
    </w:p>
    <w:p w14:paraId="21FFBD9A" w14:textId="388B4ED7" w:rsidR="001876C8" w:rsidRDefault="001876C8">
      <w:pPr>
        <w:pStyle w:val="a0"/>
      </w:pPr>
      <w:bookmarkStart w:id="16" w:name="citations"/>
      <w:bookmarkEnd w:id="1"/>
      <w:bookmarkEnd w:id="2"/>
      <w:bookmarkEnd w:id="15"/>
      <w:bookmarkEnd w:id="16"/>
    </w:p>
    <w:sectPr w:rsidR="001876C8">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9CB9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B67E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1993179">
    <w:abstractNumId w:val="0"/>
  </w:num>
  <w:num w:numId="2" w16cid:durableId="964039504">
    <w:abstractNumId w:val="1"/>
  </w:num>
  <w:num w:numId="3" w16cid:durableId="1936281785">
    <w:abstractNumId w:val="1"/>
  </w:num>
  <w:num w:numId="4" w16cid:durableId="533932182">
    <w:abstractNumId w:val="1"/>
  </w:num>
  <w:num w:numId="5" w16cid:durableId="1202668089">
    <w:abstractNumId w:val="1"/>
  </w:num>
  <w:num w:numId="6" w16cid:durableId="1717385700">
    <w:abstractNumId w:val="1"/>
  </w:num>
  <w:num w:numId="7" w16cid:durableId="2053190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76C8"/>
    <w:rsid w:val="001876C8"/>
    <w:rsid w:val="006D7919"/>
    <w:rsid w:val="00B95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43151"/>
  <w15:docId w15:val="{047BFF8A-24FD-4322-8BA6-EA35CD07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file_00000000093871fdb0ad1cbef3c93f4b" TargetMode="External"/><Relationship Id="rId3" Type="http://schemas.openxmlformats.org/officeDocument/2006/relationships/settings" Target="settings.xml"/><Relationship Id="rId7" Type="http://schemas.openxmlformats.org/officeDocument/2006/relationships/hyperlink" Target="file://file_00000000093871fdb0ad1cbef3c93f4b"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_00000000093871fdb0ad1cbef3c93f4b" TargetMode="External"/><Relationship Id="rId11" Type="http://schemas.openxmlformats.org/officeDocument/2006/relationships/fontTable" Target="fontTable.xml"/><Relationship Id="rId5" Type="http://schemas.openxmlformats.org/officeDocument/2006/relationships/hyperlink" Target="file://file_00000000093871fdb0ad1cbef3c93f4b" TargetMode="External"/><Relationship Id="rId10" Type="http://schemas.openxmlformats.org/officeDocument/2006/relationships/hyperlink" Target="file://file_00000000093871fdb0ad1cbef3c93f4b" TargetMode="External"/><Relationship Id="rId4" Type="http://schemas.openxmlformats.org/officeDocument/2006/relationships/webSettings" Target="webSettings.xml"/><Relationship Id="rId9" Type="http://schemas.openxmlformats.org/officeDocument/2006/relationships/hyperlink" Target="file://file_00000000093871fdb0ad1cbef3c93f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13212</Words>
  <Characters>77160</Characters>
  <Application>Microsoft Office Word</Application>
  <DocSecurity>0</DocSecurity>
  <Lines>1264</Lines>
  <Paragraphs>234</Paragraphs>
  <ScaleCrop>false</ScaleCrop>
  <Company/>
  <LinksUpToDate>false</LinksUpToDate>
  <CharactersWithSpaces>90138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梅步俊</cp:lastModifiedBy>
  <cp:revision>2</cp:revision>
  <dcterms:created xsi:type="dcterms:W3CDTF">2025-12-31T07:31:00Z</dcterms:created>
  <dcterms:modified xsi:type="dcterms:W3CDTF">2025-12-31T07:43:00Z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