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color w:val="8AB4F8"/>
                <w:sz w:val="20"/>
                <w:szCs w:val="20"/>
              </w:rPr>
              <w:t xml:space="preserve">PROJECTO SEPRJ  ·  ISEP 2025/26</w:t>
            </w:r>
          </w:p>
          <w:p>
            <w:pPr>
              <w:spacing w:after="120" w:before="12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Report de Avaliação CIS-CAT</w:t>
            </w:r>
          </w:p>
          <w:p>
            <w:pPr>
              <w:jc w:val="center"/>
            </w:pPr>
            <w:r>
              <w:rPr>
                <w:color w:val="8AB4F8"/>
                <w:sz w:val="28"/>
                <w:szCs w:val="28"/>
              </w:rPr>
              <w:t xml:space="preserve">LAB-WS01 — Score Baseline L0 (Fase 3)</w:t>
            </w:r>
          </w:p>
          <w:p>
            <w:pPr>
              <w:spacing w:before="80"/>
              <w:jc w:val="center"/>
            </w:pPr>
            <w:r>
              <w:rPr>
                <w:color w:val="AABFE8"/>
                <w:sz w:val="22"/>
                <w:szCs w:val="22"/>
              </w:rPr>
              <w:t xml:space="preserve">CIS Microsoft Windows 11 Enterprise Benchmark v5.0.1  |  Level 1</w:t>
            </w:r>
          </w:p>
          <w:p>
            <w:pPr>
              <w:spacing w:before="220"/>
              <w:jc w:val="center"/>
            </w:pPr>
            <w:r>
              <w:rPr>
                <w:color w:val="CCDDFF"/>
                <w:sz w:val="19"/>
                <w:szCs w:val="19"/>
              </w:rPr>
              <w:t xml:space="preserve">Carlos Miguel Dinis da Silva  ·  Nº 1960110  ·  06 de Junho de 2026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1. Sumário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92 / 391</w:t>
            </w:r>
          </w:p>
          <w:p>
            <w:pPr>
              <w:jc w:val="center"/>
            </w:pPr>
            <w:r>
              <w:rPr>
                <w:color w:val="8AB4F8"/>
                <w:sz w:val="22"/>
                <w:szCs w:val="22"/>
              </w:rPr>
              <w:t xml:space="preserve">Passed Recommendations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Manual</w:t>
            </w:r>
          </w:p>
        </w:tc>
        <w:tc>
          <w:tcPr>
            <w:tcW w:type="dxa" w:w="1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8"/>
                <w:szCs w:val="28"/>
              </w:rPr>
              <w:t xml:space="preserve">92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8"/>
                <w:szCs w:val="28"/>
              </w:rPr>
              <w:t xml:space="preserve">299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8"/>
                <w:szCs w:val="2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8"/>
                <w:szCs w:val="2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555555"/>
                <w:sz w:val="28"/>
                <w:szCs w:val="2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32"/>
                <w:szCs w:val="32"/>
              </w:rPr>
              <w:t xml:space="preserve">24%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C55A11"/>
                <w:sz w:val="19"/>
                <w:szCs w:val="19"/>
              </w:rPr>
              <w:t xml:space="preserve">📌  Contexto:  </w:t>
            </w:r>
            <w:r>
              <w:rPr>
                <w:color w:val="111111"/>
                <w:sz w:val="19"/>
                <w:szCs w:val="19"/>
              </w:rPr>
              <w:t xml:space="preserve">Score de 24% é o baseline L0 — estado antes de qualquer hardening. Valor esperado e normal para uma máquina sem políticas CIS aplicadas. O objectivo pós-hardening (F4/F5) é superar 70%.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6"/>
              <w:bottom w:val="single" w:color="2E5DA6" w:sz="4"/>
              <w:right w:val="single" w:color="2E5DA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5DA6"/>
                <w:sz w:val="19"/>
                <w:szCs w:val="19"/>
              </w:rPr>
              <w:t xml:space="preserve">📸  Snapshot:  </w:t>
            </w:r>
            <w:r>
              <w:rPr>
                <w:color w:val="111111"/>
                <w:sz w:val="19"/>
                <w:szCs w:val="19"/>
              </w:rPr>
              <w:t xml:space="preserve">SNAP-02 a tirar após esta avaliação. Nome: 'SNAP-02 — Score L0 WS01 24%'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Máquina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LAB-WS01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Windows 11 Enterprise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Domínio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lab.local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192.168.100.20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CIS-CAT Lite v4.63.0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Benchmark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CIS Microsoft Windows 11 Enterprise Benchmark v5.0.1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Perfil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Level 1 (L1) — Corporate/Enterprise Environment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Assessor GUI — Basic (scan this system only)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Data/Hora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06/06/2026 — 11:19:34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Relatório gerado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C:\Tools\CIS-CAT\Assessor\reports\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Categorias com Mais Falhas</w:t>
      </w:r>
    </w:p>
    <w:p>
      <w:pPr>
        <w:spacing w:after="80"/>
      </w:pPr>
      <w:r>
        <w:rPr>
          <w:color w:val="333333"/>
          <w:sz w:val="20"/>
          <w:szCs w:val="20"/>
        </w:rPr>
        <w:t xml:space="preserve">As categorias seguintes concentram a maioria das 299 falhas e devem ser prioritárias no hardening da Fase 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Administrative Templates (Computer)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18.10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Components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48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Defender Firewall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18.10.42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Microsoft Defender Antivirus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Local Policies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93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Security Options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Advanced Audit Policy Configuration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Printers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 Services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18.10.26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Event Log Service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18.10.94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Windows Update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18.9.26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LAPS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18.4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MS Security Guide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MSS (Legacy)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18.10.57.3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Remote Desktop Session Host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18.9.5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Device Guard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Resultados por Secção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  <w:tc>
          <w:tcPr>
            <w:tcW w:type="dxa" w:w="43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Secção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Account Policies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Password Policy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71%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1.2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Account Lockout Policy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Local Policies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59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93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2.2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 Rights Assignment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72%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2.3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Security Options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58%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System Services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Windows Defender Firewall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Advanced Audit Policy Configuration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17.5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Logon/Logoff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17.7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Policy Change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17.9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Administrative Templates (Computer)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212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Administrative Templates (User)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299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393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24%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Análise e Prioridades para F4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4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1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Prioridade F4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Administrative Templates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210 falhas — maior fonte de não-conformidade. Cobre Firewall, Defender, LAPS, Windows Update, Remote Desktop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Windows Defender Firewall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0/23 — todos os perfis (Domain, Private, Public) a falhar. Sem políticas de firewall configuradas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Advanced Audit Policy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9/27 (33%) — auditoria insuficiente em Account Logon, Object Access, Privilege Use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Security Options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33/57 (58%) — falhas em Interactive Logon, Network Security, User Account Control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Account Lockout Policy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0/3 (0%) — sem política de bloqueio de conta configurada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 xml:space="preserve">🟠 Alta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LAPS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0/8 (0%) — políticas LAPS não configuradas na workstation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56C00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User Rights Assignment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26/36 (72%) — maioritariamente conforme, 10 falhas residuais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856C00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Administrative Templates (User)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7/7 (100%) — totalmente conforme, sem acção necessária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F0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E6B3A"/>
                <w:sz w:val="20"/>
                <w:szCs w:val="20"/>
              </w:rPr>
              <w:t xml:space="preserve">✅ OK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DA6" w:sz="4"/>
              <w:left w:val="single" w:color="2E5DA6" w:sz="16"/>
              <w:bottom w:val="single" w:color="2E5DA6" w:sz="4"/>
              <w:right w:val="single" w:color="2E5DA6" w:sz="4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E5DA6"/>
                <w:sz w:val="19"/>
                <w:szCs w:val="19"/>
              </w:rPr>
              <w:t xml:space="preserve">➡️  Próximo passo:  </w:t>
            </w:r>
            <w:r>
              <w:rPr>
                <w:color w:val="111111"/>
                <w:sz w:val="19"/>
                <w:szCs w:val="19"/>
              </w:rPr>
              <w:t xml:space="preserve">Fase 4 — Hardening. Aplicar SCT baseline + GPO CIS L1 para endereçar as 299 falhas. Objectivo: score superior a 70% na re-avaliação F5.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color w:val="999999"/>
          <w:sz w:val="17"/>
          <w:szCs w:val="17"/>
        </w:rPr>
        <w:t xml:space="preserve">Carlos Miguel Dinis da Silva  ·  Nº 1960110  ·  ISEP 2025/26  ·  Projecto SEPRJ</w:t>
      </w:r>
    </w:p>
    <w:sectPr>
      <w:headerReference w:type="default" r:id="rId7"/>
      <w:footerReference w:type="default" r:id="rId8"/>
      <w:pgSz w:w="11906" w:h="16838" w:orient="portrait"/>
      <w:pgMar w:top="1440" w:right="1360" w:bottom="14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color w:val="888888"/>
        <w:sz w:val="17"/>
        <w:szCs w:val="17"/>
      </w:rPr>
      <w:t xml:space="preserve">Página </w:t>
    </w:r>
    <w:r>
      <w:rPr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6" w:space="4"/>
      </w:pBdr>
      <w:spacing w:after="0"/>
    </w:pPr>
    <w:r>
      <w:rPr>
        <w:color w:val="888888"/>
        <w:sz w:val="17"/>
        <w:szCs w:val="17"/>
      </w:rPr>
      <w:t xml:space="preserve">SEPRJ  |  Report F3 — CIS-CAT Baseline LAB-WS01  |  06/06/2026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DA6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2E5DA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40" w:before="140"/>
      <w:outlineLvl w:val="2"/>
    </w:pPr>
    <w:rPr>
      <w:rFonts w:ascii="Calibri" w:cs="Calibri" w:eastAsia="Calibri" w:hAnsi="Calibri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2026-06-06T10:33:39.469Z</dcterms:created>
  <dcterms:modified xsi:type="dcterms:W3CDTF">2026-06-06T10:33:39.480Z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