
<file path=[Content_Types].xml><?xml version="1.0" encoding="utf-8"?>
<Types xmlns="http://schemas.openxmlformats.org/package/2006/content-types">
  <Default Extension="jpeg" ContentType="image/jpeg"/>
  <Default Extension="JPG" ContentType="image/.jpg"/>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31F9C">
      <w:pPr>
        <w:ind w:firstLine="420" w:firstLineChars="200"/>
      </w:pPr>
      <w:r>
        <w:rPr>
          <w:rFonts w:hint="eastAsia"/>
        </w:rPr>
        <w:t>4.5.3小节已经完成了登录模块的接口测试用例设计，下面根据设计的接口测试用例在Postman中进行测试，具体实现过程如下。</w:t>
      </w:r>
    </w:p>
    <w:p w14:paraId="2FB80587">
      <w:pPr>
        <w:numPr>
          <w:ilvl w:val="0"/>
          <w:numId w:val="5"/>
        </w:numPr>
        <w:spacing w:line="360" w:lineRule="auto"/>
        <w:ind w:left="640" w:hanging="214"/>
        <w:rPr>
          <w:b/>
          <w:bCs/>
        </w:rPr>
      </w:pPr>
      <w:r>
        <w:rPr>
          <w:rFonts w:hint="eastAsia"/>
          <w:b/>
          <w:bCs/>
        </w:rPr>
        <w:t>创建集合</w:t>
      </w:r>
    </w:p>
    <w:p w14:paraId="0E4B9FD3">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首先在Postman主窗口的左侧单击Collections，再单击左上方的加号</w:t>
      </w:r>
      <w:r>
        <w:rPr>
          <w:color w:val="000000" w:themeColor="text1"/>
          <w14:textFill>
            <w14:solidFill>
              <w14:schemeClr w14:val="tx1"/>
            </w14:solidFill>
          </w14:textFill>
        </w:rPr>
        <w:drawing>
          <wp:inline distT="0" distB="0" distL="0" distR="0">
            <wp:extent cx="83820" cy="86360"/>
            <wp:effectExtent l="19050" t="19050" r="11430" b="279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83820" cy="86925"/>
                    </a:xfrm>
                    <a:prstGeom prst="rect">
                      <a:avLst/>
                    </a:prstGeom>
                    <a:ln>
                      <a:solidFill>
                        <a:schemeClr val="bg1">
                          <a:lumMod val="85000"/>
                        </a:schemeClr>
                      </a:solidFill>
                    </a:ln>
                  </pic:spPr>
                </pic:pic>
              </a:graphicData>
            </a:graphic>
          </wp:inline>
        </w:drawing>
      </w:r>
      <w:r>
        <w:rPr>
          <w:rFonts w:hint="eastAsia"/>
          <w:color w:val="000000" w:themeColor="text1"/>
          <w14:textFill>
            <w14:solidFill>
              <w14:schemeClr w14:val="tx1"/>
            </w14:solidFill>
          </w14:textFill>
        </w:rPr>
        <w:t>即可创建集合，将集合命名为iHRM人力资源管理系统，然后在该集合处右击会弹出一个下拉列表，选择该列表中的Add folder选项，依次创建2个文件夹，分别命名为登录模块和员工管理模块，集合结构如图1所示。</w:t>
      </w:r>
    </w:p>
    <w:p w14:paraId="5E9B3851">
      <w:pPr>
        <w:jc w:val="center"/>
      </w:pPr>
      <w:r>
        <w:drawing>
          <wp:inline distT="0" distB="0" distL="114300" distR="114300">
            <wp:extent cx="2847975" cy="2028190"/>
            <wp:effectExtent l="9525" t="9525" r="19050" b="19685"/>
            <wp:docPr id="67" name="图片 67"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7"/>
                    <pic:cNvPicPr>
                      <a:picLocks noChangeAspect="1"/>
                    </pic:cNvPicPr>
                  </pic:nvPicPr>
                  <pic:blipFill>
                    <a:blip r:embed="rId7"/>
                    <a:stretch>
                      <a:fillRect/>
                    </a:stretch>
                  </pic:blipFill>
                  <pic:spPr>
                    <a:xfrm>
                      <a:off x="0" y="0"/>
                      <a:ext cx="2847975" cy="2028190"/>
                    </a:xfrm>
                    <a:prstGeom prst="rect">
                      <a:avLst/>
                    </a:prstGeom>
                    <a:ln>
                      <a:solidFill>
                        <a:schemeClr val="bg1">
                          <a:lumMod val="85000"/>
                        </a:schemeClr>
                      </a:solidFill>
                    </a:ln>
                  </pic:spPr>
                </pic:pic>
              </a:graphicData>
            </a:graphic>
          </wp:inline>
        </w:drawing>
      </w:r>
    </w:p>
    <w:p w14:paraId="57C3A199">
      <w:pPr>
        <w:jc w:val="center"/>
      </w:pPr>
      <w:r>
        <w:rPr>
          <w:rFonts w:hint="eastAsia"/>
        </w:rPr>
        <w:t>图1集合结构</w:t>
      </w:r>
    </w:p>
    <w:p w14:paraId="017B7D63">
      <w:pPr>
        <w:numPr>
          <w:ilvl w:val="0"/>
          <w:numId w:val="5"/>
        </w:numPr>
        <w:spacing w:line="360" w:lineRule="auto"/>
        <w:ind w:left="640" w:hanging="214"/>
        <w:rPr>
          <w:b/>
          <w:bCs/>
        </w:rPr>
      </w:pPr>
      <w:r>
        <w:rPr>
          <w:rFonts w:hint="eastAsia"/>
          <w:b/>
          <w:bCs/>
        </w:rPr>
        <w:t>设置环境变量</w:t>
      </w:r>
    </w:p>
    <w:p w14:paraId="10D6DD08">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在Postman主窗口的左侧，首先单击Environments，然后单击左上方的加号“</w:t>
      </w:r>
      <w:r>
        <w:rPr>
          <w:color w:val="000000" w:themeColor="text1"/>
          <w14:textFill>
            <w14:solidFill>
              <w14:schemeClr w14:val="tx1"/>
            </w14:solidFill>
          </w14:textFill>
        </w:rPr>
        <w:drawing>
          <wp:inline distT="0" distB="0" distL="0" distR="0">
            <wp:extent cx="91440" cy="106680"/>
            <wp:effectExtent l="0" t="0" r="381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a:stretch>
                      <a:fillRect/>
                    </a:stretch>
                  </pic:blipFill>
                  <pic:spPr>
                    <a:xfrm>
                      <a:off x="0" y="0"/>
                      <a:ext cx="106691" cy="123759"/>
                    </a:xfrm>
                    <a:prstGeom prst="rect">
                      <a:avLst/>
                    </a:prstGeom>
                    <a:ln>
                      <a:noFill/>
                    </a:ln>
                  </pic:spPr>
                </pic:pic>
              </a:graphicData>
            </a:graphic>
          </wp:inline>
        </w:drawing>
      </w:r>
      <w:r>
        <w:rPr>
          <w:rFonts w:hint="eastAsia"/>
          <w:color w:val="000000" w:themeColor="text1"/>
          <w14:textFill>
            <w14:solidFill>
              <w14:schemeClr w14:val="tx1"/>
            </w14:solidFill>
          </w14:textFill>
        </w:rPr>
        <w:t>”设置环境变量，在Postman主窗口的右侧通过单击“</w:t>
      </w:r>
      <w:r>
        <w:rPr>
          <w:color w:val="000000" w:themeColor="text1"/>
          <w14:textFill>
            <w14:solidFill>
              <w14:schemeClr w14:val="tx1"/>
            </w14:solidFill>
          </w14:textFill>
        </w:rPr>
        <w:drawing>
          <wp:inline distT="0" distB="0" distL="0" distR="0">
            <wp:extent cx="133350" cy="12192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
                    <a:stretch>
                      <a:fillRect/>
                    </a:stretch>
                  </pic:blipFill>
                  <pic:spPr>
                    <a:xfrm>
                      <a:off x="0" y="0"/>
                      <a:ext cx="168935" cy="154244"/>
                    </a:xfrm>
                    <a:prstGeom prst="rect">
                      <a:avLst/>
                    </a:prstGeom>
                    <a:ln>
                      <a:noFill/>
                    </a:ln>
                  </pic:spPr>
                </pic:pic>
              </a:graphicData>
            </a:graphic>
          </wp:inline>
        </w:drawing>
      </w:r>
      <w:r>
        <w:rPr>
          <w:rFonts w:hint="eastAsia"/>
          <w:color w:val="000000" w:themeColor="text1"/>
          <w14:textFill>
            <w14:solidFill>
              <w14:schemeClr w14:val="tx1"/>
            </w14:solidFill>
          </w14:textFill>
        </w:rPr>
        <w:t>”将环境变量命名为iHRM_Environment，在VARIABLE下方输入变量名base_url，在INITIAL VALUE下方输入变量值https://ihrm-java.itheima.net/</w:t>
      </w:r>
      <w:bookmarkStart w:id="0" w:name="_GoBack"/>
      <w:bookmarkEnd w:id="0"/>
      <w:r>
        <w:rPr>
          <w:rFonts w:hint="eastAsia"/>
          <w:color w:val="000000" w:themeColor="text1"/>
          <w14:textFill>
            <w14:solidFill>
              <w14:schemeClr w14:val="tx1"/>
            </w14:solidFill>
          </w14:textFill>
        </w:rPr>
        <w:t>，当变量值填写完成后，CURRENT VALUE的值会自动填充，最后单击“Save”按钮保存环境变量，设置环境变量iHRM_Environment的界面如图2所示。</w:t>
      </w:r>
    </w:p>
    <w:p w14:paraId="24F49523">
      <w:pPr>
        <w:ind w:firstLine="420" w:firstLineChars="200"/>
        <w:jc w:val="center"/>
      </w:pPr>
      <w:r>
        <w:drawing>
          <wp:inline distT="0" distB="0" distL="0" distR="0">
            <wp:extent cx="4548505" cy="2432685"/>
            <wp:effectExtent l="19050" t="19050" r="23495" b="24765"/>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pic:cNvPicPr>
                  </pic:nvPicPr>
                  <pic:blipFill>
                    <a:blip r:embed="rId10" cstate="print">
                      <a:extLst>
                        <a:ext uri="{BEBA8EAE-BF5A-486C-A8C5-ECC9F3942E4B}">
                          <a14:imgProps xmlns:a14="http://schemas.microsoft.com/office/drawing/2010/main">
                            <a14:imgLayer r:embed="rId11">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4547627" cy="2432592"/>
                    </a:xfrm>
                    <a:prstGeom prst="rect">
                      <a:avLst/>
                    </a:prstGeom>
                    <a:ln>
                      <a:solidFill>
                        <a:schemeClr val="bg1">
                          <a:lumMod val="85000"/>
                        </a:schemeClr>
                      </a:solidFill>
                    </a:ln>
                  </pic:spPr>
                </pic:pic>
              </a:graphicData>
            </a:graphic>
          </wp:inline>
        </w:drawing>
      </w:r>
    </w:p>
    <w:p w14:paraId="4EDE9081">
      <w:pPr>
        <w:jc w:val="center"/>
      </w:pPr>
      <w:r>
        <w:rPr>
          <w:rFonts w:hint="eastAsia"/>
        </w:rPr>
        <w:t>图2</w:t>
      </w:r>
      <w:r>
        <w:t xml:space="preserve"> </w:t>
      </w:r>
      <w:r>
        <w:rPr>
          <w:rFonts w:hint="eastAsia"/>
        </w:rPr>
        <w:t>设置环境变量iHRM_Environment的界面</w:t>
      </w:r>
    </w:p>
    <w:p w14:paraId="37F85463">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需要注意的是，当设置完环境变量后，需要单击图2所示界面右上方的“</w:t>
      </w:r>
      <w:r>
        <w:rPr>
          <w:color w:val="000000" w:themeColor="text1"/>
          <w14:textFill>
            <w14:solidFill>
              <w14:schemeClr w14:val="tx1"/>
            </w14:solidFill>
          </w14:textFill>
        </w:rPr>
        <w:drawing>
          <wp:inline distT="0" distB="0" distL="0" distR="0">
            <wp:extent cx="109220" cy="121920"/>
            <wp:effectExtent l="0" t="0" r="508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2"/>
                    <a:stretch>
                      <a:fillRect/>
                    </a:stretch>
                  </pic:blipFill>
                  <pic:spPr>
                    <a:xfrm>
                      <a:off x="0" y="0"/>
                      <a:ext cx="118383" cy="131537"/>
                    </a:xfrm>
                    <a:prstGeom prst="rect">
                      <a:avLst/>
                    </a:prstGeom>
                    <a:ln>
                      <a:noFill/>
                    </a:ln>
                  </pic:spPr>
                </pic:pic>
              </a:graphicData>
            </a:graphic>
          </wp:inline>
        </w:drawing>
      </w:r>
      <w:r>
        <w:rPr>
          <w:rFonts w:hint="eastAsia"/>
          <w:color w:val="000000" w:themeColor="text1"/>
          <w14:textFill>
            <w14:solidFill>
              <w14:schemeClr w14:val="tx1"/>
            </w14:solidFill>
          </w14:textFill>
        </w:rPr>
        <w:t>”，选择使用iHRM_Environment该环境变量，如果没有选择，则默认显示</w:t>
      </w:r>
      <w:r>
        <w:rPr>
          <w:color w:val="000000" w:themeColor="text1"/>
          <w14:textFill>
            <w14:solidFill>
              <w14:schemeClr w14:val="tx1"/>
            </w14:solidFill>
          </w14:textFill>
        </w:rPr>
        <w:t>No Environment，</w:t>
      </w:r>
      <w:r>
        <w:rPr>
          <w:rFonts w:hint="eastAsia"/>
          <w:color w:val="000000" w:themeColor="text1"/>
          <w14:textFill>
            <w14:solidFill>
              <w14:schemeClr w14:val="tx1"/>
            </w14:solidFill>
          </w14:textFill>
        </w:rPr>
        <w:t>在后续设置登录模块和员工管理模块的接口请求地址时将不能直接引用环境变量中的变量名base_url</w:t>
      </w:r>
      <w:r>
        <w:rPr>
          <w:color w:val="000000" w:themeColor="text1"/>
          <w14:textFill>
            <w14:solidFill>
              <w14:schemeClr w14:val="tx1"/>
            </w14:solidFill>
          </w14:textFill>
        </w:rPr>
        <w:t>。</w:t>
      </w:r>
    </w:p>
    <w:p w14:paraId="0A5D907B">
      <w:pPr>
        <w:numPr>
          <w:ilvl w:val="0"/>
          <w:numId w:val="5"/>
        </w:numPr>
        <w:spacing w:line="360" w:lineRule="auto"/>
        <w:ind w:left="640" w:hanging="220"/>
        <w:rPr>
          <w:b/>
          <w:bCs/>
        </w:rPr>
      </w:pPr>
      <w:r>
        <w:rPr>
          <w:rFonts w:hint="eastAsia"/>
          <w:b/>
          <w:bCs/>
        </w:rPr>
        <w:t>执行登录成功的接口测试用例</w:t>
      </w:r>
    </w:p>
    <w:p w14:paraId="5C09405E">
      <w:pPr>
        <w:ind w:firstLine="420" w:firstLineChars="200"/>
        <w:jc w:val="left"/>
      </w:pPr>
      <w:r>
        <w:rPr>
          <w:rFonts w:hint="eastAsia"/>
        </w:rPr>
        <w:t>在Postman中执行登录成功的接口测试用例，具体操作步骤如下。</w:t>
      </w:r>
    </w:p>
    <w:p w14:paraId="03E03AD7">
      <w:pPr>
        <w:jc w:val="left"/>
      </w:pPr>
      <w:r>
        <w:rPr>
          <w:rFonts w:hint="eastAsia"/>
        </w:rPr>
        <w:t xml:space="preserve">   （1）添加登录成功的请求</w:t>
      </w:r>
    </w:p>
    <w:p w14:paraId="28FE8244">
      <w:pPr>
        <w:ind w:firstLine="420" w:firstLineChars="20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首先在登录模块的文件夹处右击，会</w:t>
      </w:r>
      <w:r>
        <w:rPr>
          <w:rFonts w:hint="eastAsia"/>
          <w:color w:val="000000" w:themeColor="text1"/>
          <w14:textFill>
            <w14:solidFill>
              <w14:schemeClr w14:val="tx1"/>
            </w14:solidFill>
          </w14:textFill>
        </w:rPr>
        <w:t>弹出一个下拉列表，选择该列表中的</w:t>
      </w:r>
      <w:r>
        <w:rPr>
          <w:rFonts w:hint="eastAsia"/>
          <w:bCs/>
          <w:color w:val="000000" w:themeColor="text1"/>
          <w14:textFill>
            <w14:solidFill>
              <w14:schemeClr w14:val="tx1"/>
            </w14:solidFill>
          </w14:textFill>
        </w:rPr>
        <w:t>Add request选项，添加一个HTTP请求，按照登录接口测试用例的编号+测试用例名称的方式将该请求命名为login_01_登录成功，然后根据表4-9中登录成功的测试用例与</w:t>
      </w:r>
      <w:r>
        <w:rPr>
          <w:rFonts w:hint="eastAsia"/>
          <w:color w:val="000000" w:themeColor="text1"/>
          <w14:textFill>
            <w14:solidFill>
              <w14:schemeClr w14:val="tx1"/>
            </w14:solidFill>
          </w14:textFill>
        </w:rPr>
        <w:t>iHRM_Environment的环境变量base_url，</w:t>
      </w:r>
      <w:r>
        <w:rPr>
          <w:rFonts w:hint="eastAsia"/>
          <w:bCs/>
          <w:color w:val="000000" w:themeColor="text1"/>
          <w14:textFill>
            <w14:solidFill>
              <w14:schemeClr w14:val="tx1"/>
            </w14:solidFill>
          </w14:textFill>
        </w:rPr>
        <w:t>设置请求方法为POST、请求地址为“{{base_url}}/api/sys/login”和请求头为“</w:t>
      </w:r>
      <w:r>
        <w:rPr>
          <w:rFonts w:hint="eastAsia"/>
        </w:rPr>
        <w:t>Content-Type:application/json</w:t>
      </w:r>
      <w:r>
        <w:rPr>
          <w:rFonts w:hint="eastAsia"/>
          <w:bCs/>
          <w:color w:val="000000" w:themeColor="text1"/>
          <w14:textFill>
            <w14:solidFill>
              <w14:schemeClr w14:val="tx1"/>
            </w14:solidFill>
          </w14:textFill>
        </w:rPr>
        <w:t>”，登录成功的请求界面如图3所示。</w:t>
      </w:r>
    </w:p>
    <w:p w14:paraId="66C9EBFF">
      <w:pPr>
        <w:jc w:val="center"/>
        <w:rPr>
          <w:bCs/>
          <w:color w:val="000000" w:themeColor="text1"/>
          <w14:textFill>
            <w14:solidFill>
              <w14:schemeClr w14:val="tx1"/>
            </w14:solidFill>
          </w14:textFill>
        </w:rPr>
      </w:pPr>
      <w:r>
        <w:rPr>
          <w:bCs/>
          <w:color w:val="000000" w:themeColor="text1"/>
          <w14:textFill>
            <w14:solidFill>
              <w14:schemeClr w14:val="tx1"/>
            </w14:solidFill>
          </w14:textFill>
        </w:rPr>
        <w:drawing>
          <wp:inline distT="0" distB="0" distL="0" distR="0">
            <wp:extent cx="4729480" cy="2616200"/>
            <wp:effectExtent l="19050" t="19050" r="13970" b="1270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0619" cy="2617047"/>
                    </a:xfrm>
                    <a:prstGeom prst="rect">
                      <a:avLst/>
                    </a:prstGeom>
                    <a:ln>
                      <a:solidFill>
                        <a:schemeClr val="bg1">
                          <a:lumMod val="85000"/>
                        </a:schemeClr>
                      </a:solidFill>
                    </a:ln>
                  </pic:spPr>
                </pic:pic>
              </a:graphicData>
            </a:graphic>
          </wp:inline>
        </w:drawing>
      </w:r>
    </w:p>
    <w:p w14:paraId="1EFF5C81">
      <w:pPr>
        <w:jc w:val="center"/>
      </w:pPr>
      <w:r>
        <w:rPr>
          <w:rFonts w:hint="eastAsia"/>
        </w:rPr>
        <w:t>图3</w:t>
      </w:r>
      <w:r>
        <w:t xml:space="preserve"> </w:t>
      </w:r>
      <w:r>
        <w:rPr>
          <w:rFonts w:hint="eastAsia"/>
        </w:rPr>
        <w:t>登录成功的请求界面</w:t>
      </w:r>
    </w:p>
    <w:p w14:paraId="76E283BE">
      <w:pPr>
        <w:ind w:firstLine="420" w:firstLineChars="200"/>
        <w:jc w:val="left"/>
      </w:pPr>
      <w:r>
        <w:rPr>
          <w:rFonts w:hint="eastAsia"/>
        </w:rPr>
        <w:t>（2）设置请求体参数</w:t>
      </w:r>
    </w:p>
    <w:p w14:paraId="7CF90AAD">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单击图3所示界面中Body，并在Body的下方区域选择“raw”选项，表示请求体参数为JSON格式，如图3所示。</w:t>
      </w:r>
    </w:p>
    <w:p w14:paraId="0F908143">
      <w:pPr>
        <w:jc w:val="center"/>
      </w:pPr>
      <w:r>
        <w:drawing>
          <wp:inline distT="0" distB="0" distL="0" distR="0">
            <wp:extent cx="4897120" cy="2077085"/>
            <wp:effectExtent l="19050" t="19050" r="17780" b="1841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8299" cy="2078209"/>
                    </a:xfrm>
                    <a:prstGeom prst="rect">
                      <a:avLst/>
                    </a:prstGeom>
                    <a:ln>
                      <a:solidFill>
                        <a:schemeClr val="bg1">
                          <a:lumMod val="85000"/>
                        </a:schemeClr>
                      </a:solidFill>
                    </a:ln>
                  </pic:spPr>
                </pic:pic>
              </a:graphicData>
            </a:graphic>
          </wp:inline>
        </w:drawing>
      </w:r>
    </w:p>
    <w:p w14:paraId="5E763FE7">
      <w:pPr>
        <w:jc w:val="center"/>
      </w:pPr>
      <w:r>
        <w:rPr>
          <w:rFonts w:hint="eastAsia"/>
        </w:rPr>
        <w:t>图3</w:t>
      </w:r>
      <w:r>
        <w:t xml:space="preserve"> </w:t>
      </w:r>
      <w:r>
        <w:rPr>
          <w:rFonts w:hint="eastAsia"/>
        </w:rPr>
        <w:t>列表选项</w:t>
      </w:r>
    </w:p>
    <w:p w14:paraId="12A99BC4">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图3中，当选择“raw”选项后，就可以在下方区域按照登录成功的接口测试用例设置请求体参数，登录成功的请求体参数如图4所示。</w:t>
      </w:r>
    </w:p>
    <w:p w14:paraId="0FB05107">
      <w:pPr>
        <w:jc w:val="center"/>
      </w:pPr>
      <w:r>
        <w:drawing>
          <wp:inline distT="0" distB="0" distL="0" distR="0">
            <wp:extent cx="4641850" cy="2160905"/>
            <wp:effectExtent l="19050" t="19050" r="25400" b="1079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1509" cy="2160934"/>
                    </a:xfrm>
                    <a:prstGeom prst="rect">
                      <a:avLst/>
                    </a:prstGeom>
                    <a:ln>
                      <a:solidFill>
                        <a:schemeClr val="bg1">
                          <a:lumMod val="85000"/>
                        </a:schemeClr>
                      </a:solidFill>
                    </a:ln>
                  </pic:spPr>
                </pic:pic>
              </a:graphicData>
            </a:graphic>
          </wp:inline>
        </w:drawing>
      </w:r>
    </w:p>
    <w:p w14:paraId="3F97C5A6">
      <w:pPr>
        <w:pStyle w:val="15"/>
        <w:widowControl/>
        <w:tabs>
          <w:tab w:val="left" w:pos="420"/>
        </w:tabs>
        <w:rPr>
          <w:szCs w:val="24"/>
        </w:rPr>
      </w:pPr>
      <w:r>
        <w:rPr>
          <w:rFonts w:hint="eastAsia"/>
          <w:szCs w:val="24"/>
        </w:rPr>
        <w:t>图4</w:t>
      </w:r>
      <w:r>
        <w:rPr>
          <w:szCs w:val="24"/>
        </w:rPr>
        <w:t xml:space="preserve"> </w:t>
      </w:r>
      <w:r>
        <w:rPr>
          <w:rFonts w:hint="eastAsia"/>
          <w:szCs w:val="24"/>
        </w:rPr>
        <w:t>登录成功的请求体参数</w:t>
      </w:r>
    </w:p>
    <w:p w14:paraId="1C160ADF">
      <w:pPr>
        <w:ind w:left="4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（3）编写断言代码</w:t>
      </w:r>
    </w:p>
    <w:p w14:paraId="71A0AE53">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在图4所示界面中，首先单击Tests，然后单击右侧的Status code:Code is 200和Response body:JSON value check，并根据实际的预期结果修改自动生成的断言代码模板，登录成功的断言代码如图5所示。</w:t>
      </w:r>
    </w:p>
    <w:p w14:paraId="353E24CC">
      <w:pPr>
        <w:jc w:val="left"/>
      </w:pPr>
      <w:r>
        <w:drawing>
          <wp:inline distT="0" distB="0" distL="0" distR="0">
            <wp:extent cx="5274310" cy="3517265"/>
            <wp:effectExtent l="9525" t="9525" r="17780" b="222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517265"/>
                    </a:xfrm>
                    <a:prstGeom prst="rect">
                      <a:avLst/>
                    </a:prstGeom>
                    <a:ln>
                      <a:solidFill>
                        <a:schemeClr val="bg1">
                          <a:lumMod val="85000"/>
                        </a:schemeClr>
                      </a:solidFill>
                    </a:ln>
                  </pic:spPr>
                </pic:pic>
              </a:graphicData>
            </a:graphic>
          </wp:inline>
        </w:drawing>
      </w:r>
    </w:p>
    <w:p w14:paraId="7229F372">
      <w:pPr>
        <w:jc w:val="center"/>
      </w:pPr>
      <w:r>
        <w:rPr>
          <w:rFonts w:hint="eastAsia"/>
        </w:rPr>
        <w:t>图5</w:t>
      </w:r>
      <w:r>
        <w:t xml:space="preserve"> </w:t>
      </w:r>
      <w:r>
        <w:rPr>
          <w:rFonts w:hint="eastAsia"/>
        </w:rPr>
        <w:t>登录成功的断言代码</w:t>
      </w:r>
    </w:p>
    <w:p w14:paraId="3A673732">
      <w:pPr>
        <w:ind w:firstLine="420" w:firstLineChars="200"/>
        <w:jc w:val="left"/>
      </w:pPr>
      <w:r>
        <w:rPr>
          <w:rFonts w:hint="eastAsia"/>
        </w:rPr>
        <w:t>在图5所示界面中，</w:t>
      </w:r>
      <w:r>
        <w:t xml:space="preserve"> </w:t>
      </w:r>
      <w:r>
        <w:rPr>
          <w:rFonts w:hint="eastAsia"/>
        </w:rPr>
        <w:t>第2~4行代码用于断言响应状态码是否为200。</w:t>
      </w:r>
    </w:p>
    <w:p w14:paraId="6FFFD599">
      <w:pPr>
        <w:ind w:firstLine="420" w:firstLineChars="200"/>
        <w:jc w:val="left"/>
      </w:pPr>
      <w:r>
        <w:rPr>
          <w:rFonts w:hint="eastAsia"/>
        </w:rPr>
        <w:t>第6~19行代码分别用于断言响应消息success是否等于true、code是否等于10000、message是否等于“操作成功！”。</w:t>
      </w:r>
    </w:p>
    <w:p w14:paraId="2A940ED1">
      <w:pPr>
        <w:ind w:firstLine="420" w:firstLineChars="200"/>
        <w:jc w:val="left"/>
        <w:rPr>
          <w:rFonts w:hint="eastAsia"/>
        </w:rPr>
      </w:pPr>
      <w:r>
        <w:rPr>
          <w:rFonts w:hint="eastAsia"/>
        </w:rPr>
        <w:t>第21~22行代码用于获取返回数据中data的值，并将该值保存到环境变量中，便于在员工管理模块的接口测试中使用。其中，token表示变量名，"Bearer " + JsonData.data表示变量值。需要注意的是Bearer后边有一个空格，如果省略或遗漏该空格，则执行上述代码时会报错。</w:t>
      </w:r>
    </w:p>
    <w:p w14:paraId="5244260B">
      <w:pPr>
        <w:ind w:firstLine="420" w:firstLineChars="200"/>
        <w:jc w:val="center"/>
      </w:pPr>
    </w:p>
    <w:p w14:paraId="63BF67A7">
      <w:pPr>
        <w:ind w:firstLine="420" w:firstLineChars="200"/>
        <w:jc w:val="left"/>
        <w:rPr>
          <w:rFonts w:hint="eastAsia" w:eastAsia="宋体"/>
          <w:lang w:eastAsia="zh-CN"/>
        </w:rPr>
      </w:pPr>
      <w:r>
        <w:rPr>
          <w:rFonts w:hint="eastAsia"/>
          <w:highlight w:val="yellow"/>
        </w:rPr>
        <w:t>添加Bearer 前缀</w:t>
      </w:r>
      <w:r>
        <w:rPr>
          <w:rFonts w:hint="eastAsia"/>
        </w:rPr>
        <w:t>是为了遵循 HTTP 认证规范，确保后续接口能正确识别和验证令牌，避免因格式问题导致的登录状态失效</w:t>
      </w:r>
      <w:r>
        <w:rPr>
          <w:rFonts w:hint="eastAsia"/>
          <w:lang w:eastAsia="zh-CN"/>
        </w:rPr>
        <w:t>：</w:t>
      </w:r>
    </w:p>
    <w:p w14:paraId="1E690061">
      <w:pPr>
        <w:ind w:firstLine="420" w:firstLineChars="200"/>
        <w:jc w:val="left"/>
        <w:rPr>
          <w:rFonts w:hint="eastAsia"/>
        </w:rPr>
      </w:pPr>
      <w:r>
        <w:drawing>
          <wp:anchor distT="0" distB="0" distL="114300" distR="114300" simplePos="0" relativeHeight="251659264" behindDoc="1" locked="0" layoutInCell="1" allowOverlap="1">
            <wp:simplePos x="0" y="0"/>
            <wp:positionH relativeFrom="column">
              <wp:posOffset>-107950</wp:posOffset>
            </wp:positionH>
            <wp:positionV relativeFrom="paragraph">
              <wp:posOffset>155575</wp:posOffset>
            </wp:positionV>
            <wp:extent cx="5669915" cy="2124710"/>
            <wp:effectExtent l="0" t="0" r="11430" b="7620"/>
            <wp:wrapTight wrapText="bothSides">
              <wp:wrapPolygon>
                <wp:start x="0" y="0"/>
                <wp:lineTo x="0" y="21381"/>
                <wp:lineTo x="21532" y="21381"/>
                <wp:lineTo x="21532"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669915" cy="2124710"/>
                    </a:xfrm>
                    <a:prstGeom prst="rect">
                      <a:avLst/>
                    </a:prstGeom>
                    <a:noFill/>
                    <a:ln>
                      <a:noFill/>
                    </a:ln>
                  </pic:spPr>
                </pic:pic>
              </a:graphicData>
            </a:graphic>
          </wp:anchor>
        </w:drawing>
      </w:r>
      <w:r>
        <w:rPr>
          <w:rFonts w:hint="eastAsia"/>
        </w:rPr>
        <w:t>后端接口在解析令牌时，通常会严格校验Authorization头的格式，必须包含Bearer 前缀才会认可该令牌的有效性。如果缺少前缀，即使 token 正确，接口也会返回 "认证失败" 等错误。</w:t>
      </w:r>
    </w:p>
    <w:p w14:paraId="2955A052">
      <w:pPr>
        <w:ind w:firstLine="420" w:firstLineChars="200"/>
        <w:jc w:val="left"/>
        <w:rPr>
          <w:rFonts w:hint="eastAsia"/>
        </w:rPr>
      </w:pPr>
    </w:p>
    <w:p w14:paraId="7E1E76D0">
      <w:pPr>
        <w:ind w:left="420"/>
        <w:jc w:val="left"/>
      </w:pPr>
      <w:r>
        <w:rPr>
          <w:rFonts w:hint="eastAsia"/>
        </w:rPr>
        <w:t>（4）发送请求并查看响应结果</w:t>
      </w:r>
    </w:p>
    <w:p w14:paraId="69DAA48C">
      <w:pPr>
        <w:ind w:firstLine="420" w:firstLineChars="200"/>
        <w:jc w:val="left"/>
      </w:pPr>
      <w:r>
        <w:rPr>
          <w:rFonts w:hint="eastAsia"/>
        </w:rPr>
        <w:t>在图5所示界面中，首先单击“Save”按钮保存填写的请求信息，然后单击“Send”按钮发送请求，登录成功的响应结果如图6所示。</w:t>
      </w:r>
    </w:p>
    <w:p w14:paraId="6310A75A">
      <w:pPr>
        <w:jc w:val="left"/>
      </w:pPr>
      <w:r>
        <w:drawing>
          <wp:inline distT="0" distB="0" distL="0" distR="0">
            <wp:extent cx="5274310" cy="1781810"/>
            <wp:effectExtent l="19050" t="19050" r="21590" b="279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1781810"/>
                    </a:xfrm>
                    <a:prstGeom prst="rect">
                      <a:avLst/>
                    </a:prstGeom>
                    <a:ln>
                      <a:solidFill>
                        <a:schemeClr val="bg1">
                          <a:lumMod val="85000"/>
                        </a:schemeClr>
                      </a:solidFill>
                    </a:ln>
                  </pic:spPr>
                </pic:pic>
              </a:graphicData>
            </a:graphic>
          </wp:inline>
        </w:drawing>
      </w:r>
    </w:p>
    <w:p w14:paraId="7A0E82D5">
      <w:pPr>
        <w:pStyle w:val="15"/>
        <w:widowControl/>
        <w:tabs>
          <w:tab w:val="left" w:pos="420"/>
        </w:tabs>
        <w:rPr>
          <w:szCs w:val="24"/>
        </w:rPr>
      </w:pPr>
      <w:r>
        <w:rPr>
          <w:rFonts w:hint="eastAsia"/>
        </w:rPr>
        <w:t>图6</w:t>
      </w:r>
      <w:r>
        <w:t xml:space="preserve"> </w:t>
      </w:r>
      <w:r>
        <w:rPr>
          <w:rFonts w:hint="eastAsia"/>
        </w:rPr>
        <w:t>登录成功的</w:t>
      </w:r>
      <w:r>
        <w:rPr>
          <w:rFonts w:hint="eastAsia"/>
          <w:szCs w:val="24"/>
        </w:rPr>
        <w:t>响应结果</w:t>
      </w:r>
    </w:p>
    <w:p w14:paraId="20252574">
      <w:pPr>
        <w:ind w:firstLine="420" w:firstLineChars="200"/>
        <w:jc w:val="left"/>
      </w:pPr>
      <w:r>
        <w:rPr>
          <w:rFonts w:hint="eastAsia"/>
        </w:rPr>
        <w:t>由图6可知，响应结果中的返回数据与编号为login_01的登录接口测试用例期望结果一致。单击图6界面中的Test Results可以查看断言结果，登录成功的断言结果如图7所示。</w:t>
      </w:r>
    </w:p>
    <w:p w14:paraId="174DCDDA">
      <w:pPr>
        <w:jc w:val="center"/>
      </w:pPr>
      <w:r>
        <w:drawing>
          <wp:inline distT="0" distB="0" distL="114300" distR="114300">
            <wp:extent cx="4474845" cy="1497965"/>
            <wp:effectExtent l="9525" t="9525" r="13970" b="11430"/>
            <wp:docPr id="66" name="图片 66"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2"/>
                    <pic:cNvPicPr>
                      <a:picLocks noChangeAspect="1"/>
                    </pic:cNvPicPr>
                  </pic:nvPicPr>
                  <pic:blipFill>
                    <a:blip r:embed="rId19"/>
                    <a:stretch>
                      <a:fillRect/>
                    </a:stretch>
                  </pic:blipFill>
                  <pic:spPr>
                    <a:xfrm>
                      <a:off x="0" y="0"/>
                      <a:ext cx="4474845" cy="1497965"/>
                    </a:xfrm>
                    <a:prstGeom prst="rect">
                      <a:avLst/>
                    </a:prstGeom>
                    <a:ln>
                      <a:solidFill>
                        <a:schemeClr val="bg1">
                          <a:lumMod val="85000"/>
                        </a:schemeClr>
                      </a:solidFill>
                    </a:ln>
                  </pic:spPr>
                </pic:pic>
              </a:graphicData>
            </a:graphic>
          </wp:inline>
        </w:drawing>
      </w:r>
    </w:p>
    <w:p w14:paraId="7EFD4F67">
      <w:pPr>
        <w:pStyle w:val="15"/>
        <w:widowControl/>
        <w:tabs>
          <w:tab w:val="left" w:pos="420"/>
        </w:tabs>
        <w:ind w:left="560"/>
        <w:rPr>
          <w:szCs w:val="24"/>
        </w:rPr>
      </w:pPr>
      <w:r>
        <w:rPr>
          <w:rFonts w:hint="eastAsia"/>
        </w:rPr>
        <w:t>图7</w:t>
      </w:r>
      <w:r>
        <w:t xml:space="preserve"> </w:t>
      </w:r>
      <w:r>
        <w:rPr>
          <w:rFonts w:hint="eastAsia"/>
        </w:rPr>
        <w:t>登录成功的</w:t>
      </w:r>
      <w:r>
        <w:rPr>
          <w:rFonts w:hint="eastAsia"/>
          <w:szCs w:val="24"/>
        </w:rPr>
        <w:t>断言结果</w:t>
      </w:r>
    </w:p>
    <w:p w14:paraId="77BF7CBF">
      <w:pPr>
        <w:ind w:firstLine="420" w:firstLineChars="200"/>
        <w:jc w:val="left"/>
      </w:pPr>
      <w:r>
        <w:rPr>
          <w:rFonts w:hint="eastAsia"/>
          <w:color w:val="000000" w:themeColor="text1"/>
          <w14:textFill>
            <w14:solidFill>
              <w14:schemeClr w14:val="tx1"/>
            </w14:solidFill>
          </w14:textFill>
        </w:rPr>
        <w:t>图7中，</w:t>
      </w:r>
      <w:r>
        <w:rPr>
          <w:rFonts w:hint="eastAsia"/>
        </w:rPr>
        <w:t>显示了4个PASS，说明断言代码执行通过。通过观察图6中的响应结果和图7中的断言结果，可以判断登录模块中编号为login_01的接口测试用例执行通过。查看环境变量界面可以看到环境变量中自动保存了变量名token及其对应的值，环境变量界面如图8所示。</w:t>
      </w:r>
    </w:p>
    <w:p w14:paraId="4792AA00">
      <w:pPr>
        <w:jc w:val="left"/>
      </w:pPr>
      <w:r>
        <w:drawing>
          <wp:inline distT="0" distB="0" distL="0" distR="0">
            <wp:extent cx="5274310" cy="1553210"/>
            <wp:effectExtent l="19050" t="19050" r="21590" b="279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1553210"/>
                    </a:xfrm>
                    <a:prstGeom prst="rect">
                      <a:avLst/>
                    </a:prstGeom>
                    <a:ln>
                      <a:solidFill>
                        <a:schemeClr val="bg1">
                          <a:lumMod val="85000"/>
                        </a:schemeClr>
                      </a:solidFill>
                    </a:ln>
                  </pic:spPr>
                </pic:pic>
              </a:graphicData>
            </a:graphic>
          </wp:inline>
        </w:drawing>
      </w:r>
    </w:p>
    <w:p w14:paraId="309C573F">
      <w:pPr>
        <w:jc w:val="center"/>
      </w:pPr>
      <w:r>
        <w:rPr>
          <w:rFonts w:hint="eastAsia"/>
        </w:rPr>
        <w:t>图8</w:t>
      </w:r>
      <w:r>
        <w:t xml:space="preserve"> </w:t>
      </w:r>
      <w:r>
        <w:rPr>
          <w:rFonts w:hint="eastAsia"/>
        </w:rPr>
        <w:t>环境变量界面</w:t>
      </w:r>
    </w:p>
    <w:p w14:paraId="4E903BE7">
      <w:pPr>
        <w:numPr>
          <w:ilvl w:val="0"/>
          <w:numId w:val="5"/>
        </w:numPr>
        <w:spacing w:line="360" w:lineRule="auto"/>
        <w:ind w:left="640" w:hanging="220"/>
        <w:rPr>
          <w:b/>
          <w:bCs/>
        </w:rPr>
      </w:pPr>
      <w:r>
        <w:rPr>
          <w:rFonts w:hint="eastAsia"/>
          <w:b/>
          <w:bCs/>
        </w:rPr>
        <w:t>执行登录失败的接口测试用例</w:t>
      </w:r>
    </w:p>
    <w:p w14:paraId="02B58CCB">
      <w:pPr>
        <w:ind w:firstLine="420" w:firstLineChars="200"/>
        <w:jc w:val="left"/>
      </w:pPr>
      <w:r>
        <w:rPr>
          <w:rFonts w:hint="eastAsia"/>
        </w:rPr>
        <w:t>登录失败的测试用例较多，这些测试用例的区别是请求体中的参数不一样，但是在Postman中执行的步骤是一样的，读者在学习的过程中，可以逐一执行4.5.3小节的表4-9中设计的登录接口测试用例，并观察响应结果中的返回数据是否与表4-9中的预期结果一致。</w:t>
      </w:r>
    </w:p>
    <w:p w14:paraId="58FB69DA">
      <w:pPr>
        <w:ind w:firstLine="420" w:firstLineChars="200"/>
        <w:jc w:val="left"/>
      </w:pPr>
      <w:r>
        <w:rPr>
          <w:rFonts w:hint="eastAsia"/>
        </w:rPr>
        <w:t>下面主要以用例名称为用户名包含特殊字符的接口测试用例为例，演示登录失败的接口测试用例的执行，具体操作步骤如下。</w:t>
      </w:r>
    </w:p>
    <w:p w14:paraId="596A5053">
      <w:pPr>
        <w:jc w:val="left"/>
      </w:pPr>
      <w:r>
        <w:rPr>
          <w:rFonts w:hint="eastAsia"/>
        </w:rPr>
        <w:t xml:space="preserve">   （1）添加登录失败的请求</w:t>
      </w:r>
    </w:p>
    <w:p w14:paraId="3EBED8F5">
      <w:pPr>
        <w:ind w:firstLine="420" w:firstLineChars="200"/>
        <w:jc w:val="left"/>
      </w:pPr>
      <w:r>
        <w:rPr>
          <w:rFonts w:hint="eastAsia"/>
        </w:rPr>
        <w:t>首先在登录模块的文件夹处右击</w:t>
      </w:r>
      <w:r>
        <w:rPr>
          <w:rFonts w:hint="eastAsia"/>
          <w:bCs/>
        </w:rPr>
        <w:t>，</w:t>
      </w:r>
      <w:r>
        <w:rPr>
          <w:rFonts w:hint="eastAsia"/>
        </w:rPr>
        <w:t>弹出一个下拉列表，选择该列表中的</w:t>
      </w:r>
      <w:r>
        <w:rPr>
          <w:rFonts w:hint="eastAsia"/>
          <w:bCs/>
        </w:rPr>
        <w:t>Add request选项</w:t>
      </w:r>
      <w:r>
        <w:rPr>
          <w:rFonts w:hint="eastAsia"/>
        </w:rPr>
        <w:t>，添加一个HTTP请求，按照登录接口测试用例的编号+测试用例名称的方式将该请求命名为login_02_用户名包含特殊字符，然后根据表4-9中编号为login_02的测试用例</w:t>
      </w:r>
      <w:r>
        <w:rPr>
          <w:rFonts w:hint="eastAsia"/>
          <w:bCs/>
          <w:color w:val="000000" w:themeColor="text1"/>
          <w14:textFill>
            <w14:solidFill>
              <w14:schemeClr w14:val="tx1"/>
            </w14:solidFill>
          </w14:textFill>
        </w:rPr>
        <w:t>与</w:t>
      </w:r>
      <w:r>
        <w:rPr>
          <w:rFonts w:hint="eastAsia"/>
          <w:color w:val="000000" w:themeColor="text1"/>
          <w14:textFill>
            <w14:solidFill>
              <w14:schemeClr w14:val="tx1"/>
            </w14:solidFill>
          </w14:textFill>
        </w:rPr>
        <w:t>iHRM_Environment的环境变量base_url，</w:t>
      </w:r>
      <w:r>
        <w:rPr>
          <w:rFonts w:hint="eastAsia"/>
          <w:bCs/>
          <w:color w:val="000000" w:themeColor="text1"/>
          <w14:textFill>
            <w14:solidFill>
              <w14:schemeClr w14:val="tx1"/>
            </w14:solidFill>
          </w14:textFill>
        </w:rPr>
        <w:t>设置请求方法、请求地址和请求头，</w:t>
      </w:r>
      <w:r>
        <w:rPr>
          <w:rFonts w:hint="eastAsia"/>
        </w:rPr>
        <w:t>登录失败的请求界面如图9所示。</w:t>
      </w:r>
    </w:p>
    <w:p w14:paraId="3A6B52BA">
      <w:pPr>
        <w:jc w:val="center"/>
      </w:pPr>
      <w:r>
        <w:drawing>
          <wp:inline distT="0" distB="0" distL="0" distR="0">
            <wp:extent cx="5274310" cy="2048510"/>
            <wp:effectExtent l="19050" t="19050" r="21590" b="2794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10" cy="2048510"/>
                    </a:xfrm>
                    <a:prstGeom prst="rect">
                      <a:avLst/>
                    </a:prstGeom>
                    <a:ln>
                      <a:solidFill>
                        <a:schemeClr val="bg1">
                          <a:lumMod val="85000"/>
                        </a:schemeClr>
                      </a:solidFill>
                    </a:ln>
                  </pic:spPr>
                </pic:pic>
              </a:graphicData>
            </a:graphic>
          </wp:inline>
        </w:drawing>
      </w:r>
    </w:p>
    <w:p w14:paraId="06468A66">
      <w:pPr>
        <w:pStyle w:val="15"/>
        <w:widowControl/>
        <w:tabs>
          <w:tab w:val="left" w:pos="420"/>
        </w:tabs>
        <w:rPr>
          <w:szCs w:val="24"/>
        </w:rPr>
      </w:pPr>
      <w:r>
        <w:rPr>
          <w:rFonts w:hint="eastAsia"/>
          <w:szCs w:val="24"/>
        </w:rPr>
        <w:t>图9</w:t>
      </w:r>
      <w:r>
        <w:rPr>
          <w:szCs w:val="24"/>
        </w:rPr>
        <w:t xml:space="preserve"> </w:t>
      </w:r>
      <w:r>
        <w:rPr>
          <w:rFonts w:hint="eastAsia"/>
          <w:szCs w:val="24"/>
        </w:rPr>
        <w:t>登录失败的请求界面</w:t>
      </w:r>
    </w:p>
    <w:p w14:paraId="50EDF5BD">
      <w:pPr>
        <w:ind w:firstLine="420" w:firstLineChars="200"/>
        <w:jc w:val="left"/>
      </w:pPr>
      <w:r>
        <w:rPr>
          <w:rFonts w:hint="eastAsia"/>
        </w:rPr>
        <w:t>（2）设置请求体参数</w:t>
      </w:r>
    </w:p>
    <w:p w14:paraId="278783B7">
      <w:pPr>
        <w:ind w:firstLine="420" w:firstLineChars="200"/>
        <w:jc w:val="left"/>
      </w:pPr>
      <w:r>
        <w:rPr>
          <w:rFonts w:hint="eastAsia"/>
        </w:rPr>
        <w:t>单击图9所示界面中的Body，按照登录失败的接口测试用例，在Body下方设置请求体参数，登录失败的请求体参数如图10所示。</w:t>
      </w:r>
    </w:p>
    <w:p w14:paraId="582E5CFE">
      <w:pPr>
        <w:jc w:val="center"/>
      </w:pPr>
      <w:r>
        <w:drawing>
          <wp:inline distT="0" distB="0" distL="0" distR="0">
            <wp:extent cx="5274310" cy="2182495"/>
            <wp:effectExtent l="19050" t="19050" r="21590" b="2730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2182495"/>
                    </a:xfrm>
                    <a:prstGeom prst="rect">
                      <a:avLst/>
                    </a:prstGeom>
                    <a:ln>
                      <a:solidFill>
                        <a:schemeClr val="bg1">
                          <a:lumMod val="85000"/>
                        </a:schemeClr>
                      </a:solidFill>
                    </a:ln>
                  </pic:spPr>
                </pic:pic>
              </a:graphicData>
            </a:graphic>
          </wp:inline>
        </w:drawing>
      </w:r>
    </w:p>
    <w:p w14:paraId="5EF1213A">
      <w:pPr>
        <w:pStyle w:val="15"/>
        <w:widowControl/>
        <w:tabs>
          <w:tab w:val="left" w:pos="420"/>
        </w:tabs>
        <w:rPr>
          <w:szCs w:val="24"/>
        </w:rPr>
      </w:pPr>
      <w:r>
        <w:rPr>
          <w:rFonts w:hint="eastAsia"/>
        </w:rPr>
        <w:t>图10</w:t>
      </w:r>
      <w:r>
        <w:t xml:space="preserve"> </w:t>
      </w:r>
      <w:r>
        <w:rPr>
          <w:rFonts w:hint="eastAsia"/>
        </w:rPr>
        <w:t>登录失败的</w:t>
      </w:r>
      <w:r>
        <w:rPr>
          <w:rFonts w:hint="eastAsia"/>
          <w:szCs w:val="24"/>
        </w:rPr>
        <w:t>请求体参数</w:t>
      </w:r>
    </w:p>
    <w:p w14:paraId="53774EB9">
      <w:pPr>
        <w:ind w:firstLine="420" w:firstLineChars="200"/>
        <w:jc w:val="left"/>
      </w:pPr>
      <w:r>
        <w:rPr>
          <w:rFonts w:hint="eastAsia"/>
        </w:rPr>
        <w:t>（3）编写断言代码</w:t>
      </w:r>
    </w:p>
    <w:p w14:paraId="3BE8DEEC">
      <w:pPr>
        <w:ind w:firstLine="420" w:firstLineChars="200"/>
        <w:jc w:val="left"/>
      </w:pPr>
      <w:r>
        <w:rPr>
          <w:rFonts w:hint="eastAsia"/>
        </w:rPr>
        <w:t>图10所示界面中，首先单击Tests，然后单击右侧的Status code:Code is 200和Response body:JSON value check，并根据实际的预期结果修改自动生成的断言代码模板，登录失败的断言代码如图11所示。</w:t>
      </w:r>
    </w:p>
    <w:p w14:paraId="4547E586">
      <w:pPr>
        <w:jc w:val="center"/>
      </w:pPr>
      <w:r>
        <w:drawing>
          <wp:inline distT="0" distB="0" distL="0" distR="0">
            <wp:extent cx="5274310" cy="3651885"/>
            <wp:effectExtent l="19050" t="19050" r="21590" b="2476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74310" cy="3651885"/>
                    </a:xfrm>
                    <a:prstGeom prst="rect">
                      <a:avLst/>
                    </a:prstGeom>
                    <a:ln>
                      <a:solidFill>
                        <a:schemeClr val="bg1">
                          <a:lumMod val="85000"/>
                        </a:schemeClr>
                      </a:solidFill>
                    </a:ln>
                  </pic:spPr>
                </pic:pic>
              </a:graphicData>
            </a:graphic>
          </wp:inline>
        </w:drawing>
      </w:r>
    </w:p>
    <w:p w14:paraId="2608D835">
      <w:pPr>
        <w:pStyle w:val="15"/>
        <w:widowControl/>
        <w:tabs>
          <w:tab w:val="left" w:pos="420"/>
        </w:tabs>
        <w:rPr>
          <w:szCs w:val="24"/>
        </w:rPr>
      </w:pPr>
      <w:r>
        <w:rPr>
          <w:rFonts w:hint="eastAsia"/>
        </w:rPr>
        <w:t>图11</w:t>
      </w:r>
      <w:r>
        <w:t xml:space="preserve"> </w:t>
      </w:r>
      <w:r>
        <w:rPr>
          <w:rFonts w:hint="eastAsia"/>
        </w:rPr>
        <w:t>登录失败的</w:t>
      </w:r>
      <w:r>
        <w:rPr>
          <w:rFonts w:hint="eastAsia"/>
          <w:szCs w:val="24"/>
        </w:rPr>
        <w:t>断言代码</w:t>
      </w:r>
    </w:p>
    <w:p w14:paraId="25E2A887">
      <w:pPr>
        <w:ind w:firstLine="420" w:firstLineChars="200"/>
        <w:jc w:val="left"/>
      </w:pPr>
      <w:r>
        <w:rPr>
          <w:rFonts w:hint="eastAsia"/>
        </w:rPr>
        <w:t>图11所示界面中，第2~4行代码用于断言响应状态码是否为200。</w:t>
      </w:r>
    </w:p>
    <w:p w14:paraId="40124E3A">
      <w:pPr>
        <w:ind w:firstLine="420" w:firstLineChars="200"/>
        <w:jc w:val="left"/>
      </w:pPr>
      <w:r>
        <w:rPr>
          <w:rFonts w:hint="eastAsia"/>
        </w:rPr>
        <w:t>第6~19行代码分别用于断言响应消息success是否等于false、code是否等于20001、message是否等于“用户名或密码错误”。</w:t>
      </w:r>
    </w:p>
    <w:p w14:paraId="36D00D75">
      <w:pPr>
        <w:ind w:left="420"/>
        <w:jc w:val="left"/>
      </w:pPr>
      <w:r>
        <w:rPr>
          <w:rFonts w:hint="eastAsia"/>
        </w:rPr>
        <w:t>（4）发送请求并查看响应结果</w:t>
      </w:r>
    </w:p>
    <w:p w14:paraId="42F64D3C">
      <w:pPr>
        <w:ind w:firstLine="420" w:firstLineChars="200"/>
        <w:jc w:val="left"/>
      </w:pPr>
      <w:r>
        <w:rPr>
          <w:rFonts w:hint="eastAsia"/>
        </w:rPr>
        <w:t>图11所示界面中，首先单击“Save”按钮保存填写的请求信息，然后单击“Send”按钮发送请求，登录失败的响应结果如图12所示。</w:t>
      </w:r>
    </w:p>
    <w:p w14:paraId="27A3A8AA">
      <w:pPr>
        <w:jc w:val="left"/>
      </w:pPr>
      <w:r>
        <w:rPr>
          <w:rFonts w:hint="eastAsia"/>
        </w:rPr>
        <w:drawing>
          <wp:inline distT="0" distB="0" distL="0" distR="0">
            <wp:extent cx="5274310" cy="1602105"/>
            <wp:effectExtent l="19050" t="19050" r="21590" b="1714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1602105"/>
                    </a:xfrm>
                    <a:prstGeom prst="rect">
                      <a:avLst/>
                    </a:prstGeom>
                    <a:ln>
                      <a:solidFill>
                        <a:schemeClr val="bg1">
                          <a:lumMod val="85000"/>
                        </a:schemeClr>
                      </a:solidFill>
                    </a:ln>
                  </pic:spPr>
                </pic:pic>
              </a:graphicData>
            </a:graphic>
          </wp:inline>
        </w:drawing>
      </w:r>
    </w:p>
    <w:p w14:paraId="1B36F403">
      <w:pPr>
        <w:jc w:val="center"/>
      </w:pPr>
      <w:r>
        <w:rPr>
          <w:rFonts w:hint="eastAsia"/>
        </w:rPr>
        <w:t>图12</w:t>
      </w:r>
      <w:r>
        <w:t xml:space="preserve"> </w:t>
      </w:r>
      <w:r>
        <w:rPr>
          <w:rFonts w:hint="eastAsia"/>
        </w:rPr>
        <w:t>登录失败的响应结果</w:t>
      </w:r>
    </w:p>
    <w:p w14:paraId="698D975C">
      <w:pPr>
        <w:ind w:firstLine="420" w:firstLineChars="200"/>
        <w:jc w:val="left"/>
      </w:pPr>
      <w:r>
        <w:rPr>
          <w:rFonts w:hint="eastAsia"/>
        </w:rPr>
        <w:t>由图12可知，响应结果中的返回数据与编号为login_02的登录接口测试用例期望结果一致。单击图12界面中的Test Results可以查看断言结果，登录失败的断言结果如图13所示。</w:t>
      </w:r>
    </w:p>
    <w:p w14:paraId="5F939C94">
      <w:pPr>
        <w:jc w:val="center"/>
      </w:pPr>
      <w:r>
        <w:drawing>
          <wp:inline distT="0" distB="0" distL="0" distR="0">
            <wp:extent cx="5274310" cy="1712595"/>
            <wp:effectExtent l="19050" t="19050" r="21590" b="209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74310" cy="1712595"/>
                    </a:xfrm>
                    <a:prstGeom prst="rect">
                      <a:avLst/>
                    </a:prstGeom>
                    <a:ln>
                      <a:solidFill>
                        <a:schemeClr val="bg1">
                          <a:lumMod val="85000"/>
                        </a:schemeClr>
                      </a:solidFill>
                    </a:ln>
                  </pic:spPr>
                </pic:pic>
              </a:graphicData>
            </a:graphic>
          </wp:inline>
        </w:drawing>
      </w:r>
    </w:p>
    <w:p w14:paraId="049A5B4A">
      <w:pPr>
        <w:jc w:val="center"/>
      </w:pPr>
      <w:r>
        <w:rPr>
          <w:rFonts w:hint="eastAsia"/>
        </w:rPr>
        <w:t>图13</w:t>
      </w:r>
      <w:r>
        <w:t xml:space="preserve"> </w:t>
      </w:r>
      <w:r>
        <w:rPr>
          <w:rFonts w:hint="eastAsia"/>
        </w:rPr>
        <w:t>登录失败的断言结果</w:t>
      </w:r>
    </w:p>
    <w:p w14:paraId="75BE1BA7">
      <w:pPr>
        <w:ind w:firstLine="420" w:firstLineChars="200"/>
        <w:jc w:val="left"/>
      </w:pPr>
      <w:r>
        <w:rPr>
          <w:rFonts w:hint="eastAsia"/>
        </w:rPr>
        <w:t>图13中，显示了4个PASS，说明断言代码执行通过。</w:t>
      </w:r>
    </w:p>
    <w:p w14:paraId="249F04B7">
      <w:pPr>
        <w:ind w:firstLine="420" w:firstLineChars="200"/>
        <w:jc w:val="left"/>
      </w:pPr>
      <w:r>
        <w:rPr>
          <w:rFonts w:hint="eastAsia"/>
        </w:rPr>
        <w:t>通过观察图12中的响应结果和图13中的断言结果，可以判断登录模块中编号为login_02的接口测试用例执行通过。</w:t>
      </w:r>
    </w:p>
    <w:p w14:paraId="0F0A46AB">
      <w:r>
        <w:rPr>
          <w:rFonts w:hint="eastAsia"/>
        </w:rPr>
        <w:t>至此，完成登录模块中登录接口测试用例的执行。</w:t>
      </w:r>
    </w:p>
    <w:sectPr>
      <w:headerReference r:id="rId3" w:type="default"/>
      <w:footerReference r:id="rId4" w:type="default"/>
      <w:pgSz w:w="11906" w:h="16838"/>
      <w:pgMar w:top="1418" w:right="1800" w:bottom="1276"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E5DE0">
    <w:pPr>
      <w:pStyle w:val="7"/>
    </w:pPr>
    <w:r>
      <w:drawing>
        <wp:anchor distT="0" distB="0" distL="114300" distR="114300" simplePos="0" relativeHeight="251662336" behindDoc="0" locked="0" layoutInCell="1" allowOverlap="1">
          <wp:simplePos x="0" y="0"/>
          <wp:positionH relativeFrom="column">
            <wp:posOffset>-1146810</wp:posOffset>
          </wp:positionH>
          <wp:positionV relativeFrom="paragraph">
            <wp:posOffset>-143510</wp:posOffset>
          </wp:positionV>
          <wp:extent cx="7571740" cy="971550"/>
          <wp:effectExtent l="0" t="0" r="1016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71740" cy="971550"/>
                  </a:xfrm>
                  <a:prstGeom prst="rect">
                    <a:avLst/>
                  </a:prstGeom>
                  <a:noFill/>
                </pic:spPr>
              </pic:pic>
            </a:graphicData>
          </a:graphic>
        </wp:anchor>
      </w:drawing>
    </w:r>
    <w:r>
      <w:drawing>
        <wp:anchor distT="0" distB="0" distL="114300" distR="114300" simplePos="0" relativeHeight="251661312" behindDoc="0" locked="0" layoutInCell="1" allowOverlap="1">
          <wp:simplePos x="0" y="0"/>
          <wp:positionH relativeFrom="column">
            <wp:posOffset>-69850</wp:posOffset>
          </wp:positionH>
          <wp:positionV relativeFrom="paragraph">
            <wp:posOffset>9778365</wp:posOffset>
          </wp:positionV>
          <wp:extent cx="7638415" cy="961390"/>
          <wp:effectExtent l="0" t="0" r="635" b="10160"/>
          <wp:wrapNone/>
          <wp:docPr id="38" name="图片 38"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38415" cy="961390"/>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3973F">
    <w:pPr>
      <w:pStyle w:val="8"/>
    </w:pPr>
    <w:r>
      <w:drawing>
        <wp:anchor distT="0" distB="0" distL="114300" distR="114300" simplePos="0" relativeHeight="251660288" behindDoc="0" locked="0" layoutInCell="1" allowOverlap="1">
          <wp:simplePos x="0" y="0"/>
          <wp:positionH relativeFrom="column">
            <wp:posOffset>-1170940</wp:posOffset>
          </wp:positionH>
          <wp:positionV relativeFrom="paragraph">
            <wp:posOffset>-532130</wp:posOffset>
          </wp:positionV>
          <wp:extent cx="7585710" cy="906145"/>
          <wp:effectExtent l="0" t="0" r="15240" b="8255"/>
          <wp:wrapNone/>
          <wp:docPr id="10" name="图片 10"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85710" cy="9061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460F2A"/>
    <w:multiLevelType w:val="singleLevel"/>
    <w:tmpl w:val="AA460F2A"/>
    <w:lvl w:ilvl="0" w:tentative="0">
      <w:start w:val="1"/>
      <w:numFmt w:val="decimal"/>
      <w:lvlText w:val="%1."/>
      <w:lvlJc w:val="left"/>
      <w:pPr>
        <w:ind w:left="845" w:hanging="425"/>
      </w:pPr>
      <w:rPr>
        <w:rFonts w:hint="default"/>
      </w:rPr>
    </w:lvl>
  </w:abstractNum>
  <w:abstractNum w:abstractNumId="1">
    <w:nsid w:val="DC11E5AB"/>
    <w:multiLevelType w:val="multilevel"/>
    <w:tmpl w:val="DC11E5AB"/>
    <w:lvl w:ilvl="0" w:tentative="0">
      <w:start w:val="1"/>
      <w:numFmt w:val="decimal"/>
      <w:pStyle w:val="20"/>
      <w:lvlText w:val="图4-%1"/>
      <w:lvlJc w:val="left"/>
      <w:pPr>
        <w:tabs>
          <w:tab w:val="left" w:pos="0"/>
        </w:tabs>
        <w:ind w:left="0" w:firstLine="0"/>
      </w:pPr>
      <w:rPr>
        <w:rFonts w:hint="default" w:ascii="宋体" w:hAnsi="宋体" w:eastAsia="宋体" w:cs="宋体"/>
        <w:b w:val="0"/>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846"/>
        </w:tabs>
        <w:ind w:left="846"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2">
    <w:nsid w:val="DC6DAA28"/>
    <w:multiLevelType w:val="multilevel"/>
    <w:tmpl w:val="DC6DAA28"/>
    <w:lvl w:ilvl="0" w:tentative="0">
      <w:start w:val="1"/>
      <w:numFmt w:val="decimal"/>
      <w:pStyle w:val="16"/>
      <w:lvlText w:val="表7-%1"/>
      <w:lvlJc w:val="left"/>
      <w:pPr>
        <w:ind w:left="981" w:hanging="420"/>
      </w:pPr>
      <w:rPr>
        <w:rFonts w:hint="default" w:ascii="Times New Roman" w:hAnsi="Times New Roman" w:eastAsia="宋体" w:cs="Times New Roman"/>
      </w:r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abstractNum w:abstractNumId="3">
    <w:nsid w:val="566DCE36"/>
    <w:multiLevelType w:val="multilevel"/>
    <w:tmpl w:val="566DCE36"/>
    <w:lvl w:ilvl="0" w:tentative="0">
      <w:start w:val="1"/>
      <w:numFmt w:val="decimal"/>
      <w:pStyle w:val="2"/>
      <w:suff w:val="nothing"/>
      <w:lvlText w:val="第%1章"/>
      <w:lvlJc w:val="left"/>
      <w:pPr>
        <w:ind w:left="425" w:hanging="425"/>
      </w:pPr>
      <w:rPr>
        <w:rFonts w:hint="eastAsia" w:eastAsia="宋体"/>
        <w:b/>
        <w:bCs/>
        <w:kern w:val="44"/>
        <w:sz w:val="44"/>
      </w:rPr>
    </w:lvl>
    <w:lvl w:ilvl="1" w:tentative="0">
      <w:start w:val="1"/>
      <w:numFmt w:val="decimal"/>
      <w:pStyle w:val="3"/>
      <w:lvlText w:val="7.%2"/>
      <w:lvlJc w:val="left"/>
      <w:pPr>
        <w:tabs>
          <w:tab w:val="left" w:pos="567"/>
        </w:tabs>
        <w:ind w:left="567" w:hanging="567"/>
      </w:pPr>
      <w:rPr>
        <w:rFonts w:hint="default" w:ascii="Times New Roman" w:hAnsi="Times New Roman" w:eastAsia="宋体" w:cs="Times New Roman"/>
      </w:rPr>
    </w:lvl>
    <w:lvl w:ilvl="2" w:tentative="0">
      <w:start w:val="1"/>
      <w:numFmt w:val="decimal"/>
      <w:pStyle w:val="4"/>
      <w:lvlText w:val="7.%2.%3"/>
      <w:lvlJc w:val="left"/>
      <w:pPr>
        <w:tabs>
          <w:tab w:val="left" w:pos="7656"/>
        </w:tabs>
        <w:ind w:left="7656" w:hanging="709"/>
      </w:pPr>
      <w:rPr>
        <w:rFonts w:hint="default" w:ascii="Times New Roman" w:hAnsi="Times New Roman" w:eastAsia="宋体" w:cs="Times New Roman"/>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7193D703"/>
    <w:multiLevelType w:val="multilevel"/>
    <w:tmpl w:val="7193D703"/>
    <w:lvl w:ilvl="0" w:tentative="0">
      <w:start w:val="1"/>
      <w:numFmt w:val="decimal"/>
      <w:pStyle w:val="19"/>
      <w:lvlText w:val="【文件7-%1】"/>
      <w:lvlJc w:val="left"/>
      <w:pPr>
        <w:tabs>
          <w:tab w:val="left" w:pos="-2940"/>
        </w:tabs>
        <w:ind w:left="420" w:hanging="420"/>
      </w:pPr>
      <w:rPr>
        <w:rFonts w:hint="default" w:ascii="Times New Roman" w:hAnsi="Times New Roman" w:eastAsia="宋体" w:cs="Times New Roman"/>
        <w:b w:val="0"/>
        <w:bCs w:val="0"/>
        <w:i w:val="0"/>
        <w:iCs w:val="0"/>
        <w:caps w:val="0"/>
        <w:smallCaps w:val="0"/>
        <w:strike w:val="0"/>
        <w:dstrike w:val="0"/>
        <w:color w:val="auto"/>
        <w:spacing w:val="0"/>
        <w:w w:val="100"/>
        <w:kern w:val="0"/>
        <w:position w:val="0"/>
        <w:sz w:val="21"/>
        <w:u w:val="none"/>
        <w:shd w:val="clear" w:color="auto" w:fill="auto"/>
        <w:vertAlign w:val="baseline"/>
        <w:lang w:val="en-US"/>
      </w:rPr>
    </w:lvl>
    <w:lvl w:ilvl="1" w:tentative="0">
      <w:start w:val="1"/>
      <w:numFmt w:val="decimal"/>
      <w:lvlText w:val="%2．"/>
      <w:lvlJc w:val="left"/>
      <w:pPr>
        <w:tabs>
          <w:tab w:val="left" w:pos="-2940"/>
        </w:tabs>
        <w:ind w:left="-4046" w:hanging="360"/>
      </w:pPr>
      <w:rPr>
        <w:rFonts w:hint="default"/>
      </w:rPr>
    </w:lvl>
    <w:lvl w:ilvl="2" w:tentative="0">
      <w:start w:val="3"/>
      <w:numFmt w:val="upperLetter"/>
      <w:lvlText w:val="%3、"/>
      <w:lvlJc w:val="left"/>
      <w:pPr>
        <w:tabs>
          <w:tab w:val="left" w:pos="-2940"/>
        </w:tabs>
        <w:ind w:left="-3626" w:hanging="360"/>
      </w:pPr>
      <w:rPr>
        <w:rFonts w:hint="default"/>
      </w:rPr>
    </w:lvl>
    <w:lvl w:ilvl="3" w:tentative="0">
      <w:start w:val="1"/>
      <w:numFmt w:val="decimal"/>
      <w:lvlText w:val="%4."/>
      <w:lvlJc w:val="left"/>
      <w:pPr>
        <w:tabs>
          <w:tab w:val="left" w:pos="-2940"/>
        </w:tabs>
        <w:ind w:left="-3146" w:hanging="420"/>
      </w:pPr>
    </w:lvl>
    <w:lvl w:ilvl="4" w:tentative="0">
      <w:start w:val="1"/>
      <w:numFmt w:val="lowerLetter"/>
      <w:lvlText w:val="%5)"/>
      <w:lvlJc w:val="left"/>
      <w:pPr>
        <w:tabs>
          <w:tab w:val="left" w:pos="-2940"/>
        </w:tabs>
        <w:ind w:left="-2726" w:hanging="420"/>
      </w:pPr>
    </w:lvl>
    <w:lvl w:ilvl="5" w:tentative="0">
      <w:start w:val="1"/>
      <w:numFmt w:val="lowerRoman"/>
      <w:lvlText w:val="%6."/>
      <w:lvlJc w:val="right"/>
      <w:pPr>
        <w:tabs>
          <w:tab w:val="left" w:pos="-2940"/>
        </w:tabs>
        <w:ind w:left="-2306" w:hanging="420"/>
      </w:pPr>
    </w:lvl>
    <w:lvl w:ilvl="6" w:tentative="0">
      <w:start w:val="1"/>
      <w:numFmt w:val="decimal"/>
      <w:lvlText w:val="%7."/>
      <w:lvlJc w:val="left"/>
      <w:pPr>
        <w:tabs>
          <w:tab w:val="left" w:pos="-2940"/>
        </w:tabs>
        <w:ind w:left="-1886" w:hanging="420"/>
      </w:pPr>
    </w:lvl>
    <w:lvl w:ilvl="7" w:tentative="0">
      <w:start w:val="1"/>
      <w:numFmt w:val="lowerLetter"/>
      <w:lvlText w:val="%8)"/>
      <w:lvlJc w:val="left"/>
      <w:pPr>
        <w:tabs>
          <w:tab w:val="left" w:pos="-2940"/>
        </w:tabs>
        <w:ind w:left="-1466" w:hanging="420"/>
      </w:pPr>
    </w:lvl>
    <w:lvl w:ilvl="8" w:tentative="0">
      <w:start w:val="1"/>
      <w:numFmt w:val="lowerRoman"/>
      <w:lvlText w:val="%9."/>
      <w:lvlJc w:val="right"/>
      <w:pPr>
        <w:tabs>
          <w:tab w:val="left" w:pos="-2940"/>
        </w:tabs>
        <w:ind w:left="-1046"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ZjYzM2MjQwYjAwN2Q4Y2E5NzYwNTRlZjFkNjc3NDkifQ=="/>
  </w:docVars>
  <w:rsids>
    <w:rsidRoot w:val="00CC7C5E"/>
    <w:rsid w:val="000343B9"/>
    <w:rsid w:val="00057BB4"/>
    <w:rsid w:val="000B1E11"/>
    <w:rsid w:val="001040E5"/>
    <w:rsid w:val="00121C3D"/>
    <w:rsid w:val="00133736"/>
    <w:rsid w:val="0016112F"/>
    <w:rsid w:val="00177E57"/>
    <w:rsid w:val="001A6D2A"/>
    <w:rsid w:val="001C691F"/>
    <w:rsid w:val="001C76C4"/>
    <w:rsid w:val="001F70C8"/>
    <w:rsid w:val="00204A9A"/>
    <w:rsid w:val="002451D7"/>
    <w:rsid w:val="002527BC"/>
    <w:rsid w:val="002A1B44"/>
    <w:rsid w:val="002A6D88"/>
    <w:rsid w:val="00311631"/>
    <w:rsid w:val="003527FC"/>
    <w:rsid w:val="00356615"/>
    <w:rsid w:val="003D3815"/>
    <w:rsid w:val="003F3608"/>
    <w:rsid w:val="00402F5F"/>
    <w:rsid w:val="004526C3"/>
    <w:rsid w:val="0045283A"/>
    <w:rsid w:val="00475892"/>
    <w:rsid w:val="004A208A"/>
    <w:rsid w:val="004E1B57"/>
    <w:rsid w:val="004F6788"/>
    <w:rsid w:val="005769EC"/>
    <w:rsid w:val="00591C4E"/>
    <w:rsid w:val="005F718E"/>
    <w:rsid w:val="006142E4"/>
    <w:rsid w:val="00652E0C"/>
    <w:rsid w:val="00672D48"/>
    <w:rsid w:val="00696494"/>
    <w:rsid w:val="006E0C2D"/>
    <w:rsid w:val="006E183E"/>
    <w:rsid w:val="00701B66"/>
    <w:rsid w:val="00731767"/>
    <w:rsid w:val="007915DD"/>
    <w:rsid w:val="007C78D7"/>
    <w:rsid w:val="007D42F2"/>
    <w:rsid w:val="007E621F"/>
    <w:rsid w:val="007F4814"/>
    <w:rsid w:val="00817539"/>
    <w:rsid w:val="008246CA"/>
    <w:rsid w:val="00882CA6"/>
    <w:rsid w:val="00883BAE"/>
    <w:rsid w:val="008C110D"/>
    <w:rsid w:val="008D5F0E"/>
    <w:rsid w:val="008D6F64"/>
    <w:rsid w:val="00916E76"/>
    <w:rsid w:val="00986856"/>
    <w:rsid w:val="00997D96"/>
    <w:rsid w:val="009C2183"/>
    <w:rsid w:val="009F68D6"/>
    <w:rsid w:val="00A355E9"/>
    <w:rsid w:val="00AB4FE9"/>
    <w:rsid w:val="00AB636C"/>
    <w:rsid w:val="00AD315C"/>
    <w:rsid w:val="00AE5642"/>
    <w:rsid w:val="00AF0EAD"/>
    <w:rsid w:val="00B21349"/>
    <w:rsid w:val="00B37B1A"/>
    <w:rsid w:val="00BE2930"/>
    <w:rsid w:val="00C101D9"/>
    <w:rsid w:val="00C10E5F"/>
    <w:rsid w:val="00C23716"/>
    <w:rsid w:val="00C60B9F"/>
    <w:rsid w:val="00CC7C5E"/>
    <w:rsid w:val="00CF040B"/>
    <w:rsid w:val="00D0766E"/>
    <w:rsid w:val="00DA761F"/>
    <w:rsid w:val="00E136E0"/>
    <w:rsid w:val="00E43DEB"/>
    <w:rsid w:val="00E66641"/>
    <w:rsid w:val="00E76DB2"/>
    <w:rsid w:val="00EA66A9"/>
    <w:rsid w:val="00F10140"/>
    <w:rsid w:val="00F176DA"/>
    <w:rsid w:val="00F26972"/>
    <w:rsid w:val="00F271CE"/>
    <w:rsid w:val="00F4221D"/>
    <w:rsid w:val="00FD6EDC"/>
    <w:rsid w:val="00FE7DA0"/>
    <w:rsid w:val="11DF756D"/>
    <w:rsid w:val="18005575"/>
    <w:rsid w:val="18333A1E"/>
    <w:rsid w:val="189E4DFA"/>
    <w:rsid w:val="27547A2C"/>
    <w:rsid w:val="276C31F9"/>
    <w:rsid w:val="288A18A7"/>
    <w:rsid w:val="31820D30"/>
    <w:rsid w:val="37B72203"/>
    <w:rsid w:val="3F270021"/>
    <w:rsid w:val="498460E9"/>
    <w:rsid w:val="4F2A2F14"/>
    <w:rsid w:val="5DD94E5D"/>
    <w:rsid w:val="6044257D"/>
    <w:rsid w:val="71A17E96"/>
    <w:rsid w:val="732B67A4"/>
    <w:rsid w:val="79844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jc w:val="center"/>
      <w:outlineLvl w:val="0"/>
    </w:pPr>
    <w:rPr>
      <w:b/>
      <w:bCs/>
      <w:kern w:val="44"/>
      <w:sz w:val="44"/>
      <w:szCs w:val="44"/>
    </w:rPr>
  </w:style>
  <w:style w:type="paragraph" w:styleId="3">
    <w:name w:val="heading 2"/>
    <w:basedOn w:val="1"/>
    <w:next w:val="1"/>
    <w:qFormat/>
    <w:uiPriority w:val="9"/>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9"/>
    <w:pPr>
      <w:keepNext/>
      <w:keepLines/>
      <w:numPr>
        <w:ilvl w:val="2"/>
        <w:numId w:val="1"/>
      </w:numPr>
      <w:tabs>
        <w:tab w:val="left" w:pos="709"/>
        <w:tab w:val="clear" w:pos="7656"/>
      </w:tabs>
      <w:spacing w:before="260" w:after="260" w:line="415" w:lineRule="auto"/>
      <w:ind w:left="709"/>
      <w:outlineLvl w:val="2"/>
    </w:pPr>
    <w:rPr>
      <w:rFonts w:eastAsia="黑体"/>
      <w:b/>
      <w:bCs/>
      <w:sz w:val="28"/>
      <w:szCs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alloon Text"/>
    <w:basedOn w:val="1"/>
    <w:link w:val="22"/>
    <w:semiHidden/>
    <w:unhideWhenUsed/>
    <w:qFormat/>
    <w:uiPriority w:val="0"/>
    <w:rPr>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qFormat/>
    <w:uiPriority w:val="0"/>
    <w:rPr>
      <w:color w:val="0563C1" w:themeColor="hyperlink"/>
      <w:u w:val="single"/>
      <w14:textFill>
        <w14:solidFill>
          <w14:schemeClr w14:val="hlink"/>
        </w14:solidFill>
      </w14:textFill>
    </w:rPr>
  </w:style>
  <w:style w:type="paragraph" w:customStyle="1" w:styleId="12">
    <w:name w:val="本章重点 - 标题"/>
    <w:basedOn w:val="1"/>
    <w:next w:val="1"/>
    <w:qFormat/>
    <w:uiPriority w:val="0"/>
    <w:pPr>
      <w:widowControl/>
      <w:ind w:firstLine="420" w:firstLineChars="200"/>
      <w:jc w:val="left"/>
    </w:pPr>
    <w:rPr>
      <w:rFonts w:eastAsia="黑体" w:cs="宋体"/>
      <w:b/>
      <w:kern w:val="0"/>
      <w:sz w:val="32"/>
      <w:szCs w:val="21"/>
    </w:rPr>
  </w:style>
  <w:style w:type="paragraph" w:customStyle="1" w:styleId="13">
    <w:name w:val="3.1 节"/>
    <w:basedOn w:val="3"/>
    <w:qFormat/>
    <w:uiPriority w:val="0"/>
    <w:pPr>
      <w:spacing w:line="415" w:lineRule="auto"/>
      <w:jc w:val="center"/>
    </w:pPr>
    <w:rPr>
      <w:rFonts w:eastAsia="楷体_GB2312" w:cs="宋体"/>
      <w:szCs w:val="20"/>
    </w:rPr>
  </w:style>
  <w:style w:type="paragraph" w:customStyle="1" w:styleId="14">
    <w:name w:val="多学一招、脚下留心字体"/>
    <w:basedOn w:val="1"/>
    <w:qFormat/>
    <w:uiPriority w:val="0"/>
    <w:rPr>
      <w:rFonts w:ascii="楷体_GB2312" w:eastAsia="楷体_GB2312"/>
      <w:b/>
      <w:sz w:val="24"/>
    </w:rPr>
  </w:style>
  <w:style w:type="paragraph" w:customStyle="1" w:styleId="15">
    <w:name w:val="5 图标号样式"/>
    <w:basedOn w:val="1"/>
    <w:qFormat/>
    <w:uiPriority w:val="0"/>
    <w:pPr>
      <w:jc w:val="center"/>
    </w:pPr>
    <w:rPr>
      <w:rFonts w:cs="宋体"/>
      <w:szCs w:val="20"/>
    </w:rPr>
  </w:style>
  <w:style w:type="paragraph" w:customStyle="1" w:styleId="16">
    <w:name w:val="表"/>
    <w:basedOn w:val="1"/>
    <w:qFormat/>
    <w:uiPriority w:val="0"/>
    <w:pPr>
      <w:numPr>
        <w:ilvl w:val="0"/>
        <w:numId w:val="2"/>
      </w:numPr>
      <w:tabs>
        <w:tab w:val="left" w:pos="561"/>
      </w:tabs>
      <w:jc w:val="center"/>
    </w:pPr>
  </w:style>
  <w:style w:type="paragraph" w:customStyle="1" w:styleId="17">
    <w:name w:val="例程代码（无行号）"/>
    <w:basedOn w:val="1"/>
    <w:qFormat/>
    <w:uiPriority w:val="0"/>
    <w:pPr>
      <w:shd w:val="clear" w:color="auto" w:fill="E0E0E0"/>
      <w:ind w:firstLine="420"/>
    </w:pPr>
    <w:rPr>
      <w:rFonts w:ascii="Courier New" w:hAnsi="Courier New"/>
      <w:sz w:val="18"/>
      <w:szCs w:val="18"/>
      <w:shd w:val="clear" w:color="auto" w:fill="E0E0E0"/>
    </w:rPr>
  </w:style>
  <w:style w:type="paragraph" w:customStyle="1" w:styleId="18">
    <w:name w:val="列举条目"/>
    <w:basedOn w:val="1"/>
    <w:qFormat/>
    <w:uiPriority w:val="0"/>
    <w:rPr>
      <w:kern w:val="0"/>
      <w:szCs w:val="21"/>
    </w:rPr>
  </w:style>
  <w:style w:type="paragraph" w:customStyle="1" w:styleId="19">
    <w:name w:val="例程n-n"/>
    <w:basedOn w:val="1"/>
    <w:qFormat/>
    <w:uiPriority w:val="0"/>
    <w:pPr>
      <w:numPr>
        <w:ilvl w:val="0"/>
        <w:numId w:val="3"/>
      </w:numPr>
      <w:jc w:val="center"/>
    </w:pPr>
  </w:style>
  <w:style w:type="paragraph" w:customStyle="1" w:styleId="20">
    <w:name w:val="例程代码（带行号）"/>
    <w:basedOn w:val="1"/>
    <w:qFormat/>
    <w:uiPriority w:val="0"/>
    <w:pPr>
      <w:numPr>
        <w:ilvl w:val="0"/>
        <w:numId w:val="4"/>
      </w:numPr>
      <w:shd w:val="clear" w:color="auto" w:fill="E0E0E0"/>
    </w:pPr>
    <w:rPr>
      <w:rFonts w:ascii="Courier New" w:hAnsi="Courier New"/>
      <w:sz w:val="18"/>
      <w:szCs w:val="18"/>
      <w:shd w:val="clear" w:color="auto" w:fill="E0E0E0"/>
    </w:rPr>
  </w:style>
  <w:style w:type="paragraph" w:styleId="21">
    <w:name w:val="List Paragraph"/>
    <w:basedOn w:val="1"/>
    <w:qFormat/>
    <w:uiPriority w:val="99"/>
    <w:pPr>
      <w:ind w:firstLine="420" w:firstLineChars="200"/>
    </w:pPr>
  </w:style>
  <w:style w:type="character" w:customStyle="1" w:styleId="22">
    <w:name w:val="批注框文本 字符"/>
    <w:basedOn w:val="10"/>
    <w:link w:val="6"/>
    <w:semiHidden/>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settings" Target="settings.xml"/><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microsoft.com/office/2007/relationships/hdphoto" Target="media/image9.wdp"/><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itcast.cn</Company>
  <Pages>7</Pages>
  <Words>2280</Words>
  <Characters>2962</Characters>
  <Lines>20</Lines>
  <Paragraphs>5</Paragraphs>
  <TotalTime>3</TotalTime>
  <ScaleCrop>false</ScaleCrop>
  <LinksUpToDate>false</LinksUpToDate>
  <CharactersWithSpaces>3013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2022-10-21T03:10:00Z</dcterms:created>
  <dc:creator>itcast</dc:creator>
  <cp:lastModifiedBy>LENOVO</cp:lastModifiedBy>
  <dcterms:modified xsi:type="dcterms:W3CDTF">2025-09-22T08:13:06Z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6E2EE743689C4839B0637D87B822FA9B</vt:lpwstr>
  </property>
  <property fmtid="{D5CDD505-2E9C-101B-9397-08002B2CF9AE}" pid="4" name="KSOTemplateDocerSaveRecord">
    <vt:lpwstr>eyJoZGlkIjoiZmIyYTRhZmU2ZjA1MzE5NWYzOWIzNGFiZmU1NDg0OTMifQ==</vt:lpwstr>
  </property>
</Properties>
</file>