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Forty lenses judge one decision.</w:t>
      </w:r>
    </w:p>
    <w:p>
      <w:pPr>
        <w:keepLines/>
        <w:spacing w:before="0" w:after="220" w:line="276" w:lineRule="auto"/>
      </w:pPr>
      <w:r>
        <w:rPr>
          <w:sz w:val="19"/>
          <w:szCs w:val="19"/>
          <w:color w:val="5A5F72"/>
          <w:rFonts w:ascii="Calibri" w:hAnsi="Calibri"/>
        </w:rPr>
        <w:t xml:space="preserve">DashRite Advisory LLC · 30 September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effective cash of $0.00, a burn of $2,661.44 a month, one client carrying the whole revenue line, and no open deal in front of the firm. Read together they set 0.0 months of runway, because cash covers nothing, and that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forty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forty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fifteen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forty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Su’s roadmap sit at twelve, and eleven is carried by the lenses that turn a single engagement into something repeatable.</w:t>
      </w:r>
    </w:p>
    <w:p>
      <w:pPr>
        <w:keepLines/>
        <w:spacing w:before="0" w:after="140" w:line="276" w:lineRule="auto"/>
      </w:pPr>
      <w:r>
        <w:rPr>
          <w:sz w:val="22"/>
          <w:szCs w:val="22"/>
          <w:rFonts w:ascii="Calibri" w:hAnsi="Calibri"/>
        </w:rPr>
        <w:t xml:space="preserve">Five seats sit in a top band of fourteen and fifteen, because at this stage they are the lenses most likely to change a decision rather than confirm one: the firm has one client, 0.0 months of runway, no second person, thirteen standalones built and an acquisitions build queued. Branson and Ohno sit at fifteen. Branson is the only seat that asks whether an offering exists because a customer was badly served, and Ohno’s call to finish half-built work before starting new work is the one reading that stops the queued build. Buffett sits at fourteen because 0.0 months of runway is nowhere near the three-month reserve Capital asks for, so capital gates every commitment. Dell and Cuban sit at fourteen by the owner’s standing choice: the customer’s cash funds the growth, and only revenue fixes a revenue problem. The forty seats now carry four hundred and thirty-six of council weight.</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w:t>
      </w:r>
    </w:p>
    <w:p>
      <w:pPr>
        <w:pageBreakBefore/>
        <w:keepLines/>
        <w:spacing w:before="280" w:after="100" w:line="276" w:lineRule="auto"/>
        <w:keepNext/>
      </w:pPr>
      <w:r>
        <w:rPr>
          <w:b/>
          <w:sz w:val="28"/>
          <w:szCs w:val="28"/>
          <w:color w:val="1F3864"/>
          <w:rFonts w:ascii="Calibri" w:hAnsi="Calibri"/>
        </w:rPr>
        <w:t xml:space="preserve">3 · The forty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forty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serves as a gate on integrity, ahead of any revenue argument.</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thirty-nine views while quietly abandoning the roadmap it published.</w:t>
      </w:r>
    </w:p>
    <w:p>
      <w:pPr>
        <w:keepLines/>
        <w:spacing w:before="200" w:after="50" w:line="276" w:lineRule="auto"/>
        <w:keepNext/>
      </w:pPr>
      <w:r>
        <w:rPr>
          <w:b/>
          <w:sz w:val="23"/>
          <w:szCs w:val="23"/>
          <w:color w:val="1F3864"/>
          <w:rFonts w:ascii="Calibri" w:hAnsi="Calibri"/>
        </w:rPr>
        <w:t xml:space="preserve">39 · Richard Branson</w:t>
      </w:r>
    </w:p>
    <w:p>
      <w:pPr>
        <w:keepLines/>
        <w:keepNext/>
        <w:spacing w:before="0" w:after="120" w:line="276" w:lineRule="auto"/>
      </w:pPr>
      <w:r>
        <w:rPr>
          <w:sz w:val="22"/>
          <w:szCs w:val="22"/>
          <w:rFonts w:ascii="Calibri" w:hAnsi="Calibri"/>
        </w:rPr>
        <w:t xml:space="preserve">Industry: Airlines, music, mobile and financial services. Company: Virgin Group, started as a mail-order record business and grown by entering markets where the incumbent treated customers badly, each venture small enough to survive being wrong.</w:t>
      </w:r>
    </w:p>
    <w:p>
      <w:pPr>
        <w:keepLines/>
        <w:spacing w:before="0" w:after="80" w:line="276" w:lineRule="auto"/>
        <w:ind w:left="280"/>
      </w:pPr>
      <w:r>
        <w:rPr>
          <w:sz w:val="22"/>
          <w:szCs w:val="22"/>
          <w:rFonts w:ascii="Calibri" w:hAnsi="Calibri"/>
        </w:rPr>
        <w:t xml:space="preserve">•   On its own, it asks whether each offering exists because a customer was badly served or only because it was easy to add, whether each open bet would survive being wrong, and whether the brand is earning trust or being spent.</w:t>
      </w:r>
    </w:p>
    <w:p>
      <w:pPr>
        <w:keepLines/>
        <w:spacing w:before="0" w:after="80" w:line="276" w:lineRule="auto"/>
        <w:ind w:left="280"/>
      </w:pPr>
      <w:r>
        <w:rPr>
          <w:sz w:val="22"/>
          <w:szCs w:val="22"/>
          <w:rFonts w:ascii="Calibri" w:hAnsi="Calibri"/>
        </w:rPr>
        <w:t xml:space="preserve">•   With the others, it is the only seat that questions the catalogue rather than the delivery: Cathy judges the offer and Ohno the work in hand, while this seat asks whether the next offering, standalone or acquisition should exist at all.</w:t>
      </w:r>
    </w:p>
    <w:p>
      <w:pPr>
        <w:keepLines/>
        <w:spacing w:before="200" w:after="50" w:line="276" w:lineRule="auto"/>
        <w:keepNext/>
      </w:pPr>
      <w:r>
        <w:rPr>
          <w:b/>
          <w:sz w:val="23"/>
          <w:szCs w:val="23"/>
          <w:color w:val="1F3864"/>
          <w:rFonts w:ascii="Calibri" w:hAnsi="Calibri"/>
        </w:rPr>
        <w:t xml:space="preserve">40 · Sara Blakely</w:t>
      </w:r>
    </w:p>
    <w:p>
      <w:pPr>
        <w:keepLines/>
        <w:keepNext/>
        <w:spacing w:before="0" w:after="120" w:line="276" w:lineRule="auto"/>
      </w:pPr>
      <w:r>
        <w:rPr>
          <w:sz w:val="22"/>
          <w:szCs w:val="22"/>
          <w:rFonts w:ascii="Calibri" w:hAnsi="Calibri"/>
        </w:rPr>
        <w:t xml:space="preserve">Industry: Retail and consumer-product innovation, starting from zero. Company: Spanx. Built the idea at night while selling fax machines door to door, with no business-school background, heard “no” for two years while getting the idea off the ground, and became a billionaire founder.</w:t>
      </w:r>
    </w:p>
    <w:p>
      <w:pPr>
        <w:keepLines/>
        <w:spacing w:before="0" w:after="80" w:line="276" w:lineRule="auto"/>
        <w:ind w:left="280"/>
      </w:pPr>
      <w:r>
        <w:rPr>
          <w:sz w:val="22"/>
          <w:szCs w:val="22"/>
          <w:rFonts w:ascii="Calibri" w:hAnsi="Calibri"/>
        </w:rPr>
        <w:t xml:space="preserve">•   On its own, it asks whether every “no” was recorded with its reason, how long the firm took from first contact to first paid work, whether ownership is being protected, and whether the product is earning its own buyers or the firm is paying for them.</w:t>
      </w:r>
    </w:p>
    <w:p>
      <w:pPr>
        <w:keepLines/>
        <w:spacing w:before="0" w:after="80" w:line="276" w:lineRule="auto"/>
        <w:ind w:left="280"/>
      </w:pPr>
      <w:r>
        <w:rPr>
          <w:sz w:val="22"/>
          <w:szCs w:val="22"/>
          <w:rFonts w:ascii="Calibri" w:hAnsi="Calibri"/>
        </w:rPr>
        <w:t xml:space="preserve">•   With the others, it is the only seat that reads rejection as an input: the market lens counts touches and Bettger counts conversations, while this seat asks whether each answer was kept, so a campaign cannot spend its asks and learn nothing.</w:t>
      </w:r>
    </w:p>
    <w:p>
      <w:pPr>
        <w:keepLines/>
        <w:spacing w:before="0" w:after="120" w:line="276" w:lineRule="auto"/>
      </w:pPr>
      <w:r>
        <w:rPr>
          <w:sz w:val="22"/>
          <w:szCs w:val="22"/>
          <w:rFonts w:ascii="Calibri" w:hAnsi="Calibri"/>
        </w:rPr>
        <w:t xml:space="preserve">Read the roster as a division of labour rather than a list of admirers. Ten lenses argue for motion, nine argue for restraint, six hold the gates, and the remainder keep the work honest about the client. A decision that satisfies all forty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forty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spacing w:before="0" w:after="120" w:line="276" w:lineRule="auto"/>
      </w:pPr>
      <w:r>
        <w:rPr>
          <w:sz w:val="22"/>
          <w:szCs w:val="22"/>
          <w:rFonts w:ascii="Calibri" w:hAnsi="Calibri"/>
        </w:rPr>
        <w:t xml:space="preserve">One caution. Calibration rewards being right, which quietly rewards caution, so the six gates are exempt from it. Integrity is not a forecast, and a gate must never be able to trade its standing for a good record.</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the professional standard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80" w:line="276" w:lineRule="auto"/>
        <w:ind w:left="280"/>
      </w:pPr>
      <w:r>
        <w:rPr>
          <w:sz w:val="22"/>
          <w:szCs w:val="22"/>
          <w:rFonts w:ascii="Calibri" w:hAnsi="Calibri"/>
        </w:rPr>
        <w:t xml:space="preserve">•   Dell · sell direct, customer funds growth — Cash-cycle timing: it checks whether the customer’s payment arrives before the suppliers are paid, and how long finished work sits unbilled against the time it took to build.</w:t>
      </w:r>
    </w:p>
    <w:p>
      <w:pPr>
        <w:keepLines/>
        <w:spacing w:before="0" w:after="80" w:line="276" w:lineRule="auto"/>
        <w:ind w:left="280"/>
      </w:pPr>
      <w:r>
        <w:rPr>
          <w:sz w:val="22"/>
          <w:szCs w:val="22"/>
          <w:rFonts w:ascii="Calibri" w:hAnsi="Calibri"/>
        </w:rPr>
        <w:t xml:space="preserve">•   Su · hard roadmap, kept for years — Milestone accounting: it counts the stated milestones actually met against the plan that was set, and asks whether share is won on the product or bought with a discount.</w:t>
      </w:r>
    </w:p>
    <w:p>
      <w:pPr>
        <w:keepLines/>
        <w:spacing w:before="0" w:after="80" w:line="276" w:lineRule="auto"/>
        <w:ind w:left="280"/>
      </w:pPr>
      <w:r>
        <w:rPr>
          <w:sz w:val="22"/>
          <w:szCs w:val="22"/>
          <w:rFonts w:ascii="Calibri" w:hAnsi="Calibri"/>
        </w:rPr>
        <w:t xml:space="preserve">•   Branson · serve the badly served, bet small — Bet bounding: it asks whether each offering exists because a customer was badly served, and whether each open bet is small enough to survive being wrong.</w:t>
      </w:r>
    </w:p>
    <w:p>
      <w:pPr>
        <w:keepLines/>
        <w:spacing w:before="0" w:after="80" w:line="276" w:lineRule="auto"/>
        <w:ind w:left="280"/>
      </w:pPr>
      <w:r>
        <w:rPr>
          <w:sz w:val="22"/>
          <w:szCs w:val="22"/>
          <w:rFonts w:ascii="Calibri" w:hAnsi="Calibri"/>
        </w:rPr>
        <w:t xml:space="preserve">•   Blakely · rejection is data — Rejection logging: it records why each “no” happened, then reads the reasons before the next ask.</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The books show a net loss of $1,555.92 on $3,000.00 of revenue, and the trial balance ties at $4,555.92. Source: the ledger. Next step: open a business bank account, because without one client payments post as owner draws.</w:t>
      </w:r>
    </w:p>
    <w:p>
      <w:pPr>
        <w:keepLines/>
        <w:spacing w:before="0" w:after="90" w:line="276" w:lineRule="auto"/>
        <w:ind w:left="280"/>
      </w:pPr>
      <w:r>
        <w:rPr>
          <w:sz w:val="22"/>
          <w:szCs w:val="22"/>
          <w:rFonts w:ascii="Calibri" w:hAnsi="Calibri"/>
        </w:rPr>
        <w:t xml:space="preserve">•   How long can we operate? Nothing: $0.00 of effective cash against a burn of $2,661.44 a month, so runway reads 0.0 months, which is the red line on the board. Source: the ledger. Next step: land client two at the average invoice of $1,500; with no business bank account on file, that payment posts as an owner draw and business cash stays at $0.00 until an account exists.</w:t>
      </w:r>
    </w:p>
    <w:p>
      <w:pPr>
        <w:keepLines/>
        <w:spacing w:before="0" w:after="90" w:line="276" w:lineRule="auto"/>
        <w:ind w:left="280"/>
      </w:pPr>
      <w:r>
        <w:rPr>
          <w:sz w:val="22"/>
          <w:szCs w:val="22"/>
          <w:rFonts w:ascii="Calibri" w:hAnsi="Calibri"/>
        </w:rPr>
        <w:t xml:space="preserve">•   What is coming, honestly? No open deal is on file, so the pipeline reads $0 raw and $0 weighted. Source: the client records. Next step: name the targets and log the first proposal.</w:t>
      </w:r>
    </w:p>
    <w:p>
      <w:pPr>
        <w:keepLines/>
        <w:spacing w:before="0" w:after="90" w:line="276" w:lineRule="auto"/>
        <w:ind w:left="280"/>
      </w:pPr>
      <w:r>
        <w:rPr>
          <w:sz w:val="22"/>
          <w:szCs w:val="22"/>
          <w:rFonts w:ascii="Calibri" w:hAnsi="Calibri"/>
        </w:rPr>
        <w:t xml:space="preserve">•   What leaves the account next? $78 falls due within five days for the Broward County local business tax, and $138 is due to Florida Sunbiz on 1 May 2027. Card charges are owner-paid; no company card or card liability exists, so the card balance is $0.00. Source: bills and the card. Next step: pay the $78 on time.</w:t>
      </w:r>
    </w:p>
    <w:p>
      <w:pPr>
        <w:keepLines/>
        <w:spacing w:before="0" w:after="90" w:line="276" w:lineRule="auto"/>
        <w:ind w:left="280"/>
      </w:pPr>
      <w:r>
        <w:rPr>
          <w:sz w:val="22"/>
          <w:szCs w:val="22"/>
          <w:rFonts w:ascii="Calibri" w:hAnsi="Calibri"/>
        </w:rPr>
        <w:t xml:space="preserve">•   What does a dollar of revenue cost? Eighty-seven cents of delivery for every dollar earned, against about thirty-two cents if the handoffs were removed. Source: the time log. Next step: one owner per deliverable rather than two.</w:t>
      </w:r>
    </w:p>
    <w:p>
      <w:pPr>
        <w:keepLines/>
        <w:spacing w:before="0" w:after="90" w:line="276" w:lineRule="auto"/>
        <w:ind w:left="280"/>
      </w:pPr>
      <w:r>
        <w:rPr>
          <w:sz w:val="22"/>
          <w:szCs w:val="22"/>
          <w:rFonts w:ascii="Calibri" w:hAnsi="Calibri"/>
        </w:rPr>
        <w:t xml:space="preserve">•   Can we actually win client two? Twenty-two per cent across the board, but client two repeats a pattern already won, so call it sixty-five per cent. Source: the sales log.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build-and-learn loop takes ninety-six hours against a target under forty-eight. Removing the proposal step recovers about sixteen hours on its own.</w:t>
      </w:r>
    </w:p>
    <w:p>
      <w:pPr>
        <w:keepLines/>
        <w:spacing w:before="0" w:after="90" w:line="276" w:lineRule="auto"/>
        <w:ind w:left="280"/>
      </w:pPr>
      <w:r>
        <w:rPr>
          <w:sz w:val="22"/>
          <w:szCs w:val="22"/>
          <w:rFonts w:ascii="Calibri" w:hAnsi="Calibri"/>
        </w:rPr>
        <w:t xml:space="preserve">•   Leverage, the second test. Fifteen per cent of revenue repeats.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Ninety-four per cent of figures trace to the bank. The open anomaly is payables, up about a third week on week, and it is the first thing to reconcile.</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$3,000 so far this year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140" w:line="276" w:lineRule="auto"/>
      </w:pPr>
      <w:r>
        <w:rPr>
          <w:sz w:val="22"/>
          <w:szCs w:val="22"/>
          <w:rFonts w:ascii="Calibri" w:hAnsi="Calibri"/>
        </w:rPr>
        <w:t xml:space="preserve">No business bank account is on file, so client payments post as owner draws and business cash stays at $0.00. There is no business-cash path to show until an account exists. Read from the ledger as of 30 September 2026.</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sixteen of the forty lenses back the verdict: land client two this week as a packaged, reusable piece of work. With 0.0 months of runway there is no room to rebuild, one client carrying the whole book is the real risk, and work already delivered is the cheapest thing left to sell. The weighted score reads 768, clearing every threshold rather than scraping past one.</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so handoffs stop costing eighty-seven cents on the dollar. Following the entry says trace the payables spike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Forty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Two of the fourteen are gates rather than weights, and that is the real gain.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30 September 2026, read from the Dash ledger at build time: the accounting file, the client records and the time log. Weighting standard: every lens carries ten or more, on a ten to fifteen scale, with the top five at fourteen or fifteen.</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