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spacing w:after="240"/>
      </w:pPr>
      <w:r>
        <w:rPr>
          <w:b/>
          <w:sz w:val="40"/>
          <w:color w:val="1F3864"/>
        </w:rPr>
        <w:t xml:space="preserve">The Build Stack</w:t>
      </w:r>
    </w:p>
    <w:p>
      <w:pPr>
        <w:spacing w:after="110"/>
      </w:pPr>
      <w:r>
        <w:rPr>
          <w:sz w:val="22"/>
        </w:rPr>
        <w:t xml:space="preserve">DashRite Advisory LLC · Governing document · 31 October 2026</w:t>
      </w:r>
    </w:p>
    <w:p>
      <w:pPr>
        <w:spacing w:after="110"/>
      </w:pPr>
      <w:r>
        <w:rPr>
          <w:sz w:val="22"/>
        </w:rPr>
        <w:t xml:space="preserve">The CTO’s record of what we build on, what each thing solves, and what it costs. Written for a reader who does not write code and should not have to. Every tool below was verified against its own source on 31 October 2026; the uncertainty notes at the end say what to re-check before anything depends on it.</w:t>
      </w:r>
    </w:p>
    <w:p>
      <w:pPr>
        <w:keepNext/>
        <w:spacing w:before="260" w:after="110"/>
      </w:pPr>
      <w:r>
        <w:rPr>
          <w:b/>
          <w:sz w:val="24"/>
          <w:color w:val="C81E3C"/>
        </w:rPr>
        <w:t xml:space="preserve">The rule that governs this document</w:t>
      </w:r>
    </w:p>
    <w:p>
      <w:pPr>
        <w:spacing w:after="110"/>
      </w:pPr>
      <w:r>
        <w:rPr>
          <w:sz w:val="22"/>
        </w:rPr>
        <w:t xml:space="preserve">No tool enters the stack because it is impressive. It enters because it closes a fault we measured. Where a tool closes no measured fault, it is listed as not adopted and the reason is stated. That is O’Leary’s seat, applied to tooling.</w:t>
      </w:r>
    </w:p>
    <w:p>
      <w:pPr>
        <w:keepNext/>
        <w:spacing w:before="200" w:after="160"/>
      </w:pPr>
      <w:r>
        <w:rPr>
          <w:b/>
          <w:sz w:val="32"/>
          <w:color w:val="1F3864"/>
        </w:rPr>
        <w:t xml:space="preserve">1 · The faults the stack has to close</w:t>
      </w:r>
    </w:p>
    <w:p>
      <w:pPr>
        <w:spacing w:after="110"/>
      </w:pPr>
      <w:r>
        <w:rPr>
          <w:sz w:val="22"/>
        </w:rPr>
        <w:t xml:space="preserve">Four things were measured on the Florida build. The stack is chosen against them, not against a feature list.</w:t>
      </w:r>
    </w:p>
    <w:p>
      <w:pPr>
        <w:ind w:left="360" w:hanging="200"/>
        <w:spacing w:after="70"/>
      </w:pPr>
      <w:r>
        <w:rPr>
          <w:sz w:val="22"/>
        </w:rPr>
        <w:t xml:space="preserve">• Refusals. Twenty-six of seventy-six declared sources refused our reader, mostly with a four-oh-three. Entire classes — registry, marketplaces, trade press — were shut not because the data was absent but because the door was.</w:t>
      </w:r>
    </w:p>
    <w:p>
      <w:pPr>
        <w:ind w:left="360" w:hanging="200"/>
        <w:spacing w:after="70"/>
      </w:pPr>
      <w:r>
        <w:rPr>
          <w:sz w:val="22"/>
        </w:rPr>
        <w:t xml:space="preserve">• The missing decision maker. Thirteen rows sit one named person short, and the two remaining routes both refuse us.</w:t>
      </w:r>
    </w:p>
    <w:p>
      <w:pPr>
        <w:ind w:left="360" w:hanging="200"/>
        <w:spacing w:after="70"/>
      </w:pPr>
      <w:r>
        <w:rPr>
          <w:sz w:val="22"/>
        </w:rPr>
        <w:t xml:space="preserve">• Cost per row. Discovery runs at one hundred to two hundred and eighty-two reads a row. Completion runs at five to seven. Anything that lowers read cost pays; anything that raises volume does not.</w:t>
      </w:r>
    </w:p>
    <w:p>
      <w:pPr>
        <w:ind w:left="360" w:hanging="200"/>
        <w:spacing w:after="70"/>
      </w:pPr>
      <w:r>
        <w:rPr>
          <w:sz w:val="22"/>
        </w:rPr>
        <w:t xml:space="preserve">• No visibility. We could not see which sources were answering until a panel was built. Work that cannot be seen cannot be judged.</w:t>
      </w:r>
    </w:p>
    <w:p>
      <w:pPr>
        <w:pageBreakBefore/>
        <w:keepNext/>
        <w:spacing w:after="160"/>
      </w:pPr>
      <w:r>
        <w:rPr>
          <w:b/>
          <w:sz w:val="32"/>
          <w:color w:val="1F3864"/>
        </w:rPr>
        <w:t xml:space="preserve">2 · Firecrawl — the refusal problem</w:t>
      </w:r>
    </w:p>
    <w:p>
      <w:pPr>
        <w:spacing w:after="110"/>
      </w:pPr>
      <w:r>
        <w:rPr>
          <w:sz w:val="22"/>
        </w:rPr>
        <w:t xml:space="preserve">The single highest-value tool in this document, because it attacks the fault that shut the most ground.</w:t>
      </w:r>
    </w:p>
    <w:p>
      <w:pPr>
        <w:keepNext/>
        <w:spacing w:before="260" w:after="110"/>
      </w:pPr>
      <w:r>
        <w:rPr>
          <w:b/>
          <w:sz w:val="24"/>
          <w:color w:val="C81E3C"/>
        </w:rPr>
        <w:t xml:space="preserve">What it is</w:t>
      </w:r>
    </w:p>
    <w:p>
      <w:pPr>
        <w:spacing w:after="110"/>
      </w:pPr>
      <w:r>
        <w:rPr>
          <w:sz w:val="22"/>
        </w:rPr>
        <w:t xml:space="preserve">A scraping and crawling API that turns any URL into clean Markdown or structured JSON. Its own documentation states it handles rotating proxies, orchestration, rate limits and JavaScript-blocked content with zero configuration, and that it handles dynamic sites, JS-rendered sites, PDFs and images.</w:t>
      </w:r>
    </w:p>
    <w:p>
      <w:pPr>
        <w:keepNext/>
        <w:spacing w:before="260" w:after="110"/>
      </w:pPr>
      <w:r>
        <w:rPr>
          <w:b/>
          <w:sz w:val="24"/>
          <w:color w:val="C81E3C"/>
        </w:rPr>
        <w:t xml:space="preserve">What it closes</w:t>
      </w:r>
    </w:p>
    <w:p>
      <w:pPr>
        <w:spacing w:after="110"/>
      </w:pPr>
      <w:r>
        <w:rPr>
          <w:sz w:val="22"/>
        </w:rPr>
        <w:t xml:space="preserve">The four-oh-three wall. Our reader is a plain fetch; it announces itself as a machine and is refused. Firecrawl presents as a real browser through rotating proxies, renders JavaScript, and returns the page as Markdown. The twenty-six refused sources are worth re-probing through it before any of them stays closed.</w:t>
      </w:r>
    </w:p>
    <w:p>
      <w:pPr>
        <w:spacing w:after="110"/>
      </w:pPr>
      <w:r>
        <w:rPr>
          <w:sz w:val="22"/>
        </w:rPr>
        <w:t xml:space="preserve">It also returns the page’s own HTTP status in the response metadata, so a refusal is reported as a refusal rather than as an empty read — which is register line sixty directly: a check that saw nothing must read differently from a check that never ran.</w:t>
      </w:r>
    </w:p>
    <w:p>
      <w:pPr>
        <w:keepNext/>
        <w:spacing w:before="260" w:after="110"/>
      </w:pPr>
      <w:r>
        <w:rPr>
          <w:b/>
          <w:sz w:val="24"/>
          <w:color w:val="C81E3C"/>
        </w:rPr>
        <w:t xml:space="preserve">What it costs</w:t>
      </w:r>
    </w:p>
    <w:p>
      <w:pPr>
        <w:spacing w:after="110"/>
      </w:pPr>
      <w:r>
        <w:rPr>
          <w:sz w:val="22"/>
        </w:rPr>
        <w:t xml:space="preserve">There is a free tier and, per the documentation, no API key is required to begin; a key raises rate limits. Verify current limits at the source before a build depends on them.</w:t>
      </w:r>
    </w:p>
    <w:p>
      <w:pPr>
        <w:keepNext/>
        <w:spacing w:before="260" w:after="110"/>
      </w:pPr>
      <w:r>
        <w:rPr>
          <w:b/>
          <w:sz w:val="24"/>
          <w:color w:val="C81E3C"/>
        </w:rPr>
        <w:t xml:space="preserve">How it is reached</w:t>
      </w:r>
    </w:p>
    <w:p>
      <w:pPr>
        <w:spacing w:after="80"/>
      </w:pPr>
      <w:r>
        <w:rPr>
          <w:rFonts w:ascii="Consolas" w:hAnsi="Consolas"/>
          <w:sz w:val="19"/>
          <w:color w:val="1F3864"/>
        </w:rPr>
        <w:t xml:space="preserve">REST    POST https://api.firecrawl.dev/v2/scrape</w:t>
      </w:r>
    </w:p>
    <w:p>
      <w:pPr>
        <w:spacing w:after="80"/>
      </w:pPr>
      <w:r>
        <w:rPr>
          <w:rFonts w:ascii="Consolas" w:hAnsi="Consolas"/>
          <w:sz w:val="19"/>
          <w:color w:val="1F3864"/>
        </w:rPr>
        <w:t xml:space="preserve">MCP     https://mcp.firecrawl.dev/{API_KEY}/v2/mcp</w:t>
      </w:r>
    </w:p>
    <w:p>
      <w:pPr>
        <w:spacing w:after="80"/>
      </w:pPr>
      <w:r>
        <w:rPr>
          <w:rFonts w:ascii="Consolas" w:hAnsi="Consolas"/>
          <w:sz w:val="19"/>
          <w:color w:val="1F3864"/>
        </w:rPr>
        <w:t xml:space="preserve">Skills  npx skills add firecrawl/skills</w:t>
      </w:r>
    </w:p>
    <w:p>
      <w:pPr>
        <w:spacing w:after="110"/>
      </w:pPr>
      <w:r>
        <w:rPr>
          <w:sz w:val="22"/>
        </w:rPr>
        <w:t xml:space="preserve">Tools exposed: scrape, crawl, map, search, extract, parse, batch. Scrape is the one we need; map is useful for finding a roster page before reading it.</w:t>
      </w:r>
    </w:p>
    <w:p>
      <w:pPr>
        <w:keepNext/>
        <w:spacing w:before="260" w:after="110"/>
      </w:pPr>
      <w:r>
        <w:rPr>
          <w:b/>
          <w:sz w:val="24"/>
          <w:color w:val="C81E3C"/>
        </w:rPr>
        <w:t xml:space="preserve">The line it does not cross</w:t>
      </w:r>
    </w:p>
    <w:p>
      <w:pPr>
        <w:spacing w:after="110"/>
      </w:pPr>
      <w:r>
        <w:rPr>
          <w:sz w:val="22"/>
        </w:rPr>
        <w:t>A tool that gets past a refusal does not get past a prohibition. Illinois prohibits automated queries to its website; Firecrawl does not change that. Its bulk sets are published for a person to download. Technical capability never overrides a stated restriction. (Corrected 2026-10-31 by the Chair’s ruling: two pages read where one had been.)</w:t>
      </w:r>
    </w:p>
    <w:p>
      <w:pPr>
        <w:pageBreakBefore/>
        <w:keepNext/>
        <w:spacing w:after="160"/>
      </w:pPr>
      <w:r>
        <w:rPr>
          <w:b/>
          <w:sz w:val="32"/>
          <w:color w:val="1F3864"/>
        </w:rPr>
        <w:t xml:space="preserve">3 · The skills ecosystem — vercel-labs/skills</w:t>
      </w:r>
    </w:p>
    <w:p>
      <w:pPr>
        <w:keepNext/>
        <w:spacing w:before="260" w:after="110"/>
      </w:pPr>
      <w:r>
        <w:rPr>
          <w:b/>
          <w:sz w:val="24"/>
          <w:color w:val="C81E3C"/>
        </w:rPr>
        <w:t xml:space="preserve">What it is</w:t>
      </w:r>
    </w:p>
    <w:p>
      <w:pPr>
        <w:spacing w:after="110"/>
      </w:pPr>
      <w:r>
        <w:rPr>
          <w:sz w:val="22"/>
        </w:rPr>
        <w:t xml:space="preserve">An open package manager for agent skills, published by Vercel Labs under the MIT licence and run as npx skills. A skill is a reusable instruction set that teaches a coding agent how to perform a task. It supports Claude Code, Codex, Cursor and more than seventy-five other agents, and the public directory sits at skills.sh.</w:t>
      </w:r>
    </w:p>
    <w:p>
      <w:pPr>
        <w:keepNext/>
        <w:spacing w:before="260" w:after="110"/>
      </w:pPr>
      <w:r>
        <w:rPr>
          <w:b/>
          <w:sz w:val="24"/>
          <w:color w:val="C81E3C"/>
        </w:rPr>
        <w:t xml:space="preserve">Why it matters to a firm that does not write code</w:t>
      </w:r>
    </w:p>
    <w:p>
      <w:pPr>
        <w:spacing w:after="110"/>
      </w:pPr>
      <w:r>
        <w:rPr>
          <w:sz w:val="22"/>
        </w:rPr>
        <w:t xml:space="preserve">It means capability is installed, not built. Before anything custom is written, the question is whether a skill already does it. Vercel’s own find-skills exists for exactly that purpose — it teaches the agent to search the ecosystem before building from scratch, and is the most installed skill in it.</w:t>
      </w:r>
    </w:p>
    <w:p>
      <w:pPr>
        <w:keepNext/>
        <w:spacing w:before="260" w:after="110"/>
      </w:pPr>
      <w:r>
        <w:rPr>
          <w:b/>
          <w:sz w:val="24"/>
          <w:color w:val="C81E3C"/>
        </w:rPr>
        <w:t xml:space="preserve">The commands that matter</w:t>
      </w:r>
    </w:p>
    <w:p>
      <w:pPr>
        <w:spacing w:after="80"/>
      </w:pPr>
      <w:r>
        <w:rPr>
          <w:rFonts w:ascii="Consolas" w:hAnsi="Consolas"/>
          <w:sz w:val="19"/>
          <w:color w:val="1F3864"/>
        </w:rPr>
        <w:t xml:space="preserve">npx skills find &lt;query&gt;         # search the ecosystem</w:t>
      </w:r>
    </w:p>
    <w:p>
      <w:pPr>
        <w:spacing w:after="80"/>
      </w:pPr>
      <w:r>
        <w:rPr>
          <w:rFonts w:ascii="Consolas" w:hAnsi="Consolas"/>
          <w:sz w:val="19"/>
          <w:color w:val="1F3864"/>
        </w:rPr>
        <w:t xml:space="preserve">npx skills add &lt;owner/repo&gt;     # install a skill</w:t>
      </w:r>
    </w:p>
    <w:p>
      <w:pPr>
        <w:spacing w:after="80"/>
      </w:pPr>
      <w:r>
        <w:rPr>
          <w:rFonts w:ascii="Consolas" w:hAnsi="Consolas"/>
          <w:sz w:val="19"/>
          <w:color w:val="1F3864"/>
        </w:rPr>
        <w:t xml:space="preserve">npx skills add &lt;owner/repo&gt; --skill &lt;name&gt; -a claude-code</w:t>
      </w:r>
    </w:p>
    <w:p>
      <w:pPr>
        <w:spacing w:after="80"/>
      </w:pPr>
      <w:r>
        <w:rPr>
          <w:rFonts w:ascii="Consolas" w:hAnsi="Consolas"/>
          <w:sz w:val="19"/>
          <w:color w:val="1F3864"/>
        </w:rPr>
        <w:t xml:space="preserve">npx skills list                 # what is installed</w:t>
      </w:r>
    </w:p>
    <w:p>
      <w:pPr>
        <w:spacing w:after="80"/>
      </w:pPr>
      <w:r>
        <w:rPr>
          <w:rFonts w:ascii="Consolas" w:hAnsi="Consolas"/>
          <w:sz w:val="19"/>
          <w:color w:val="1F3864"/>
        </w:rPr>
        <w:t xml:space="preserve">npx skills update               # refresh everything</w:t>
      </w:r>
    </w:p>
    <w:p>
      <w:pPr>
        <w:keepNext/>
        <w:spacing w:before="260" w:after="110"/>
      </w:pPr>
      <w:r>
        <w:rPr>
          <w:b/>
          <w:sz w:val="24"/>
          <w:color w:val="C81E3C"/>
        </w:rPr>
        <w:t xml:space="preserve">The standing rule this creates</w:t>
      </w:r>
    </w:p>
    <w:p>
      <w:pPr>
        <w:spacing w:after="110"/>
      </w:pPr>
      <w:r>
        <w:rPr>
          <w:sz w:val="22"/>
        </w:rPr>
        <w:t xml:space="preserve">Search before building. A capability that already exists, is installed by one command and is maintained by someone else costs less than one we write and own forever. Nadella’s seat: learn-it-all over know-it-all.</w:t>
      </w:r>
    </w:p>
    <w:p>
      <w:pPr>
        <w:pageBreakBefore/>
        <w:keepNext/>
        <w:spacing w:after="160"/>
      </w:pPr>
      <w:r>
        <w:rPr>
          <w:b/>
          <w:sz w:val="32"/>
          <w:color w:val="1F3864"/>
        </w:rPr>
        <w:t xml:space="preserve">4 · Composio — the integration layer</w:t>
      </w:r>
    </w:p>
    <w:p>
      <w:pPr>
        <w:keepNext/>
        <w:spacing w:before="260" w:after="110"/>
      </w:pPr>
      <w:r>
        <w:rPr>
          <w:b/>
          <w:sz w:val="24"/>
          <w:color w:val="C81E3C"/>
        </w:rPr>
        <w:t xml:space="preserve">What it is</w:t>
      </w:r>
    </w:p>
    <w:p>
      <w:pPr>
        <w:spacing w:after="110"/>
      </w:pPr>
      <w:r>
        <w:rPr>
          <w:sz w:val="22"/>
        </w:rPr>
        <w:t xml:space="preserve">A universal gateway that exposes many applications through a single MCP endpoint, with managed OAuth, tool-level permissions and an audit trail on every call. Its documentation describes a catalogue in the order of fifteen hundred managed integrations, and a tool router that loads tools dynamically per task rather than binding an agent to one fixed server.</w:t>
      </w:r>
    </w:p>
    <w:p>
      <w:pPr>
        <w:keepNext/>
        <w:spacing w:before="260" w:after="110"/>
      </w:pPr>
      <w:r>
        <w:rPr>
          <w:b/>
          <w:sz w:val="24"/>
          <w:color w:val="C81E3C"/>
        </w:rPr>
        <w:t xml:space="preserve">What it closes</w:t>
      </w:r>
    </w:p>
    <w:p>
      <w:pPr>
        <w:spacing w:after="110"/>
      </w:pPr>
      <w:r>
        <w:rPr>
          <w:sz w:val="22"/>
        </w:rPr>
        <w:t xml:space="preserve">Two things. First, the account wall: our contact routes failed because they need an authenticated session and our reader has none. Composio holds the credential and brokers the call. Second, the sprawl problem: one endpoint instead of one integration per service, each with its own key to lose.</w:t>
      </w:r>
    </w:p>
    <w:p>
      <w:pPr>
        <w:keepNext/>
        <w:spacing w:before="260" w:after="110"/>
      </w:pPr>
      <w:r>
        <w:rPr>
          <w:b/>
          <w:sz w:val="24"/>
          <w:color w:val="C81E3C"/>
        </w:rPr>
        <w:t xml:space="preserve">What it is reached by</w:t>
      </w:r>
    </w:p>
    <w:p>
      <w:pPr>
        <w:spacing w:after="80"/>
      </w:pPr>
      <w:r>
        <w:rPr>
          <w:rFonts w:ascii="Consolas" w:hAnsi="Consolas"/>
          <w:sz w:val="19"/>
          <w:color w:val="1F3864"/>
        </w:rPr>
        <w:t xml:space="preserve">MCP endpoint   https://connect.composio.dev/mcp</w:t>
      </w:r>
    </w:p>
    <w:p>
      <w:pPr>
        <w:spacing w:after="80"/>
      </w:pPr>
      <w:r>
        <w:rPr>
          <w:rFonts w:ascii="Consolas" w:hAnsi="Consolas"/>
          <w:sz w:val="19"/>
          <w:color w:val="1F3864"/>
        </w:rPr>
        <w:t xml:space="preserve">Claude Code    claude mcp add --transport http &lt;name&gt; "&lt;url&gt;" \</w:t>
      </w:r>
    </w:p>
    <w:p>
      <w:pPr>
        <w:spacing w:after="80"/>
      </w:pPr>
      <w:r>
        <w:rPr>
          <w:rFonts w:ascii="Consolas" w:hAnsi="Consolas"/>
          <w:sz w:val="19"/>
          <w:color w:val="1F3864"/>
        </w:rPr>
        <w:t xml:space="preserve">                 --headers "X-API-Key:$COMPOSIO_API_KEY"</w:t>
      </w:r>
    </w:p>
    <w:p>
      <w:pPr>
        <w:keepNext/>
        <w:spacing w:before="260" w:after="110"/>
      </w:pPr>
      <w:r>
        <w:rPr>
          <w:b/>
          <w:sz w:val="24"/>
          <w:color w:val="C81E3C"/>
        </w:rPr>
        <w:t xml:space="preserve">The condition on adopting it</w:t>
      </w:r>
    </w:p>
    <w:p>
      <w:pPr>
        <w:spacing w:after="110"/>
      </w:pPr>
      <w:r>
        <w:rPr>
          <w:sz w:val="22"/>
        </w:rPr>
        <w:t xml:space="preserve">The audit trail is the reason to prefer it over loose keys, and it is also the reason to be careful: a gateway that can act on our behalf in fifteen hundred services is a governance object, not a convenience. Scope it to the toolkits actually in use, and nothing more. That is the legal seat and Herjavec’s both — protect relentlessly.</w:t>
      </w:r>
    </w:p>
    <w:p>
      <w:pPr>
        <w:pageBreakBefore/>
        <w:keepNext/>
        <w:spacing w:after="160"/>
      </w:pPr>
      <w:r>
        <w:rPr>
          <w:b/>
          <w:sz w:val="32"/>
          <w:color w:val="1F3864"/>
        </w:rPr>
        <w:t xml:space="preserve">5 · Playwright and agent-browser — the real-session problem</w:t>
      </w:r>
    </w:p>
    <w:p>
      <w:pPr>
        <w:keepNext/>
        <w:spacing w:before="260" w:after="110"/>
      </w:pPr>
      <w:r>
        <w:rPr>
          <w:b/>
          <w:sz w:val="24"/>
          <w:color w:val="C81E3C"/>
        </w:rPr>
        <w:t xml:space="preserve">What they are</w:t>
      </w:r>
    </w:p>
    <w:p>
      <w:pPr>
        <w:spacing w:after="110"/>
      </w:pPr>
      <w:r>
        <w:rPr>
          <w:sz w:val="22"/>
        </w:rPr>
        <w:t xml:space="preserve">Playwright is Microsoft’s browser automation framework; it drives a real browser rather than imitating one, and is available to agents as an installable skill. Vercel Labs publishes agent-browser, a browser automation command-line tool for AI agents under the Apache licence, installable the same way.</w:t>
      </w:r>
    </w:p>
    <w:p>
      <w:pPr>
        <w:spacing w:after="80"/>
      </w:pPr>
      <w:r>
        <w:rPr>
          <w:rFonts w:ascii="Consolas" w:hAnsi="Consolas"/>
          <w:sz w:val="19"/>
          <w:color w:val="1F3864"/>
        </w:rPr>
        <w:t xml:space="preserve">npx skills add microsoft/playwright-cli</w:t>
      </w:r>
    </w:p>
    <w:p>
      <w:pPr>
        <w:spacing w:after="80"/>
      </w:pPr>
      <w:r>
        <w:rPr>
          <w:rFonts w:ascii="Consolas" w:hAnsi="Consolas"/>
          <w:sz w:val="19"/>
          <w:color w:val="1F3864"/>
        </w:rPr>
        <w:t xml:space="preserve">npx skills add vercel-labs/agent-browser</w:t>
      </w:r>
    </w:p>
    <w:p>
      <w:pPr>
        <w:keepNext/>
        <w:spacing w:before="260" w:after="110"/>
      </w:pPr>
      <w:r>
        <w:rPr>
          <w:b/>
          <w:sz w:val="24"/>
          <w:color w:val="C81E3C"/>
        </w:rPr>
        <w:t xml:space="preserve">What they close</w:t>
      </w:r>
    </w:p>
    <w:p>
      <w:pPr>
        <w:spacing w:after="110"/>
      </w:pPr>
      <w:r>
        <w:rPr>
          <w:sz w:val="22"/>
        </w:rPr>
        <w:t xml:space="preserve">The cases Firecrawl cannot: a page that needs a session, a login, a form submitted, or several steps taken in order. Some state registry exports are documented as needing a real browser session rather than a direct download. A real browser is the honest answer to those.</w:t>
      </w:r>
    </w:p>
    <w:p>
      <w:pPr>
        <w:keepNext/>
        <w:spacing w:before="260" w:after="110"/>
      </w:pPr>
      <w:r>
        <w:rPr>
          <w:b/>
          <w:sz w:val="24"/>
          <w:color w:val="C81E3C"/>
        </w:rPr>
        <w:t xml:space="preserve">When to reach for which</w:t>
      </w:r>
    </w:p>
    <w:p>
      <w:pPr>
        <w:ind w:left="360" w:hanging="200"/>
        <w:spacing w:after="70"/>
      </w:pPr>
      <w:r>
        <w:rPr>
          <w:sz w:val="22"/>
        </w:rPr>
        <w:t xml:space="preserve">• Firecrawl — read a page that refuses us. Most of our cases.</w:t>
      </w:r>
    </w:p>
    <w:p>
      <w:pPr>
        <w:ind w:left="360" w:hanging="200"/>
        <w:spacing w:after="70"/>
      </w:pPr>
      <w:r>
        <w:rPr>
          <w:sz w:val="22"/>
        </w:rPr>
        <w:t xml:space="preserve">• Playwright or agent-browser — a page that needs a session, a click, or a sequence. Fewer cases, heavier cost.</w:t>
      </w:r>
    </w:p>
    <w:p>
      <w:pPr>
        <w:ind w:left="360" w:hanging="200"/>
        <w:spacing w:after="70"/>
      </w:pPr>
      <w:r>
        <w:rPr>
          <w:sz w:val="22"/>
        </w:rPr>
        <w:t xml:space="preserve">• Neither — where the source publishes a bulk file. Take the file.</w:t>
      </w:r>
    </w:p>
    <w:p>
      <w:pPr>
        <w:pageBreakBefore/>
        <w:keepNext/>
        <w:spacing w:after="160"/>
      </w:pPr>
      <w:r>
        <w:rPr>
          <w:b/>
          <w:sz w:val="32"/>
          <w:color w:val="1F3864"/>
        </w:rPr>
        <w:t xml:space="preserve">6 · PostHog — and an honest flag</w:t>
      </w:r>
    </w:p>
    <w:p>
      <w:pPr>
        <w:keepNext/>
        <w:spacing w:before="260" w:after="110"/>
      </w:pPr>
      <w:r>
        <w:rPr>
          <w:b/>
          <w:sz w:val="24"/>
          <w:color w:val="C81E3C"/>
        </w:rPr>
        <w:t xml:space="preserve">What it is, as I know it</w:t>
      </w:r>
    </w:p>
    <w:p>
      <w:pPr>
        <w:spacing w:after="110"/>
      </w:pPr>
      <w:r>
        <w:rPr>
          <w:sz w:val="22"/>
        </w:rPr>
        <w:t xml:space="preserve">Open-source product analytics: event capture, funnels, session replay and feature flags, available self-hosted or as a cloud product.</w:t>
      </w:r>
    </w:p>
    <w:p>
      <w:pPr>
        <w:keepNext/>
        <w:spacing w:before="260" w:after="110"/>
      </w:pPr>
      <w:r>
        <w:rPr>
          <w:b/>
          <w:sz w:val="24"/>
          <w:color w:val="C81E3C"/>
        </w:rPr>
        <w:t xml:space="preserve">The flag</w:t>
      </w:r>
    </w:p>
    <w:p>
      <w:pPr>
        <w:spacing w:after="110"/>
      </w:pPr>
      <w:r>
        <w:rPr>
          <w:sz w:val="22"/>
        </w:rPr>
        <w:t xml:space="preserve">I did not verify PostHog against its own source in this review, so its current pricing, limits and feature set should be read at posthog.com before anything depends on them. Everything else in this document was verified today; this entry was not.</w:t>
      </w:r>
    </w:p>
    <w:p>
      <w:pPr>
        <w:keepNext/>
        <w:spacing w:before="260" w:after="110"/>
      </w:pPr>
      <w:r>
        <w:rPr>
          <w:b/>
          <w:sz w:val="24"/>
          <w:color w:val="C81E3C"/>
        </w:rPr>
        <w:t xml:space="preserve">What it would close, and why it is not first</w:t>
      </w:r>
    </w:p>
    <w:p>
      <w:pPr>
        <w:spacing w:after="110"/>
      </w:pPr>
      <w:r>
        <w:rPr>
          <w:sz w:val="22"/>
        </w:rPr>
        <w:t xml:space="preserve">Nothing in the lead pipeline. It measures how a product is used, and the thing being used here is the HOT Leads console by two people. Its real place is later, when a client-facing product exists and we need to know what clients actually touch. Adopt when that exists; not before. O’Leary’s seat.</w:t>
      </w:r>
    </w:p>
    <w:p>
      <w:pPr>
        <w:pageBreakBefore/>
        <w:keepNext/>
        <w:spacing w:after="160"/>
      </w:pPr>
      <w:r>
        <w:rPr>
          <w:b/>
          <w:sz w:val="32"/>
          <w:color w:val="1F3864"/>
        </w:rPr>
        <w:t xml:space="preserve">7 · The registry route — the finding that outranks all of the above</w:t>
      </w:r>
    </w:p>
    <w:p>
      <w:pPr>
        <w:spacing w:after="110"/>
      </w:pPr>
      <w:r>
        <w:rPr>
          <w:sz w:val="22"/>
        </w:rPr>
        <w:t xml:space="preserve">No tool in this document matters as much as this one fact, because it removes the need for a tool at all.</w:t>
      </w:r>
    </w:p>
    <w:p>
      <w:pPr>
        <w:keepNext/>
        <w:spacing w:before="260" w:after="110"/>
      </w:pPr>
      <w:r>
        <w:rPr>
          <w:b/>
          <w:sz w:val="24"/>
          <w:color w:val="C81E3C"/>
        </w:rPr>
        <w:t xml:space="preserve">Florida gives its whole register away</w:t>
      </w:r>
    </w:p>
    <w:p>
      <w:pPr>
        <w:spacing w:after="110"/>
      </w:pPr>
      <w:r>
        <w:rPr>
          <w:sz w:val="22"/>
        </w:rPr>
        <w:t xml:space="preserve">The Florida Division of Corporations publishes the full entity register — including officers, directors and managers, principal and mailing addresses, and the registered agent — as free bulk files over public SFTP. Quarterly files carry everything on record at the time of generation; daily files carry that day’s filings. The format is fixed-width text. There is no official API.</w:t>
      </w:r>
    </w:p>
    <w:p>
      <w:pPr>
        <w:spacing w:after="80"/>
      </w:pPr>
      <w:r>
        <w:rPr>
          <w:rFonts w:ascii="Consolas" w:hAnsi="Consolas"/>
          <w:sz w:val="19"/>
          <w:color w:val="1F3864"/>
        </w:rPr>
        <w:t xml:space="preserve">Host      sftp.floridados.gov</w:t>
      </w:r>
    </w:p>
    <w:p>
      <w:pPr>
        <w:spacing w:after="80"/>
      </w:pPr>
      <w:r>
        <w:rPr>
          <w:rFonts w:ascii="Consolas" w:hAnsi="Consolas"/>
          <w:sz w:val="19"/>
          <w:color w:val="1F3864"/>
        </w:rPr>
        <w:t xml:space="preserve">Username  Public</w:t>
      </w:r>
    </w:p>
    <w:p>
      <w:pPr>
        <w:spacing w:after="80"/>
      </w:pPr>
      <w:r>
        <w:rPr>
          <w:rFonts w:ascii="Consolas" w:hAnsi="Consolas"/>
          <w:sz w:val="19"/>
          <w:color w:val="1F3864"/>
        </w:rPr>
        <w:t xml:space="preserve">Password  PubAccess1845!</w:t>
      </w:r>
    </w:p>
    <w:p>
      <w:pPr>
        <w:spacing w:after="80"/>
      </w:pPr>
      <w:r>
        <w:rPr>
          <w:rFonts w:ascii="Consolas" w:hAnsi="Consolas"/>
          <w:sz w:val="19"/>
          <w:color w:val="1F3864"/>
        </w:rPr>
        <w:t xml:space="preserve">Quarterly doc &gt; quarterly &gt; cor &gt; cordata.zip</w:t>
      </w:r>
    </w:p>
    <w:p>
      <w:pPr>
        <w:spacing w:after="80"/>
      </w:pPr>
      <w:r>
        <w:rPr>
          <w:rFonts w:ascii="Consolas" w:hAnsi="Consolas"/>
          <w:sz w:val="19"/>
          <w:color w:val="1F3864"/>
        </w:rPr>
        <w:t xml:space="preserve">Daily     doc &gt; cor &gt; yyyymmddc.txt</w:t>
      </w:r>
    </w:p>
    <w:p>
      <w:pPr>
        <w:keepNext/>
        <w:spacing w:before="260" w:after="110"/>
      </w:pPr>
      <w:r>
        <w:rPr>
          <w:b/>
          <w:sz w:val="24"/>
          <w:color w:val="C81E3C"/>
        </w:rPr>
        <w:t xml:space="preserve">What that means for the build</w:t>
      </w:r>
    </w:p>
    <w:p>
      <w:pPr>
        <w:spacing w:after="110"/>
      </w:pPr>
      <w:r>
        <w:rPr>
          <w:sz w:val="22"/>
        </w:rPr>
        <w:t xml:space="preserve">We spent reads one row at a time against a portal that refuses us, to obtain a field sitting in a file anyone may download. The named-decision-maker gap on our partial rows, and the seeding of new candidates, both run at zero read cost from this file. The register carries no phone and no email, and its officers are the legal officers rather than always the operating decision maker — so it closes one field well and does not close contact at all.</w:t>
      </w:r>
    </w:p>
    <w:p>
      <w:pPr>
        <w:keepNext/>
        <w:spacing w:before="260" w:after="110"/>
      </w:pPr>
      <w:r>
        <w:rPr>
          <w:b/>
          <w:sz w:val="24"/>
          <w:color w:val="C81E3C"/>
        </w:rPr>
        <w:t xml:space="preserve">Illinois is the opposite, and Illinois is running now</w:t>
      </w:r>
    </w:p>
    <w:p>
      <w:pPr>
        <w:spacing w:after="110"/>
      </w:pPr>
      <w:r>
        <w:rPr>
          <w:sz w:val="22"/>
        </w:rPr>
        <w:t>The Illinois Secretary of State publishes two things that read differently. Its search page states that the database is provided for individual searches only and that bulk copying from it is prohibited. Its data page publishes Corporations and LLC bulk data sets under the Business Data Transparency Act (P.A. 102-0049) and prohibits any automated queries to the website. Read together: free bulk, person-downloaded, automation prohibited. (Corrected 2026-10-31 by the Chair’s ruling: two pages read where one had been.)</w:t>
      </w:r>
    </w:p>
    <w:p>
      <w:pPr>
        <w:keepNext/>
        <w:spacing w:before="260" w:after="110"/>
      </w:pPr>
      <w:r>
        <w:rPr>
          <w:b/>
          <w:sz w:val="24"/>
          <w:color w:val="C81E3C"/>
        </w:rPr>
        <w:t xml:space="preserve">The national shape, for planning twenty-seven markets</w:t>
      </w:r>
    </w:p>
    <w:p>
      <w:pPr>
        <w:ind w:left="360" w:hanging="200"/>
        <w:spacing w:after="70"/>
      </w:pPr>
      <w:r>
        <w:rPr>
          <w:sz w:val="22"/>
        </w:rPr>
        <w:t xml:space="preserve">• Free API, no key: five jurisdictions — Connecticut, Colorado, the District of Columbia, New York, Oregon. Connecticut is the most complete, with master register, agents, principals and filing history refreshed daily.</w:t>
      </w:r>
    </w:p>
    <w:p>
      <w:pPr>
        <w:ind w:left="360" w:hanging="200"/>
        <w:spacing w:after="70"/>
      </w:pPr>
      <w:r>
        <w:rPr>
          <w:sz w:val="22"/>
        </w:rPr>
        <w:t xml:space="preserve">• Free bulk file, no API: Florida by SFTP, California weekly, Alaska by direct CSV, Texas through the Comptroller rather than the Secretary of State, Ohio incremental only.</w:t>
      </w:r>
    </w:p>
    <w:p>
      <w:pPr>
        <w:ind w:left="360" w:hanging="200"/>
        <w:spacing w:after="70"/>
      </w:pPr>
      <w:r>
        <w:rPr>
          <w:sz w:val="22"/>
        </w:rPr>
        <w:t>• Individual lookup only or paid contract: most of the rest. Illinois is free bulk, person-downloaded, automation prohibited. (Corrected 2026-10-31 by the Chair’s ruling: two pages read where one had been.)</w:t>
      </w:r>
    </w:p>
    <w:p>
      <w:pPr>
        <w:ind w:left="360" w:hanging="200"/>
        <w:spacing w:after="70"/>
      </w:pPr>
      <w:r>
        <w:rPr>
          <w:sz w:val="22"/>
        </w:rPr>
        <w:t xml:space="preserve">• There is no unified free federal registry API. Any vendor claiming one is reselling state data.</w:t>
      </w:r>
    </w:p>
    <w:p>
      <w:pPr>
        <w:pageBreakBefore/>
        <w:keepNext/>
        <w:spacing w:after="160"/>
      </w:pPr>
      <w:r>
        <w:rPr>
          <w:b/>
          <w:sz w:val="32"/>
          <w:color w:val="1F3864"/>
        </w:rPr>
        <w:t xml:space="preserve">8 · What is not adopted, and why</w:t>
      </w:r>
    </w:p>
    <w:p>
      <w:pPr>
        <w:spacing w:after="110"/>
      </w:pPr>
      <w:r>
        <w:rPr>
          <w:sz w:val="22"/>
        </w:rPr>
        <w:t xml:space="preserve">Stated plainly so it is not revisited every quarter.</w:t>
      </w:r>
    </w:p>
    <w:p>
      <w:pPr>
        <w:keepNext/>
        <w:spacing w:before="260" w:after="110"/>
      </w:pPr>
      <w:r>
        <w:rPr>
          <w:b/>
          <w:sz w:val="24"/>
          <w:color w:val="C81E3C"/>
        </w:rPr>
        <w:t xml:space="preserve">Commercial registry scrapers</w:t>
      </w:r>
    </w:p>
    <w:p>
      <w:pPr>
        <w:spacing w:after="110"/>
      </w:pPr>
      <w:r>
        <w:rPr>
          <w:sz w:val="22"/>
        </w:rPr>
        <w:t xml:space="preserve">The marketplace listings for Florida registry data are third parties reselling access to the same free SFTP file. Paying for a download we may take ourselves is not a purchase, it is a subscription to our own laziness.</w:t>
      </w:r>
    </w:p>
    <w:p>
      <w:pPr>
        <w:keepNext/>
        <w:spacing w:before="260" w:after="110"/>
      </w:pPr>
      <w:r>
        <w:rPr>
          <w:b/>
          <w:sz w:val="24"/>
          <w:color w:val="C81E3C"/>
        </w:rPr>
        <w:t xml:space="preserve">Contact-data platforms</w:t>
      </w:r>
    </w:p>
    <w:p>
      <w:pPr>
        <w:spacing w:after="110"/>
      </w:pPr>
      <w:r>
        <w:rPr>
          <w:sz w:val="22"/>
        </w:rPr>
        <w:t xml:space="preserve">They sit behind account walls, and our own measurement says email reaches two rows in ninety-three. The route is the phone. Buy nothing that does not make a call land. If one paid thing is ever bought, buy registry bulk where a state sells it — registry data is verifiable at its source and contact data is not, and our standard requires a dated source line on every field.</w:t>
      </w:r>
    </w:p>
    <w:p>
      <w:pPr>
        <w:keepNext/>
        <w:spacing w:before="260" w:after="110"/>
      </w:pPr>
      <w:r>
        <w:rPr>
          <w:b/>
          <w:sz w:val="24"/>
          <w:color w:val="C81E3C"/>
        </w:rPr>
        <w:t xml:space="preserve">Volume automation of discovery</w:t>
      </w:r>
    </w:p>
    <w:p>
      <w:pPr>
        <w:spacing w:after="110"/>
      </w:pPr>
      <w:r>
        <w:rPr>
          <w:sz w:val="22"/>
        </w:rPr>
        <w:t xml:space="preserve">Five windows and roughly one hundred and twenty sources produced seven admissions; one completion pass of eighty-seven reads produced thirteen. A tool that finds more companies faster solves a problem we do not have. No automation earns its cost until the thing it automates has been measured to pay, and discovery has not.</w:t>
      </w:r>
    </w:p>
    <w:p>
      <w:pPr>
        <w:pageBreakBefore/>
        <w:keepNext/>
        <w:spacing w:after="160"/>
      </w:pPr>
      <w:r>
        <w:rPr>
          <w:b/>
          <w:sz w:val="32"/>
          <w:color w:val="1F3864"/>
        </w:rPr>
        <w:t xml:space="preserve">9 · The build order</w:t>
      </w:r>
    </w:p>
    <w:p>
      <w:pPr>
        <w:spacing w:after="110"/>
      </w:pPr>
      <w:r>
        <w:rPr>
          <w:sz w:val="22"/>
        </w:rPr>
        <w:t xml:space="preserve">What the CTO does next, in sequence, with the reason each sits where it does.</w:t>
      </w:r>
    </w:p>
    <w:p>
      <w:pPr>
        <w:ind w:left="360" w:hanging="200"/>
        <w:spacing w:after="70"/>
      </w:pPr>
      <w:r>
        <w:rPr>
          <w:sz w:val="22"/>
        </w:rPr>
        <w:t xml:space="preserve">• One — the Florida registry ingest. Pull the quarterly file and the dailies, parse fixed-width, join on name and address. Closes the named-decision-maker gap at zero read cost. Nothing else returns as much for as little.</w:t>
      </w:r>
    </w:p>
    <w:p>
      <w:pPr>
        <w:ind w:left="360" w:hanging="200"/>
        <w:spacing w:after="70"/>
      </w:pPr>
      <w:r>
        <w:rPr>
          <w:sz w:val="22"/>
        </w:rPr>
        <w:t>• Two — the Illinois legal clause, before the running build reaches its registry window: no automated fetch of ilsos.gov by any route; a person downloads the published bulk sets. This is time-critical, not merely important. (Corrected 2026-10-31 by the Chair’s ruling: two pages read where one had been.)</w:t>
      </w:r>
    </w:p>
    <w:p>
      <w:pPr>
        <w:ind w:left="360" w:hanging="200"/>
        <w:spacing w:after="70"/>
      </w:pPr>
      <w:r>
        <w:rPr>
          <w:sz w:val="22"/>
        </w:rPr>
        <w:t xml:space="preserve">• Three — Firecrawl on the twenty-six refused sources. Re-probe each once through it. A source that answers through Firecrawl was never exhausted; it was only refused, and the difference is twenty-six sources.</w:t>
      </w:r>
    </w:p>
    <w:p>
      <w:pPr>
        <w:ind w:left="360" w:hanging="200"/>
        <w:spacing w:after="70"/>
      </w:pPr>
      <w:r>
        <w:rPr>
          <w:sz w:val="22"/>
        </w:rPr>
        <w:t xml:space="preserve">• Four — the per-market access map. Every one of the twenty-seven markets recorded as free API, free bulk, individual-lookup-only, or paid contract. It decides the method before a read is spent.</w:t>
      </w:r>
    </w:p>
    <w:p>
      <w:pPr>
        <w:ind w:left="360" w:hanging="200"/>
        <w:spacing w:after="70"/>
      </w:pPr>
      <w:r>
        <w:rPr>
          <w:sz w:val="22"/>
        </w:rPr>
        <w:t xml:space="preserve">• Five — the skills search habit. Before anything custom is written, npx skills find it. Install rather than build.</w:t>
      </w:r>
    </w:p>
    <w:p>
      <w:pPr>
        <w:ind w:left="360" w:hanging="200"/>
        <w:spacing w:after="70"/>
      </w:pPr>
      <w:r>
        <w:rPr>
          <w:sz w:val="22"/>
        </w:rPr>
        <w:t xml:space="preserve">• Six — Composio, scoped. Only when an authenticated route is genuinely needed, and only for the toolkits in use.</w:t>
      </w:r>
    </w:p>
    <w:p>
      <w:pPr>
        <w:ind w:left="360" w:hanging="200"/>
        <w:spacing w:after="70"/>
      </w:pPr>
      <w:r>
        <w:rPr>
          <w:sz w:val="22"/>
        </w:rPr>
        <w:t xml:space="preserve">• Seven — Playwright or agent-browser, for the session-gated remainder after Firecrawl has had its pass.</w:t>
      </w:r>
    </w:p>
    <w:p>
      <w:pPr>
        <w:ind w:left="360" w:hanging="200"/>
        <w:spacing w:after="70"/>
      </w:pPr>
      <w:r>
        <w:rPr>
          <w:sz w:val="22"/>
        </w:rPr>
        <w:t xml:space="preserve">• Later — PostHog, when a client-facing product exists to measure.</w:t>
      </w:r>
    </w:p>
    <w:p>
      <w:pPr>
        <w:pageBreakBefore/>
        <w:keepNext/>
        <w:spacing w:after="160"/>
      </w:pPr>
      <w:r>
        <w:rPr>
          <w:b/>
          <w:sz w:val="32"/>
          <w:color w:val="1F3864"/>
        </w:rPr>
        <w:t xml:space="preserve">10 · Uncertainty, stated</w:t>
      </w:r>
    </w:p>
    <w:p>
      <w:pPr>
        <w:spacing w:after="110"/>
      </w:pPr>
      <w:r>
        <w:rPr>
          <w:sz w:val="22"/>
        </w:rPr>
        <w:t xml:space="preserve">What this document is sure of, and what it is not.</w:t>
      </w:r>
    </w:p>
    <w:p>
      <w:pPr>
        <w:ind w:left="360" w:hanging="200"/>
        <w:spacing w:after="70"/>
      </w:pPr>
      <w:r>
        <w:rPr>
          <w:sz w:val="22"/>
        </w:rPr>
        <w:t xml:space="preserve">• Verified against their own sources on 31 October 2026: Firecrawl’s capability, endpoints and free tier; the skills CLI, its licence, its commands and its agent support; Composio’s endpoint and gateway model; Vercel’s agent-browser; the Florida SFTP credentials and file paths, from the Department of State’s own page; the Illinois prohibition, from the Secretary of State’s own page.</w:t>
      </w:r>
    </w:p>
    <w:p>
      <w:pPr>
        <w:ind w:left="360" w:hanging="200"/>
        <w:spacing w:after="70"/>
      </w:pPr>
      <w:r>
        <w:rPr>
          <w:sz w:val="22"/>
        </w:rPr>
        <w:t xml:space="preserve">• Not verified in this review: PostHog, and Playwright’s current skill package name beyond the installation line recorded above.</w:t>
      </w:r>
    </w:p>
    <w:p>
      <w:pPr>
        <w:ind w:left="360" w:hanging="200"/>
        <w:spacing w:after="70"/>
      </w:pPr>
      <w:r>
        <w:rPr>
          <w:sz w:val="22"/>
        </w:rPr>
        <w:t xml:space="preserve">• A contradiction found and resolved by precedence: one aggregator listed Illinois as offering free bulk files. The Illinois Secretary of State’s own page says bulk copying is prohibited. The official source wins and Illinois is treated as prohibited.</w:t>
      </w:r>
      <w:r>
        <w:t xml:space="preserve"> Correction, 2026-10-31: this resolution read one page where the jurisdiction publishes two. The aggregator was right about the bulk files — the Secretary of State’s data page publishes them under P.A. 102-0049 — and the same page prohibits automated queries. The original resolution is kept above as written; the class it produced is superseded by “free bulk, person-downloaded, automation prohibited.”</w:t>
      </w:r>
    </w:p>
    <w:p>
      <w:pPr>
        <w:ind w:left="360" w:hanging="200"/>
        <w:spacing w:after="70"/>
      </w:pPr>
      <w:r>
        <w:rPr>
          <w:sz w:val="22"/>
        </w:rPr>
        <w:t xml:space="preserve">• Changes without notice: pricing, rate limits, access policy and public credentials. Re-verify at the source before any build depends on them, and record the date of the read on the row — the same rule we apply to every other source.</w:t>
      </w:r>
    </w:p>
    <w:p>
      <w:pPr>
        <w:keepNext/>
        <w:spacing w:before="260" w:after="110"/>
      </w:pPr>
      <w:r>
        <w:rPr>
          <w:b/>
          <w:sz w:val="24"/>
          <w:color w:val="C81E3C"/>
        </w:rPr>
        <w:t xml:space="preserve">And the one that is mine to carry</w:t>
      </w:r>
    </w:p>
    <w:p>
      <w:pPr>
        <w:spacing w:after="110"/>
      </w:pPr>
      <w:r>
        <w:rPr>
          <w:sz w:val="22"/>
        </w:rPr>
        <w:t xml:space="preserve">This whole document exists because of a fault, not an insight. The Florida register was free and public the entire time we were spending reads against a portal that refused us. A figure sought by reading when it could have been taken from the source is the same family as a figure stated when it could have been read. The stack does not fix that habit; reading first does.</w:t>
      </w:r>
    </w:p>
    <w:p>
      <w:pPr>
        <w:pageBreakBefore/>
        <w:keepNext/>
        <w:spacing w:after="160"/>
      </w:pPr>
      <w:r>
        <w:rPr>
          <w:b/>
          <w:sz w:val="32"/>
          <w:color w:val="1F3864"/>
        </w:rPr>
        <w:t xml:space="preserve">11 · Ruflo — the operating fault, not a build fault</w:t>
      </w:r>
    </w:p>
    <w:p>
      <w:pPr>
        <w:spacing w:after="110"/>
      </w:pPr>
      <w:r>
        <w:rPr>
          <w:sz w:val="22"/>
        </w:rPr>
        <w:t xml:space="preserve">Added 31 October 2026. Every other tool in this document makes a read cheaper or a door open. This one addresses something different, and it is the thing that has cost this programme the most hours.</w:t>
      </w:r>
    </w:p>
    <w:p>
      <w:pPr>
        <w:keepNext/>
        <w:spacing w:before="260" w:after="110"/>
      </w:pPr>
      <w:r>
        <w:rPr>
          <w:b/>
          <w:sz w:val="24"/>
          <w:color w:val="C81E3C"/>
        </w:rPr>
        <w:t xml:space="preserve">What it is</w:t>
      </w:r>
    </w:p>
    <w:p>
      <w:pPr>
        <w:spacing w:after="110"/>
      </w:pPr>
      <w:r>
        <w:rPr>
          <w:sz w:val="22"/>
        </w:rPr>
        <w:t xml:space="preserve">An open-source multi-agent orchestration platform, formerly called Claude Flow, built for Claude Code and Codex. It coordinates swarms of specialised agents through shared persistent memory, federated communication and MCP integration. Its documentation describes sixty to a hundred specialised agents across categories — planning, coding, review, security, testing, documentation — and a self-optimising layer that learns which agent performs best for which task.</w:t>
      </w:r>
    </w:p>
    <w:p>
      <w:pPr>
        <w:spacing w:after="80"/>
      </w:pPr>
      <w:r>
        <w:rPr>
          <w:rFonts w:ascii="Consolas" w:hAnsi="Consolas"/>
          <w:sz w:val="19"/>
          <w:color w:val="1F3864"/>
        </w:rPr>
        <w:t xml:space="preserve">npx ruflo@alpha init          # open source, local</w:t>
      </w:r>
    </w:p>
    <w:p>
      <w:pPr>
        <w:spacing w:after="80"/>
      </w:pPr>
      <w:r>
        <w:rPr>
          <w:rFonts w:ascii="Consolas" w:hAnsi="Consolas"/>
          <w:sz w:val="19"/>
          <w:color w:val="1F3864"/>
        </w:rPr>
        <w:t xml:space="preserve">github.com/ruvnet/ruflo       # source</w:t>
      </w:r>
    </w:p>
    <w:p>
      <w:pPr>
        <w:spacing w:after="80"/>
      </w:pPr>
      <w:r>
        <w:rPr>
          <w:rFonts w:ascii="Consolas" w:hAnsi="Consolas"/>
          <w:sz w:val="19"/>
          <w:color w:val="1F3864"/>
        </w:rPr>
        <w:t xml:space="preserve">ruflo.online                  # hosted, $19 / $49 / $149 a month</w:t>
      </w:r>
    </w:p>
    <w:p>
      <w:pPr>
        <w:keepNext/>
        <w:spacing w:before="260" w:after="110"/>
      </w:pPr>
      <w:r>
        <w:rPr>
          <w:b/>
          <w:sz w:val="24"/>
          <w:color w:val="C81E3C"/>
        </w:rPr>
        <w:t xml:space="preserve">The fault it closes, named honestly</w:t>
      </w:r>
    </w:p>
    <w:p>
      <w:pPr>
        <w:spacing w:after="110"/>
      </w:pPr>
      <w:r>
        <w:rPr>
          <w:sz w:val="22"/>
        </w:rPr>
        <w:t xml:space="preserve">We run two conversations by hand. One builds, one keeps the record. They are coordinated by the Chair copying text between them. When one crashes, its state is rebuilt by reading governing documents and re-establishing a gate. We have done that more than once in a single day, and the governing-document discipline exists largely because of it.</w:t>
      </w:r>
    </w:p>
    <w:p>
      <w:pPr>
        <w:spacing w:after="110"/>
      </w:pPr>
      <w:r>
        <w:rPr>
          <w:sz w:val="22"/>
        </w:rPr>
        <w:t xml:space="preserve">That is manual orchestration with manual memory. It is exactly what an orchestration layer with persistent shared memory does automatically: roles that persist, memory that survives the session, and a review loop that does not depend on a person pasting a report from one window into another.</w:t>
      </w:r>
    </w:p>
    <w:p>
      <w:pPr>
        <w:keepNext/>
        <w:spacing w:before="260" w:after="110"/>
      </w:pPr>
      <w:r>
        <w:rPr>
          <w:b/>
          <w:sz w:val="24"/>
          <w:color w:val="C81E3C"/>
        </w:rPr>
        <w:t xml:space="preserve">The claims I am not standing behind</w:t>
      </w:r>
    </w:p>
    <w:p>
      <w:pPr>
        <w:spacing w:after="110"/>
      </w:pPr>
      <w:r>
        <w:rPr>
          <w:sz w:val="22"/>
        </w:rPr>
        <w:t xml:space="preserve">Third-party write-ups cite a seventy-five per cent reduction in API cost and a benchmark score for agent coding. Those are vendor-adjacent claims found in blog posts, not measurements we have taken or sources we have verified. They are recorded here as claims, not as facts, and nothing should be bought on them.</w:t>
      </w:r>
    </w:p>
    <w:p>
      <w:pPr>
        <w:keepNext/>
        <w:spacing w:before="260" w:after="110"/>
      </w:pPr>
      <w:r>
        <w:rPr>
          <w:b/>
          <w:sz w:val="24"/>
          <w:color w:val="C81E3C"/>
        </w:rPr>
        <w:t xml:space="preserve">The honest reservation</w:t>
      </w:r>
    </w:p>
    <w:p>
      <w:pPr>
        <w:spacing w:after="110"/>
      </w:pPr>
      <w:r>
        <w:rPr>
          <w:sz w:val="22"/>
        </w:rPr>
        <w:t xml:space="preserve">A swarm of sixty agents is a larger thing than our problem. Our measured bottleneck is not throughput — it is state surviving a crash and a record that does not have to be rebuilt by hand. If Ruflo is adopted, it should be adopted for its memory and its handoff loop, not for its agent count. Adopting it for the swarm would be buying volume again, which is the mistake chapter eight already records.</w:t>
      </w:r>
    </w:p>
    <w:p>
      <w:pPr>
        <w:keepNext/>
        <w:spacing w:before="260" w:after="110"/>
      </w:pPr>
      <w:r>
        <w:rPr>
          <w:b/>
          <w:sz w:val="24"/>
          <w:color w:val="C81E3C"/>
        </w:rPr>
        <w:t xml:space="preserve">Where it sits in the order</w:t>
      </w:r>
    </w:p>
    <w:p>
      <w:pPr>
        <w:spacing w:after="110"/>
      </w:pPr>
      <w:r>
        <w:rPr>
          <w:sz w:val="22"/>
        </w:rPr>
        <w:t xml:space="preserve">Evaluate after the registry ingest and the Firecrawl pass, because those return measured rows and this returns saved hours. Trial it on the open-source path first; the hosted tiers can wait until the local one has demonstrably stopped a crash from costing a rebuild.</w:t>
      </w:r>
    </w:p>
    <w:p>
      <w:pPr>
        <w:pageBreakBefore/>
        <w:keepNext/>
        <w:spacing w:after="160"/>
      </w:pPr>
      <w:r>
        <w:rPr>
          <w:b/>
          <w:sz w:val="32"/>
          <w:color w:val="1F3864"/>
        </w:rPr>
        <w:t xml:space="preserve">12 · The gaps in how we build</w:t>
      </w:r>
    </w:p>
    <w:p>
      <w:pPr>
        <w:spacing w:after="110"/>
      </w:pPr>
      <w:r>
        <w:rPr>
          <w:sz w:val="22"/>
        </w:rPr>
        <w:t xml:space="preserve">An honest audit of our own method, written by the CTO, listing what is weak rather than what is finished. Eight gaps, ranked by what each has actually cost.</w:t>
      </w:r>
    </w:p>
    <w:p>
      <w:pPr>
        <w:keepNext/>
        <w:spacing w:before="260" w:after="110"/>
      </w:pPr>
      <w:r>
        <w:rPr>
          <w:b/>
          <w:sz w:val="24"/>
          <w:color w:val="C81E3C"/>
        </w:rPr>
        <w:t xml:space="preserve">One — no memory survives a session</w:t>
      </w:r>
    </w:p>
    <w:p>
      <w:pPr>
        <w:spacing w:after="110"/>
      </w:pPr>
      <w:r>
        <w:rPr>
          <w:sz w:val="22"/>
        </w:rPr>
        <w:t xml:space="preserve">This is the largest. State lives in documents that must be read back and a gate that must be re-established. Every crash costs a rebuild. Measured in hours lost, nothing else comes close.</w:t>
      </w:r>
    </w:p>
    <w:p>
      <w:pPr>
        <w:spacing w:after="110"/>
      </w:pPr>
      <w:r>
        <w:rPr>
          <w:sz w:val="22"/>
        </w:rPr>
        <w:t xml:space="preserve">Closes with: Ruflo’s persistent memory, or at minimum a single machine-readable state file that both conversations read and write rather than a set of documents a human re-reads.</w:t>
      </w:r>
    </w:p>
    <w:p>
      <w:pPr>
        <w:keepNext/>
        <w:spacing w:before="260" w:after="110"/>
      </w:pPr>
      <w:r>
        <w:rPr>
          <w:b/>
          <w:sz w:val="24"/>
          <w:color w:val="C81E3C"/>
        </w:rPr>
        <w:t xml:space="preserve">Two — every delivery passes through a human upload</w:t>
      </w:r>
    </w:p>
    <w:p>
      <w:pPr>
        <w:spacing w:after="110"/>
      </w:pPr>
      <w:r>
        <w:rPr>
          <w:sz w:val="22"/>
        </w:rPr>
        <w:t xml:space="preserve">The build produces files; the Chair uploads them; the gate then proves they landed. That is three steps and a person in the middle of each build cycle, and it is where the most recent empty-commit fault appeared.</w:t>
      </w:r>
    </w:p>
    <w:p>
      <w:pPr>
        <w:spacing w:after="110"/>
      </w:pPr>
      <w:r>
        <w:rPr>
          <w:sz w:val="22"/>
        </w:rPr>
        <w:t xml:space="preserve">Closes with: write access for the build, or a deploy step that does the upload and reports the head. Until then the gate is the control and it stays.</w:t>
      </w:r>
    </w:p>
    <w:p>
      <w:pPr>
        <w:keepNext/>
        <w:spacing w:before="260" w:after="110"/>
      </w:pPr>
      <w:r>
        <w:rPr>
          <w:b/>
          <w:sz w:val="24"/>
          <w:color w:val="C81E3C"/>
        </w:rPr>
        <w:t xml:space="preserve">Three — our reader is a plain fetch</w:t>
      </w:r>
    </w:p>
    <w:p>
      <w:pPr>
        <w:spacing w:after="110"/>
      </w:pPr>
      <w:r>
        <w:rPr>
          <w:sz w:val="22"/>
        </w:rPr>
        <w:t xml:space="preserve">It announces itself as a machine and is refused. Twenty-six of seventy-six sources, whole classes of ground shut. Already addressed by Firecrawl in chapter two, listed here so the gap is counted rather than assumed closed.</w:t>
      </w:r>
    </w:p>
    <w:p>
      <w:pPr>
        <w:keepNext/>
        <w:spacing w:before="260" w:after="110"/>
      </w:pPr>
      <w:r>
        <w:rPr>
          <w:b/>
          <w:sz w:val="24"/>
          <w:color w:val="C81E3C"/>
        </w:rPr>
        <w:t xml:space="preserve">Four — nothing runs unattended</w:t>
      </w:r>
    </w:p>
    <w:p>
      <w:pPr>
        <w:spacing w:after="110"/>
      </w:pPr>
      <w:r>
        <w:rPr>
          <w:sz w:val="22"/>
        </w:rPr>
        <w:t xml:space="preserve">Every read happens while the Chair is at the keyboard. A two-hundred-a-day ceiling is never reached because the day is a sitting, not a day. A scheduled overnight run against a ceiling would multiply output without multiplying attention.</w:t>
      </w:r>
    </w:p>
    <w:p>
      <w:pPr>
        <w:spacing w:after="110"/>
      </w:pPr>
      <w:r>
        <w:rPr>
          <w:sz w:val="22"/>
        </w:rPr>
        <w:t xml:space="preserve">Closes with: a scheduled job. This is the cheapest unclaimed gain in the list.</w:t>
      </w:r>
    </w:p>
    <w:p>
      <w:pPr>
        <w:keepNext/>
        <w:spacing w:before="260" w:after="110"/>
      </w:pPr>
      <w:r>
        <w:rPr>
          <w:b/>
          <w:sz w:val="24"/>
          <w:color w:val="C81E3C"/>
        </w:rPr>
        <w:t xml:space="preserve">Five — instruments are re-proved, not retained</w:t>
      </w:r>
    </w:p>
    <w:p>
      <w:pPr>
        <w:spacing w:after="110"/>
      </w:pPr>
      <w:r>
        <w:rPr>
          <w:sz w:val="22"/>
        </w:rPr>
        <w:t xml:space="preserve">The battery, the sweeps, the known-answer probes — each is re-proved every session because the environment does not persist. The proofs are right; the rebuilding is waste.</w:t>
      </w:r>
    </w:p>
    <w:p>
      <w:pPr>
        <w:spacing w:after="110"/>
      </w:pPr>
      <w:r>
        <w:rPr>
          <w:sz w:val="22"/>
        </w:rPr>
        <w:t xml:space="preserve">Closes with: the instruments committed to the repository as files, which has begun, plus a runner that executes them rather than a session that recreates them.</w:t>
      </w:r>
    </w:p>
    <w:p>
      <w:pPr>
        <w:keepNext/>
        <w:spacing w:before="260" w:after="110"/>
      </w:pPr>
      <w:r>
        <w:rPr>
          <w:b/>
          <w:sz w:val="24"/>
          <w:color w:val="C81E3C"/>
        </w:rPr>
        <w:t xml:space="preserve">Six — the two-chat split is coordinated by paste</w:t>
      </w:r>
    </w:p>
    <w:p>
      <w:pPr>
        <w:spacing w:after="110"/>
      </w:pPr>
      <w:r>
        <w:rPr>
          <w:sz w:val="22"/>
        </w:rPr>
        <w:t xml:space="preserve">It works, and it has caught faults precisely because the record is separate from the build. But the coordination is a person copying text, which means the coordination fails exactly when the person is tired or interrupted.</w:t>
      </w:r>
    </w:p>
    <w:p>
      <w:pPr>
        <w:keepNext/>
        <w:spacing w:before="260" w:after="110"/>
      </w:pPr>
      <w:r>
        <w:rPr>
          <w:b/>
          <w:sz w:val="24"/>
          <w:color w:val="C81E3C"/>
        </w:rPr>
        <w:t xml:space="preserve">Seven — nothing watches for drift</w:t>
      </w:r>
    </w:p>
    <w:p>
      <w:pPr>
        <w:spacing w:after="110"/>
      </w:pPr>
      <w:r>
        <w:rPr>
          <w:sz w:val="22"/>
        </w:rPr>
        <w:t xml:space="preserve">A source that answered last month and refuses today is discovered the next time someone reads it. The source-coverage panel shows state; nothing alerts on a change of state.</w:t>
      </w:r>
    </w:p>
    <w:p>
      <w:pPr>
        <w:spacing w:after="110"/>
      </w:pPr>
      <w:r>
        <w:rPr>
          <w:sz w:val="22"/>
        </w:rPr>
        <w:t xml:space="preserve">Closes with: a weekly probe of the declared source list, writing state changes to the record. Small, cheap, and it keeps the inheritance record honest across twenty-seven markets.</w:t>
      </w:r>
    </w:p>
    <w:p>
      <w:pPr>
        <w:keepNext/>
        <w:spacing w:before="260" w:after="110"/>
      </w:pPr>
      <w:r>
        <w:rPr>
          <w:b/>
          <w:sz w:val="24"/>
          <w:color w:val="C81E3C"/>
        </w:rPr>
        <w:t xml:space="preserve">Eight — reads are serial</w:t>
      </w:r>
    </w:p>
    <w:p>
      <w:pPr>
        <w:spacing w:after="110"/>
      </w:pPr>
      <w:r>
        <w:rPr>
          <w:sz w:val="22"/>
        </w:rPr>
        <w:t xml:space="preserve">Sweeps run one screen at a time, time out, checkpoint and resume. The checkpointing is sound engineering around a limitation rather than a solution to it.</w:t>
      </w:r>
    </w:p>
    <w:p>
      <w:pPr>
        <w:spacing w:after="110"/>
      </w:pPr>
      <w:r>
        <w:rPr>
          <w:sz w:val="22"/>
        </w:rPr>
        <w:t xml:space="preserve">Closes with: parallel workers against a shared ceiling. Worth doing only after the ceiling is actually being spent, which gap four addresses first.</w:t>
      </w:r>
    </w:p>
    <w:p>
      <w:pPr>
        <w:keepNext/>
        <w:spacing w:before="260" w:after="110"/>
      </w:pPr>
      <w:r>
        <w:rPr>
          <w:b/>
          <w:sz w:val="24"/>
          <w:color w:val="C81E3C"/>
        </w:rPr>
        <w:t xml:space="preserve">The pattern under all eight</w:t>
      </w:r>
    </w:p>
    <w:p>
      <w:pPr>
        <w:spacing w:after="110"/>
      </w:pPr>
      <w:r>
        <w:rPr>
          <w:sz w:val="22"/>
        </w:rPr>
        <w:t xml:space="preserve">Six of the eight are not about finding data. They are about work surviving — across a crash, across a session, across a night, across a market. We have been optimising the read and paying for the remembering. That is the gap.</w:t>
      </w:r>
    </w:p>
    <w:p>
      <w:pPr>
        <w:pageBreakBefore/>
        <w:keepNext/>
        <w:spacing w:after="160"/>
      </w:pPr>
      <w:r>
        <w:rPr>
          <w:b/>
          <w:sz w:val="32"/>
          <w:color w:val="1F3864"/>
        </w:rPr>
        <w:t xml:space="preserve">13 · The source layer — what is open, by class</w:t>
      </w:r>
    </w:p>
    <w:p>
      <w:pPr>
        <w:spacing w:after="110"/>
      </w:pPr>
      <w:r>
        <w:rPr>
          <w:sz w:val="22"/>
        </w:rPr>
        <w:t xml:space="preserve">Beyond the roughly one hundred and twenty sources the Florida map already records, these are the classes worth having mapped for twenty-seven markets. Access notes are as verified on 31 October 2026 where stated, and flagged where not.</w:t>
      </w:r>
    </w:p>
    <w:p>
      <w:pPr>
        <w:keepNext/>
        <w:spacing w:before="260" w:after="110"/>
      </w:pPr>
      <w:r>
        <w:rPr>
          <w:b/>
          <w:sz w:val="24"/>
          <w:color w:val="C81E3C"/>
        </w:rPr>
        <w:t xml:space="preserve">Registry — the strongest class, and the one we underused</w:t>
      </w:r>
    </w:p>
    <w:p>
      <w:pPr>
        <w:ind w:left="360" w:hanging="200"/>
        <w:spacing w:after="70"/>
      </w:pPr>
      <w:r>
        <w:rPr>
          <w:sz w:val="22"/>
        </w:rPr>
        <w:t xml:space="preserve">• Free API, no key: Connecticut, Colorado, the District of Columbia, New York, Oregon. Connecticut publishes master register, agents, principals and filing history, refreshed daily.</w:t>
      </w:r>
    </w:p>
    <w:p>
      <w:pPr>
        <w:ind w:left="360" w:hanging="200"/>
        <w:spacing w:after="70"/>
      </w:pPr>
      <w:r>
        <w:rPr>
          <w:sz w:val="22"/>
        </w:rPr>
        <w:t xml:space="preserve">• Free bulk file: Florida by public SFTP with officers, California weekly, Alaska by direct CSV, Texas through the Comptroller, Ohio incremental only.</w:t>
      </w:r>
    </w:p>
    <w:p>
      <w:pPr>
        <w:ind w:left="360" w:hanging="200"/>
        <w:spacing w:after="70"/>
      </w:pPr>
      <w:r>
        <w:rPr>
          <w:sz w:val="22"/>
        </w:rPr>
        <w:t>• Free bulk, person-downloaded, automation prohibited: Illinois. Individual lookup only, bulk prohibited or sold: most others. Read every page the Secretary of State publishes on access before any market opens. (Corrected 2026-10-31 by the Chair’s ruling: two pages read where one had been.)</w:t>
      </w:r>
    </w:p>
    <w:p>
      <w:pPr>
        <w:ind w:left="360" w:hanging="200"/>
        <w:spacing w:after="70"/>
      </w:pPr>
      <w:r>
        <w:rPr>
          <w:sz w:val="22"/>
        </w:rPr>
        <w:t xml:space="preserve">• GLEIF, the global legal-entity identifier register, publishes a free API covering LEI records. Useful for confirming a legal entity, not for finding one.</w:t>
      </w:r>
    </w:p>
    <w:p>
      <w:pPr>
        <w:ind w:left="360" w:hanging="200"/>
        <w:spacing w:after="70"/>
      </w:pPr>
      <w:r>
        <w:rPr>
          <w:sz w:val="22"/>
        </w:rPr>
        <w:t xml:space="preserve">• OpenCorporates aggregates registry data across many jurisdictions and is paid, listed from roughly two thousand two hundred and fifty pounds a year. Not adopted; the free state routes cover our markets.</w:t>
      </w:r>
    </w:p>
    <w:p>
      <w:pPr>
        <w:keepNext/>
        <w:spacing w:before="260" w:after="110"/>
      </w:pPr>
      <w:r>
        <w:rPr>
          <w:b/>
          <w:sz w:val="24"/>
          <w:color w:val="C81E3C"/>
        </w:rPr>
        <w:t xml:space="preserve">Federal, cross-market — free and official</w:t>
      </w:r>
    </w:p>
    <w:p>
      <w:pPr>
        <w:ind w:left="360" w:hanging="200"/>
        <w:spacing w:after="70"/>
      </w:pPr>
      <w:r>
        <w:rPr>
          <w:sz w:val="22"/>
        </w:rPr>
        <w:t xml:space="preserve">• SEC EDGAR. Our reader was refused by the search interface. EDGAR also publishes an official structured data service that is documented as requiring only a declared user agent. That distinction is worth testing before EDGAR stays closed — flagged as not verified in this review.</w:t>
      </w:r>
    </w:p>
    <w:p>
      <w:pPr>
        <w:ind w:left="360" w:hanging="200"/>
        <w:spacing w:after="70"/>
      </w:pPr>
      <w:r>
        <w:rPr>
          <w:sz w:val="22"/>
        </w:rPr>
        <w:t xml:space="preserve">• SAM.gov and USAspending. Federal award records name the company, its address and its award history. A company winning federal work is trading, which is one of our own tests.</w:t>
      </w:r>
    </w:p>
    <w:p>
      <w:pPr>
        <w:ind w:left="360" w:hanging="200"/>
        <w:spacing w:after="70"/>
      </w:pPr>
      <w:r>
        <w:rPr>
          <w:sz w:val="22"/>
        </w:rPr>
        <w:t xml:space="preserve">• FMCSA SAFER and Licensing and Insurance. Carrier records with address and fleet size, for the transportation ground.</w:t>
      </w:r>
    </w:p>
    <w:p>
      <w:pPr>
        <w:ind w:left="360" w:hanging="200"/>
        <w:spacing w:after="70"/>
      </w:pPr>
      <w:r>
        <w:rPr>
          <w:sz w:val="22"/>
        </w:rPr>
        <w:t xml:space="preserve">• USDA FSIS establishment directory. Inspected meat, poultry and egg establishments, named and located, for the food ground.</w:t>
      </w:r>
    </w:p>
    <w:p>
      <w:pPr>
        <w:ind w:left="360" w:hanging="200"/>
        <w:spacing w:after="70"/>
      </w:pPr>
      <w:r>
        <w:rPr>
          <w:sz w:val="22"/>
        </w:rPr>
        <w:t xml:space="preserve">• OSHA establishment search and EPA ECHO. Inspection and compliance records, named and located, across industrial grounds.</w:t>
      </w:r>
    </w:p>
    <w:p>
      <w:pPr>
        <w:ind w:left="360" w:hanging="200"/>
        <w:spacing w:after="70"/>
      </w:pPr>
      <w:r>
        <w:rPr>
          <w:sz w:val="22"/>
        </w:rPr>
        <w:t xml:space="preserve">• Census County Business Patterns. Establishment counts by industry and county — not a lead source, but the right denominator for judging whether a market is worked out.</w:t>
      </w:r>
    </w:p>
    <w:p>
      <w:pPr>
        <w:keepNext/>
        <w:spacing w:before="260" w:after="110"/>
      </w:pPr>
      <w:r>
        <w:rPr>
          <w:b/>
          <w:sz w:val="24"/>
          <w:color w:val="C81E3C"/>
        </w:rPr>
        <w:t xml:space="preserve">The classes Florida measured at zero</w:t>
      </w:r>
    </w:p>
    <w:p>
      <w:pPr>
        <w:spacing w:after="110"/>
      </w:pPr>
      <w:r>
        <w:rPr>
          <w:sz w:val="22"/>
        </w:rPr>
        <w:t xml:space="preserve">Industry rosters, marketplaces, vacancy boards, associations and fraud signals. Chapter six of the Core State Build carries the measurement. They are probed once per new market and closed, not worked.</w:t>
      </w:r>
    </w:p>
    <w:p>
      <w:pPr>
        <w:keepNext/>
        <w:spacing w:before="260" w:after="110"/>
      </w:pPr>
      <w:r>
        <w:rPr>
          <w:b/>
          <w:sz w:val="24"/>
          <w:color w:val="C81E3C"/>
        </w:rPr>
        <w:t xml:space="preserve">The rule this chapter exists to state</w:t>
      </w:r>
    </w:p>
    <w:p>
      <w:pPr>
        <w:spacing w:after="110"/>
      </w:pPr>
      <w:r>
        <w:rPr>
          <w:sz w:val="22"/>
        </w:rPr>
        <w:t xml:space="preserve">A source is worth adding when it names a company and locates it on its own face. A source that requires a company read per entry is not a finder; it is a verifier, and verifiers are worked after the finder has done its job. That single test is what separates the registry layer, which pays, from the roster layer, which did not.</w:t>
      </w:r>
    </w:p>
    <w:p>
      <w:pPr>
        <w:keepNext/>
        <w:spacing w:before="260" w:after="110"/>
      </w:pPr>
      <w:r>
        <w:rPr>
          <w:b/>
          <w:sz w:val="24"/>
          <w:color w:val="C81E3C"/>
        </w:rPr>
        <w:t xml:space="preserve">And the standing instruction</w:t>
      </w:r>
    </w:p>
    <w:p>
      <w:pPr>
        <w:spacing w:after="110"/>
      </w:pPr>
      <w:r>
        <w:rPr>
          <w:sz w:val="22"/>
        </w:rPr>
        <w:t xml:space="preserve">Before any market opens, its registry access is read at the Secretary of State’s own page and recorded as free API, free bulk, individual lookup only, or paid contract. No read is spent until that line exists. It is four minutes of reading that decides whether the market costs forty reads or four thousand.</w:t>
      </w:r>
    </w:p>
    <w:p>
      <w:pPr>
        <w:pageBreakBefore/>
        <w:keepNext/>
        <w:spacing w:after="160"/>
      </w:pPr>
      <w:r>
        <w:rPr>
          <w:b/>
          <w:sz w:val="32"/>
          <w:color w:val="1F3864"/>
        </w:rPr>
        <w:t xml:space="preserve">14 · ruvnet — the body of work behind Ruflo</w:t>
      </w:r>
    </w:p>
    <w:p>
      <w:pPr>
        <w:spacing w:after="110"/>
      </w:pPr>
      <w:r>
        <w:rPr>
          <w:sz w:val="22"/>
        </w:rPr>
        <w:t xml:space="preserve">Added 31 October 2026. Chapter eleven adopted a tool. This chapter reads the author behind it, because what we would be adopting is larger than the one package, and three of its parts should be refused before the first one is installed.</w:t>
      </w:r>
    </w:p>
    <w:p>
      <w:pPr>
        <w:keepNext/>
        <w:spacing w:before="260" w:after="110"/>
      </w:pPr>
      <w:r>
        <w:rPr>
          <w:b/>
          <w:sz w:val="24"/>
          <w:color w:val="C81E3C"/>
        </w:rPr>
        <w:t xml:space="preserve">Who it is, and what the name change was</w:t>
      </w:r>
    </w:p>
    <w:p>
      <w:pPr>
        <w:spacing w:after="110"/>
      </w:pPr>
      <w:r>
        <w:rPr>
          <w:sz w:val="22"/>
        </w:rPr>
        <w:t xml:space="preserve">The work is published under the GitHub handle ruvnet, attributed in third-party write-ups to Reuven Cohen. That attribution is reported, not primary, and is recorded as reported. The repository was renamed from ruvnet/claude-flow to ruvnet/ruflo for trademark reasons; the npm package is still claude-flow and the command is still claude-flow. Chapter eleven calls Ruflo the former Claude Flow, and this is why — one project, two names, both live.</w:t>
      </w:r>
    </w:p>
    <w:p>
      <w:pPr>
        <w:keepNext/>
        <w:spacing w:before="260" w:after="110"/>
      </w:pPr>
      <w:r>
        <w:rPr>
          <w:b/>
          <w:sz w:val="24"/>
          <w:color w:val="C81E3C"/>
        </w:rPr>
        <w:t xml:space="preserve">The four pieces, and they are not one thing</w:t>
      </w:r>
    </w:p>
    <w:p>
      <w:pPr>
        <w:spacing w:after="110"/>
      </w:pPr>
      <w:r>
        <w:rPr>
          <w:sz w:val="22"/>
        </w:rPr>
        <w:t xml:space="preserve">• Ruflo, the orchestrator. Local multi-agent coordination for Claude Code and Codex, with a structured task methodology, shared memory namespaces and an MCP server. This is the piece chapter eleven adopts.</w:t>
      </w:r>
    </w:p>
    <w:p>
      <w:pPr>
        <w:spacing w:after="110"/>
      </w:pPr>
      <w:r>
        <w:rPr>
          <w:sz w:val="22"/>
        </w:rPr>
        <w:t xml:space="preserve">• ruv-swarm. A WebAssembly-accelerated multi-agent layer with neural components, MIT licensed, shipping its own MCP server written in Rust and living inside the ruv-FANN repository. Optional to Ruflo and separate from it.</w:t>
      </w:r>
    </w:p>
    <w:p>
      <w:pPr>
        <w:spacing w:after="110"/>
      </w:pPr>
      <w:r>
        <w:rPr>
          <w:sz w:val="22"/>
        </w:rPr>
        <w:t xml:space="preserve">• Flow Nexus. A hosted, cloud-native platform with sandboxed execution and distributed computing. Account-bound by design.</w:t>
      </w:r>
    </w:p>
    <w:p>
      <w:pPr>
        <w:spacing w:after="110"/>
      </w:pPr>
      <w:r>
        <w:rPr>
          <w:sz w:val="22"/>
        </w:rPr>
        <w:t xml:space="preserve">• Federation, added in the September v3.41 release. Any machine running Ruflo can join a shared, signed, invite-gated swarm over a public relay, holding its own key, with channels, a roster and a claims board.</w:t>
      </w:r>
    </w:p>
    <w:p>
      <w:pPr>
        <w:spacing w:after="80"/>
      </w:pPr>
      <w:r>
        <w:rPr>
          <w:rFonts w:ascii="Consolas" w:hAnsi="Consolas"/>
          <w:sz w:val="19"/>
          <w:color w:val="1F3864"/>
        </w:rPr>
        <w:t xml:space="preserve">npx ruflo@latest init                       # local, open source</w:t>
      </w:r>
    </w:p>
    <w:p>
      <w:pPr>
        <w:spacing w:after="80"/>
      </w:pPr>
      <w:r>
        <w:rPr>
          <w:rFonts w:ascii="Consolas" w:hAnsi="Consolas"/>
          <w:sz w:val="19"/>
          <w:color w:val="1F3864"/>
        </w:rPr>
        <w:t xml:space="preserve">claude mcp add claude-flow -- npx -y ruflo@latest mcp start</w:t>
      </w:r>
    </w:p>
    <w:p>
      <w:pPr>
        <w:spacing w:after="80"/>
      </w:pPr>
      <w:r>
        <w:rPr>
          <w:rFonts w:ascii="Consolas" w:hAnsi="Consolas"/>
          <w:sz w:val="19"/>
          <w:color w:val="1F3864"/>
        </w:rPr>
        <w:t xml:space="preserve">github.com/ruvnet/ruflo                     # source, issues, releases</w:t>
      </w:r>
    </w:p>
    <w:p>
      <w:pPr>
        <w:spacing w:after="80"/>
      </w:pPr>
      <w:r>
        <w:rPr>
          <w:rFonts w:ascii="Consolas" w:hAnsi="Consolas"/>
          <w:sz w:val="19"/>
          <w:color w:val="1F3864"/>
        </w:rPr>
        <w:t xml:space="preserve">github.com/ruvnet/ruv-FANN                  # ruv-swarm lives here</w:t>
      </w:r>
    </w:p>
    <w:p>
      <w:pPr>
        <w:keepNext/>
        <w:spacing w:before="260" w:after="110"/>
      </w:pPr>
      <w:r>
        <w:rPr>
          <w:b/>
          <w:sz w:val="24"/>
          <w:color w:val="C81E3C"/>
        </w:rPr>
        <w:t xml:space="preserve">What we would adopt, and what we would refuse</w:t>
      </w:r>
    </w:p>
    <w:p>
      <w:pPr>
        <w:spacing w:after="110"/>
      </w:pPr>
      <w:r>
        <w:rPr>
          <w:sz w:val="22"/>
        </w:rPr>
        <w:t xml:space="preserve">Adopt the orchestrator, locally, for one reason only: persistent memory across a session and a handoff loop that does not depend on a person pasting a report between two windows. That is the fault chapter twelve ranks first.</w:t>
      </w:r>
    </w:p>
    <w:p>
      <w:pPr>
        <w:spacing w:after="110"/>
      </w:pPr>
      <w:r>
        <w:rPr>
          <w:sz w:val="22"/>
        </w:rPr>
        <w:t xml:space="preserve">Refuse ruv-swarm. Its value is neural optimisation of agent selection at scale. We have no measured problem it solves, and installing a WebAssembly neural layer to run a lead pipeline is the volume mistake chapter eight already records.</w:t>
      </w:r>
    </w:p>
    <w:p>
      <w:pPr>
        <w:spacing w:after="110"/>
      </w:pPr>
      <w:r>
        <w:rPr>
          <w:sz w:val="22"/>
        </w:rPr>
        <w:t xml:space="preserve">Refuse Flow Nexus for now. A hosted account is a dependency and a bill; the local path has not yet been shown to fail.</w:t>
      </w:r>
    </w:p>
    <w:p>
      <w:pPr>
        <w:spacing w:after="110"/>
      </w:pPr>
      <w:r>
        <w:rPr>
          <w:sz w:val="22"/>
        </w:rPr>
        <w:t xml:space="preserve">Refuse Federation outright, and this is the sharpest line in the chapter. A machine of ours joining an external shared swarm — reading from and posting to a board we do not own, over a relay we do not control — is a governance object before it is a feature. It carries our build environment, our keys and our client material into a space whose other members we have not vetted. That is the legal seat and Herjavec’s together: protect relentlessly, and never let convenience open a door that cannot be closed. Not adopted, and not to be enabled without a written ruling.</w:t>
      </w:r>
    </w:p>
    <w:p>
      <w:pPr>
        <w:keepNext/>
        <w:spacing w:before="260" w:after="110"/>
      </w:pPr>
      <w:r>
        <w:rPr>
          <w:b/>
          <w:sz w:val="24"/>
          <w:color w:val="C81E3C"/>
        </w:rPr>
        <w:t xml:space="preserve">The claims this document does not stand behind</w:t>
      </w:r>
    </w:p>
    <w:p>
      <w:pPr>
        <w:spacing w:after="110"/>
      </w:pPr>
      <w:r>
        <w:rPr>
          <w:sz w:val="22"/>
        </w:rPr>
        <w:t xml:space="preserve">A benchmark score for agent coding and a seventy-five per cent reduction in API cost circulate in write-ups about this project. They are vendor-adjacent claims, not measurements we have taken. They were flagged in chapter eleven and are flagged again here, because a number repeated twice starts to sound like a fact. Nothing is bought on them.</w:t>
      </w:r>
    </w:p>
    <w:p>
      <w:pPr>
        <w:keepNext/>
        <w:spacing w:before="260" w:after="110"/>
      </w:pPr>
      <w:r>
        <w:rPr>
          <w:b/>
          <w:sz w:val="24"/>
          <w:color w:val="C81E3C"/>
        </w:rPr>
        <w:t xml:space="preserve">Verification, stated</w:t>
      </w:r>
    </w:p>
    <w:p>
      <w:pPr>
        <w:spacing w:after="110"/>
      </w:pPr>
      <w:r>
        <w:rPr>
          <w:sz w:val="22"/>
        </w:rPr>
        <w:t xml:space="preserve">Read on 31 October 2026 against the project’s own repository — its issues, wiki, release notes and published crate pages — and against third-party write-ups where marked. The authorship attribution and the performance claims are third-party. The package names, commands, licence, structure and the federation feature are from the project’s own pages.</w:t>
      </w:r>
    </w:p>
    <w:p>
      <w:pPr>
        <w:pageBreakBefore/>
        <w:keepNext/>
        <w:spacing w:after="160"/>
      </w:pPr>
      <w:r>
        <w:rPr>
          <w:b/>
          <w:sz w:val="32"/>
          <w:color w:val="1F3864"/>
        </w:rPr>
        <w:t xml:space="preserve">15 · The free-API index — public-apis/public-apis</w:t>
      </w:r>
    </w:p>
    <w:p>
      <w:pPr>
        <w:spacing w:after="110"/>
      </w:pPr>
      <w:r>
        <w:rPr>
          <w:sz w:val="22"/>
        </w:rPr>
        <w:t xml:space="preserve">Added 31 October 2026. A single open index of free APIs, and the habit it should create at the data layer is the same one chapter three creates at the capability layer.</w:t>
      </w:r>
    </w:p>
    <w:p>
      <w:pPr>
        <w:keepNext/>
        <w:spacing w:before="260" w:after="110"/>
      </w:pPr>
      <w:r>
        <w:rPr>
          <w:b/>
          <w:sz w:val="24"/>
          <w:color w:val="C81E3C"/>
        </w:rPr>
        <w:t xml:space="preserve">What it is</w:t>
      </w:r>
    </w:p>
    <w:p>
      <w:pPr>
        <w:spacing w:after="110"/>
      </w:pPr>
      <w:r>
        <w:rPr>
          <w:sz w:val="22"/>
        </w:rPr>
        <w:t xml:space="preserve">A collective list of free APIs, MIT licensed, maintained in the open at github.com/public-apis/public-apis. Its own GitHub page shows roughly four hundred and eighty-eight thousand stars, fifty-four thousand forks and four and a half thousand watchers — one of the most starred repositories on the platform. Entries are grouped by category: Currency Exchange, Data Validation, Development, Dictionaries, Documents and Productivity, Email, Entertainment, Environment, Events, Finance, and on through dozens more.</w:t>
      </w:r>
    </w:p>
    <w:p>
      <w:pPr>
        <w:spacing w:after="80"/>
      </w:pPr>
      <w:r>
        <w:rPr>
          <w:rFonts w:ascii="Consolas" w:hAnsi="Consolas"/>
          <w:sz w:val="19"/>
          <w:color w:val="1F3864"/>
        </w:rPr>
        <w:t xml:space="preserve">github.com/public-apis/public-apis          # MIT, no key, no account</w:t>
      </w:r>
    </w:p>
    <w:p>
      <w:pPr>
        <w:keepNext/>
        <w:spacing w:before="260" w:after="110"/>
      </w:pPr>
      <w:r>
        <w:rPr>
          <w:b/>
          <w:sz w:val="24"/>
          <w:color w:val="C81E3C"/>
        </w:rPr>
        <w:t xml:space="preserve">What it closes</w:t>
      </w:r>
    </w:p>
    <w:p>
      <w:pPr>
        <w:spacing w:after="110"/>
      </w:pPr>
      <w:r>
        <w:rPr>
          <w:sz w:val="22"/>
        </w:rPr>
        <w:t xml:space="preserve">The reflex to buy or build before checking what is already free and open. Chapter three says search the skills ecosystem before writing a capability; this says search the API index before buying a data source. Two free searches before any paid decision.</w:t>
      </w:r>
    </w:p>
    <w:p>
      <w:pPr>
        <w:keepNext/>
        <w:spacing w:before="260" w:after="110"/>
      </w:pPr>
      <w:r>
        <w:rPr>
          <w:b/>
          <w:sz w:val="24"/>
          <w:color w:val="C81E3C"/>
        </w:rPr>
        <w:t xml:space="preserve">The honest limit, and it is the one that decides how we use it</w:t>
      </w:r>
    </w:p>
    <w:p>
      <w:pPr>
        <w:spacing w:after="110"/>
      </w:pPr>
      <w:r>
        <w:rPr>
          <w:sz w:val="22"/>
        </w:rPr>
        <w:t xml:space="preserve">A list of free APIs is a list of doors, not a list of leads. The test in chapter thirteen governs: a source is worth adding when it names a company and locates it on its own face. Most entries in a general index are utilities — weather, currency, dictionaries, conversion — and a utility is not a finder. Read this index for the verifier layer and the utility layer. Do not read it expecting discovery; discovery sits in the registry layer and the federal layer, and those are named in chapter thirteen.</w:t>
      </w:r>
    </w:p>
    <w:p>
      <w:pPr>
        <w:keepNext/>
        <w:spacing w:before="260" w:after="110"/>
      </w:pPr>
      <w:r>
        <w:rPr>
          <w:b/>
          <w:sz w:val="24"/>
          <w:color w:val="C81E3C"/>
        </w:rPr>
        <w:t xml:space="preserve">Where it pays first, in our order</w:t>
      </w:r>
    </w:p>
    <w:p>
      <w:pPr>
        <w:spacing w:after="110"/>
      </w:pPr>
      <w:r>
        <w:rPr>
          <w:sz w:val="22"/>
        </w:rPr>
        <w:t xml:space="preserve">• Data Validation. Email syntax and deliverability, phone formatting and line type, address normalisation — run before a send rather than after a bounce. Our own measurement says email reaches two rows in ninety-three; a validator does not fix that, but it stops us spending a send on an address that was never going to land.</w:t>
      </w:r>
    </w:p>
    <w:p>
      <w:pPr>
        <w:spacing w:after="110"/>
      </w:pPr>
      <w:r>
        <w:rPr>
          <w:sz w:val="22"/>
        </w:rPr>
        <w:t xml:space="preserve">• Government and open data. Federal and state endpoints already named in chapter thirteen, confirmed here as free and keyless where the index records them so.</w:t>
      </w:r>
    </w:p>
    <w:p>
      <w:pPr>
        <w:spacing w:after="110"/>
      </w:pPr>
      <w:r>
        <w:rPr>
          <w:sz w:val="22"/>
        </w:rPr>
        <w:t xml:space="preserve">• Finance and business. Entity and filing lookups useful for confirming a company rather than finding one.</w:t>
      </w:r>
    </w:p>
    <w:p>
      <w:pPr>
        <w:spacing w:after="110"/>
      </w:pPr>
      <w:r>
        <w:rPr>
          <w:sz w:val="22"/>
        </w:rPr>
        <w:t xml:space="preserve">• Development and documents. Conversion, parsing and formatting utilities that remove small custom scripts from the build.</w:t>
      </w:r>
    </w:p>
    <w:p>
      <w:pPr>
        <w:keepNext/>
        <w:spacing w:before="260" w:after="110"/>
      </w:pPr>
      <w:r>
        <w:rPr>
          <w:b/>
          <w:sz w:val="24"/>
          <w:color w:val="C81E3C"/>
        </w:rPr>
        <w:t xml:space="preserve">The standing rule</w:t>
      </w:r>
    </w:p>
    <w:p>
      <w:pPr>
        <w:spacing w:after="110"/>
      </w:pPr>
      <w:r>
        <w:rPr>
          <w:sz w:val="22"/>
        </w:rPr>
        <w:t xml:space="preserve">The index records that an API exists and was free when it was listed. It does not record that it is current, that its limits are unchanged, or that its terms permit our use. Every entry is read at its own source before a build depends on it, and the date of that read goes on the row — the same rule applied to every other source in this document. An index is a starting point; it is never a citation.</w:t>
      </w:r>
    </w:p>
    <w:p>
      <w:pPr>
        <w:keepNext/>
        <w:spacing w:before="260" w:after="110"/>
      </w:pPr>
      <w:r>
        <w:rPr>
          <w:b/>
          <w:sz w:val="24"/>
          <w:color w:val="C81E3C"/>
        </w:rPr>
        <w:t xml:space="preserve">Verification, stated</w:t>
      </w:r>
    </w:p>
    <w:p>
      <w:pPr>
        <w:spacing w:after="110"/>
      </w:pPr>
      <w:r>
        <w:rPr>
          <w:sz w:val="22"/>
        </w:rPr>
        <w:t xml:space="preserve">Read from the repository’s own GitHub page on 31 October 2026. The licence, the category structure and the keyless, accountless nature of the index are from that page. The star count is a figure that moves daily and is recorded as read on that date, not as a standing fact. No individual API inside the index was verified in this review; each is verified at its own source, at the point of use.</w:t>
      </w:r>
    </w:p>
    <w:p>
      <w:pPr>
        <w:pageBreakBefore/>
        <w:keepNext/>
        <w:spacing w:after="160"/>
      </w:pPr>
      <w:r>
        <w:rPr>
          <w:b/>
          <w:sz w:val="32"/>
          <w:color w:val="1F3864"/>
        </w:rPr>
        <w:t xml:space="preserve">16 · Where capability is found — the directories</w:t>
      </w:r>
    </w:p>
    <w:p>
      <w:pPr>
        <w:spacing w:after="110"/>
      </w:pPr>
      <w:r>
        <w:rPr>
          <w:sz w:val="22"/>
        </w:rPr>
        <w:t xml:space="preserve">Added 31 October 2026. Chapter three set the rule: search before building. This chapter says where to search, because the ecosystem has outgrown any one index and the cost of not knowing is a week spent writing something that already existed.</w:t>
      </w:r>
    </w:p>
    <w:p>
      <w:pPr>
        <w:keepNext/>
        <w:spacing w:before="260" w:after="110"/>
      </w:pPr>
      <w:r>
        <w:rPr>
          <w:b/>
          <w:sz w:val="24"/>
          <w:color w:val="C81E3C"/>
        </w:rPr>
        <w:t xml:space="preserve">The first-party layer</w:t>
      </w:r>
    </w:p>
    <w:p>
      <w:pPr>
        <w:spacing w:after="110"/>
      </w:pPr>
      <w:r>
        <w:rPr>
          <w:sz w:val="22"/>
        </w:rPr>
        <w:t xml:space="preserve">Anthropic publishes its own skills, and two of them matter here more than any third-party pick. MCP Builder is a guide for creating well-formed MCP servers when nothing in the ecosystem fits. The Claude API skill covers prompt caching, tool use, batch, files, citations and memory — the mechanics that decide whether a build is efficient or merely functional. Start first-party; reach outward only when it does not cover the job.</w:t>
      </w:r>
    </w:p>
    <w:p>
      <w:pPr>
        <w:spacing w:after="110"/>
      </w:pPr>
      <w:r>
        <w:rPr>
          <w:sz w:val="22"/>
        </w:rPr>
        <w:t xml:space="preserve">The reference server set is deliberately small. The official modelcontextprotocol/servers repository maintains roughly seven reference servers — filesystem, git, memory, fetch, sequential thinking and their siblings. Everything else in the world is third-party, and should be read as such.</w:t>
      </w:r>
    </w:p>
    <w:p>
      <w:pPr>
        <w:keepNext/>
        <w:spacing w:before="260" w:after="110"/>
      </w:pPr>
      <w:r>
        <w:rPr>
          <w:b/>
          <w:sz w:val="24"/>
          <w:color w:val="C81E3C"/>
        </w:rPr>
        <w:t xml:space="preserve">The directories worth keeping</w:t>
      </w:r>
    </w:p>
    <w:p>
      <w:pPr>
        <w:spacing w:after="110"/>
      </w:pPr>
      <w:r>
        <w:rPr>
          <w:sz w:val="22"/>
        </w:rPr>
        <w:t xml:space="preserve">• skills.sh — the public directory behind vercel-labs/skills. Searched from the command line with npx skills find. The find-skills meta-skill is the single most installed skill in the ecosystem, which tells you what the ecosystem itself believes the first move is.</w:t>
      </w:r>
    </w:p>
    <w:p>
      <w:pPr>
        <w:spacing w:after="110"/>
      </w:pPr>
      <w:r>
        <w:rPr>
          <w:sz w:val="22"/>
        </w:rPr>
        <w:t xml:space="preserve">• AgenticSkills — a curated directory of skills and MCP servers across Claude Code, Codex, Cursor, Gemini CLI, Copilot and Windsurf, organised around the SKILL.md standard.</w:t>
      </w:r>
    </w:p>
    <w:p>
      <w:pPr>
        <w:spacing w:after="110"/>
      </w:pPr>
      <w:r>
        <w:rPr>
          <w:sz w:val="22"/>
        </w:rPr>
        <w:t xml:space="preserve">• Skillselion — an independent directory ranking a very large catalogue of servers and skills by real install counts rather than editorial opinion. Install count is a weak signal of quality and a strong signal of survival; read it as the latter.</w:t>
      </w:r>
    </w:p>
    <w:p>
      <w:pPr>
        <w:spacing w:after="110"/>
      </w:pPr>
      <w:r>
        <w:rPr>
          <w:sz w:val="22"/>
        </w:rPr>
        <w:t xml:space="preserve">• The awesome lists — awesome-mcp-servers and awesome-claude-skills on GitHub, both heavily starred, both community-maintained, both useful for breadth and poor for currency.</w:t>
      </w:r>
    </w:p>
    <w:p>
      <w:pPr>
        <w:spacing w:after="110"/>
      </w:pPr>
      <w:r>
        <w:rPr>
          <w:sz w:val="22"/>
        </w:rPr>
        <w:t xml:space="preserve">• TokRepo and the various registry platforms — searchable catalogues, some exposing their own MCP server so the agent can search the registry from inside the session.</w:t>
      </w:r>
    </w:p>
    <w:p>
      <w:pPr>
        <w:keepNext/>
        <w:spacing w:before="260" w:after="110"/>
      </w:pPr>
      <w:r>
        <w:rPr>
          <w:b/>
          <w:sz w:val="24"/>
          <w:color w:val="C81E3C"/>
        </w:rPr>
        <w:t xml:space="preserve">One ecosystem change worth knowing</w:t>
      </w:r>
    </w:p>
    <w:p>
      <w:pPr>
        <w:spacing w:after="110"/>
      </w:pPr>
      <w:r>
        <w:rPr>
          <w:sz w:val="22"/>
        </w:rPr>
        <w:t xml:space="preserve">Claude Code is reported to ship MCP tool search enabled by default in 2026, which lowers the cost of having many servers configured and makes curation less critical than it was. Reported, not verified here. It does not change the governance position: a server you do not need is a dependency you did not have to take.</w:t>
      </w:r>
    </w:p>
    <w:p>
      <w:pPr>
        <w:keepNext/>
        <w:spacing w:before="260" w:after="110"/>
      </w:pPr>
      <w:r>
        <w:rPr>
          <w:b/>
          <w:sz w:val="24"/>
          <w:color w:val="C81E3C"/>
        </w:rPr>
        <w:t xml:space="preserve">The standing rule this creates</w:t>
      </w:r>
    </w:p>
    <w:p>
      <w:pPr>
        <w:spacing w:after="110"/>
      </w:pPr>
      <w:r>
        <w:rPr>
          <w:sz w:val="22"/>
        </w:rPr>
        <w:t xml:space="preserve">Two free searches before any paid decision. Search the skills directory for the capability; search the free-API index from chapter fifteen for the data. Only then price a tool. That sequence is Nadella’s seat and O’Leary’s in the same motion — learn before you spend, and make every dollar earn its place.</w:t>
      </w:r>
    </w:p>
    <w:p>
      <w:pPr>
        <w:pageBreakBefore/>
        <w:keepNext/>
        <w:spacing w:after="160"/>
      </w:pPr>
      <w:r>
        <w:rPr>
          <w:b/>
          <w:sz w:val="32"/>
          <w:color w:val="1F3864"/>
        </w:rPr>
        <w:t xml:space="preserve">17 · The servers that earn a slot</w:t>
      </w:r>
    </w:p>
    <w:p>
      <w:pPr>
        <w:spacing w:after="110"/>
      </w:pPr>
      <w:r>
        <w:rPr>
          <w:sz w:val="22"/>
        </w:rPr>
        <w:t xml:space="preserve">Added 31 October 2026. Thousands of MCP servers exist. These are the ones that map to work this firm actually does, grouped by job rather than by vendor. Install lines are recorded as published; verify each at its own source before it carries anything.</w:t>
      </w:r>
    </w:p>
    <w:p>
      <w:pPr>
        <w:keepNext/>
        <w:spacing w:before="260" w:after="110"/>
      </w:pPr>
      <w:r>
        <w:rPr>
          <w:b/>
          <w:sz w:val="24"/>
          <w:color w:val="C81E3C"/>
        </w:rPr>
        <w:t xml:space="preserve">The core — install these first</w:t>
      </w:r>
    </w:p>
    <w:p>
      <w:pPr>
        <w:spacing w:after="80"/>
      </w:pPr>
      <w:r>
        <w:rPr>
          <w:rFonts w:ascii="Consolas" w:hAnsi="Consolas"/>
          <w:sz w:val="19"/>
          <w:color w:val="1F3864"/>
        </w:rPr>
        <w:t xml:space="preserve">claude mcp add --transport stdio filesystem -- npx -y @modelcontextprotocol/server-filesystem &lt;path&gt;</w:t>
      </w:r>
    </w:p>
    <w:p>
      <w:pPr>
        <w:spacing w:after="80"/>
      </w:pPr>
      <w:r>
        <w:rPr>
          <w:rFonts w:ascii="Consolas" w:hAnsi="Consolas"/>
          <w:sz w:val="19"/>
          <w:color w:val="1F3864"/>
        </w:rPr>
        <w:t xml:space="preserve">claude mcp add --transport stdio git        -- uvx mcp-server-git</w:t>
      </w:r>
    </w:p>
    <w:p>
      <w:pPr>
        <w:spacing w:after="80"/>
      </w:pPr>
      <w:r>
        <w:rPr>
          <w:rFonts w:ascii="Consolas" w:hAnsi="Consolas"/>
          <w:sz w:val="19"/>
          <w:color w:val="1F3864"/>
        </w:rPr>
        <w:t xml:space="preserve">claude mcp add --transport stdio memory     -- npx -y @modelcontextprotocol/server-memory</w:t>
      </w:r>
    </w:p>
    <w:p>
      <w:pPr>
        <w:spacing w:after="80"/>
      </w:pPr>
      <w:r>
        <w:rPr>
          <w:rFonts w:ascii="Consolas" w:hAnsi="Consolas"/>
          <w:sz w:val="19"/>
          <w:color w:val="1F3864"/>
        </w:rPr>
        <w:t xml:space="preserve">claude mcp add --transport http  github     https://api.githubcopilot.com/mcp/</w:t>
      </w:r>
    </w:p>
    <w:p>
      <w:pPr>
        <w:spacing w:after="80"/>
      </w:pPr>
      <w:r>
        <w:rPr>
          <w:rFonts w:ascii="Consolas" w:hAnsi="Consolas"/>
          <w:sz w:val="19"/>
          <w:color w:val="1F3864"/>
        </w:rPr>
        <w:t xml:space="preserve">claude mcp add playwright npx @playwright/mcp@latest</w:t>
      </w:r>
    </w:p>
    <w:p>
      <w:pPr>
        <w:spacing w:after="110"/>
      </w:pPr>
      <w:r>
        <w:rPr>
          <w:sz w:val="22"/>
        </w:rPr>
        <w:t xml:space="preserve">Filesystem, git and memory are reference servers and carry the least risk. The GitHub server is the one that closes gap two in chapter twelve — every delivery passing through a human upload. Playwright is chapter five’s session-gated reader, already named.</w:t>
      </w:r>
    </w:p>
    <w:p>
      <w:pPr>
        <w:keepNext/>
        <w:spacing w:before="260" w:after="110"/>
      </w:pPr>
      <w:r>
        <w:rPr>
          <w:b/>
          <w:sz w:val="24"/>
          <w:color w:val="C81E3C"/>
        </w:rPr>
        <w:t xml:space="preserve">Retrieval and research</w:t>
      </w:r>
    </w:p>
    <w:p>
      <w:pPr>
        <w:spacing w:after="110"/>
      </w:pPr>
      <w:r>
        <w:rPr>
          <w:sz w:val="22"/>
        </w:rPr>
        <w:t xml:space="preserve">• Tavily — search built for agent consumption, returning pre-formatted, citation-ready snippets. The citation discipline matters to us: our standard requires a dated source line on every field, and a retrieval layer that returns its source is doing half that work.</w:t>
      </w:r>
    </w:p>
    <w:p>
      <w:pPr>
        <w:spacing w:after="110"/>
      </w:pPr>
      <w:r>
        <w:rPr>
          <w:sz w:val="22"/>
        </w:rPr>
        <w:t xml:space="preserve">• Exa — an alternative retrieval server with its own index; worth a comparison rather than an assumption.</w:t>
      </w:r>
    </w:p>
    <w:p>
      <w:pPr>
        <w:spacing w:after="110"/>
      </w:pPr>
      <w:r>
        <w:rPr>
          <w:sz w:val="22"/>
        </w:rPr>
        <w:t xml:space="preserve">• Context7 — current library and API documentation served into the session, so a build reads today’s documentation rather than remembered documentation. That is register line fifty-nine in tooling form: read it, do not recall it.</w:t>
      </w:r>
    </w:p>
    <w:p>
      <w:pPr>
        <w:spacing w:after="110"/>
      </w:pPr>
      <w:r>
        <w:rPr>
          <w:sz w:val="22"/>
        </w:rPr>
        <w:t xml:space="preserve">• Apify and Browserbase — hosted scraping and hosted browser sessions. Overlapping with Firecrawl in chapter two; pick one and measure it before adding a second.</w:t>
      </w:r>
    </w:p>
    <w:p>
      <w:pPr>
        <w:keepNext/>
        <w:spacing w:before="260" w:after="110"/>
      </w:pPr>
      <w:r>
        <w:rPr>
          <w:b/>
          <w:sz w:val="24"/>
          <w:color w:val="C81E3C"/>
        </w:rPr>
        <w:t xml:space="preserve">Record, data and delivery</w:t>
      </w:r>
    </w:p>
    <w:p>
      <w:pPr>
        <w:spacing w:after="110"/>
      </w:pPr>
      <w:r>
        <w:rPr>
          <w:sz w:val="22"/>
        </w:rPr>
        <w:t xml:space="preserve">• A database connector for whatever store the pipeline lands in, so figures are queried rather than parsed out of pages.</w:t>
      </w:r>
    </w:p>
    <w:p>
      <w:pPr>
        <w:spacing w:after="110"/>
      </w:pPr>
      <w:r>
        <w:rPr>
          <w:sz w:val="22"/>
        </w:rPr>
        <w:t xml:space="preserve">• Notion, Linear or an equivalent, only if the record genuinely moves there. Today our record is governing documents and a repository, and adding a third place to look is a cost, not a capability.</w:t>
      </w:r>
    </w:p>
    <w:p>
      <w:pPr>
        <w:spacing w:after="110"/>
      </w:pPr>
      <w:r>
        <w:rPr>
          <w:sz w:val="22"/>
        </w:rPr>
        <w:t xml:space="preserve">• Stripe’s agent toolkit, Sentry, Cloudflare and the cloud vendors’ own servers — relevant when a client-facing product exists. Not before.</w:t>
      </w:r>
    </w:p>
    <w:p>
      <w:pPr>
        <w:keepNext/>
        <w:spacing w:before="260" w:after="110"/>
      </w:pPr>
      <w:r>
        <w:rPr>
          <w:b/>
          <w:sz w:val="24"/>
          <w:color w:val="C81E3C"/>
        </w:rPr>
        <w:t xml:space="preserve">The scoping rule, and it is a governance rule</w:t>
      </w:r>
    </w:p>
    <w:p>
      <w:pPr>
        <w:spacing w:after="80"/>
      </w:pPr>
      <w:r>
        <w:rPr>
          <w:rFonts w:ascii="Consolas" w:hAnsi="Consolas"/>
          <w:sz w:val="19"/>
          <w:color w:val="1F3864"/>
        </w:rPr>
        <w:t xml:space="preserve">claude mcp add --scope user    &lt;name&gt; …   # personal, credentialed, experimental</w:t>
      </w:r>
    </w:p>
    <w:p>
      <w:pPr>
        <w:spacing w:after="80"/>
      </w:pPr>
      <w:r>
        <w:rPr>
          <w:rFonts w:ascii="Consolas" w:hAnsi="Consolas"/>
          <w:sz w:val="19"/>
          <w:color w:val="1F3864"/>
        </w:rPr>
        <w:t xml:space="preserve">claude mcp add --scope project &lt;name&gt; …   # shared, checked in, everyone gets it</w:t>
      </w:r>
    </w:p>
    <w:p>
      <w:pPr>
        <w:spacing w:after="110"/>
      </w:pPr>
      <w:r>
        <w:rPr>
          <w:sz w:val="22"/>
        </w:rPr>
        <w:t xml:space="preserve">Anything carrying a credential is user-scoped. A project-scoped server from a checked-in configuration arrives on every machine that clones the repository, which is convenient and is also how an unreviewed tool enters a firm without a decision being taken. Claude Code’s own documentation says to verify you trust a server before connecting it; that instruction is adopted here as a rule, not a suggestion. The legal seat holds the pen on any server that can write, send, pay or delete.</w:t>
      </w:r>
    </w:p>
    <w:p>
      <w:pPr>
        <w:pageBreakBefore/>
        <w:keepNext/>
        <w:spacing w:after="160"/>
      </w:pPr>
      <w:r>
        <w:rPr>
          <w:b/>
          <w:sz w:val="32"/>
          <w:color w:val="1F3864"/>
        </w:rPr>
        <w:t xml:space="preserve">18 · The business-development bots — what the market sells, and what we would buy</w:t>
      </w:r>
    </w:p>
    <w:p>
      <w:pPr>
        <w:spacing w:after="110"/>
      </w:pPr>
      <w:r>
        <w:rPr>
          <w:sz w:val="22"/>
        </w:rPr>
        <w:t xml:space="preserve">Added 31 October 2026. The outbound market has consolidated into four layers, and the firms selling the loudest sell the layer we need least. Named here so the decision is made once, against our own measurements, rather than re-argued every time a demo lands.</w:t>
      </w:r>
    </w:p>
    <w:p>
      <w:pPr>
        <w:keepNext/>
        <w:spacing w:before="260" w:after="110"/>
      </w:pPr>
      <w:r>
        <w:rPr>
          <w:b/>
          <w:sz w:val="24"/>
          <w:color w:val="C81E3C"/>
        </w:rPr>
        <w:t xml:space="preserve">The four layers, with the names that lead each</w:t>
      </w:r>
    </w:p>
    <w:p>
      <w:pPr>
        <w:spacing w:after="110"/>
      </w:pPr>
      <w:r>
        <w:rPr>
          <w:sz w:val="22"/>
        </w:rPr>
        <w:t xml:space="preserve">• Data and prospecting — Apollo.io, ZoomInfo, Lusha, Cognism, Seamless. Contact databases with filters and, increasingly, sequencing attached. Apollo is the common budget entry point and publishes the largest consumer-facing database of the group.</w:t>
      </w:r>
    </w:p>
    <w:p>
      <w:pPr>
        <w:spacing w:after="110"/>
      </w:pPr>
      <w:r>
        <w:rPr>
          <w:sz w:val="22"/>
        </w:rPr>
        <w:t xml:space="preserve">• Enrichment and orchestration — Clay, with its Claygent research agent, is the acknowledged leader. It is not an autonomous agent; an operator builds the table and Clay executes it, pulling from many sources in sequence until a field fills. That waterfall pattern is exactly what our address work does by hand.</w:t>
      </w:r>
    </w:p>
    <w:p>
      <w:pPr>
        <w:spacing w:after="110"/>
      </w:pPr>
      <w:r>
        <w:rPr>
          <w:sz w:val="22"/>
        </w:rPr>
        <w:t xml:space="preserve">• Autonomous SDR — 11x (Alice), Artisan (Ava), AiSDR, Reply.io’s Jason, Regie.ai. These claim to run the whole prospect-to-booking motion without a person in the loop.</w:t>
      </w:r>
    </w:p>
    <w:p>
      <w:pPr>
        <w:spacing w:after="110"/>
      </w:pPr>
      <w:r>
        <w:rPr>
          <w:sz w:val="22"/>
        </w:rPr>
        <w:t xml:space="preserve">• Sending infrastructure and intelligence — Instantly, Smartlead and Salesforge for deliverability and warming; 6sense for intent; Gong for conversation intelligence; Outreach, Salesloft and HubSpot’s Breeze where a CRM already owns the motion.</w:t>
      </w:r>
    </w:p>
    <w:p>
      <w:pPr>
        <w:keepNext/>
        <w:spacing w:before="260" w:after="110"/>
      </w:pPr>
      <w:r>
        <w:rPr>
          <w:b/>
          <w:sz w:val="24"/>
          <w:color w:val="C81E3C"/>
        </w:rPr>
        <w:t xml:space="preserve">Pricing, as reported</w:t>
      </w:r>
    </w:p>
    <w:p>
      <w:pPr>
        <w:spacing w:after="110"/>
      </w:pPr>
      <w:r>
        <w:rPr>
          <w:sz w:val="22"/>
        </w:rPr>
        <w:t xml:space="preserve">Entry points cluster near fifty dollars a user a month for the data-and-sequencing layer, roughly one hundred and fifty to four hundred and fifty a month for the enrichment layer depending on action volume, two hundred and fifty to three hundred a month for the mid-market autonomous agents, and several thousand a month for the enterprise ones. Every figure here comes from third-party comparison articles rather than vendor pricing pages, and is recorded as reported. Nothing is bought until it is read at the vendor’s own source.</w:t>
      </w:r>
    </w:p>
    <w:p>
      <w:pPr>
        <w:keepNext/>
        <w:spacing w:before="260" w:after="110"/>
      </w:pPr>
      <w:r>
        <w:rPr>
          <w:b/>
          <w:sz w:val="24"/>
          <w:color w:val="C81E3C"/>
        </w:rPr>
        <w:t xml:space="preserve">The verdict, measured against our own pipeline</w:t>
      </w:r>
    </w:p>
    <w:p>
      <w:pPr>
        <w:spacing w:after="110"/>
      </w:pPr>
      <w:r>
        <w:rPr>
          <w:sz w:val="22"/>
        </w:rPr>
        <w:t xml:space="preserve">We do not have a volume problem. Five discovery windows across roughly one hundred and twenty sources produced seven admissions; one completion pass of eighty-seven reads produced thirteen. A tool that finds more companies faster is solving a problem we do not have, and chapter eight already refuses it.</w:t>
      </w:r>
    </w:p>
    <w:p>
      <w:pPr>
        <w:spacing w:after="110"/>
      </w:pPr>
      <w:r>
        <w:rPr>
          <w:sz w:val="22"/>
        </w:rPr>
        <w:t xml:space="preserve">We do not have an email problem that more email fixes. Our own measurement says email reaches two rows in ninety-three. An autonomous SDR is a volume-first machine pointed down the channel that does not land for us. Buying one would be buying the wrong channel at scale.</w:t>
      </w:r>
    </w:p>
    <w:p>
      <w:pPr>
        <w:spacing w:after="110"/>
      </w:pPr>
      <w:r>
        <w:rPr>
          <w:sz w:val="22"/>
        </w:rPr>
        <w:t xml:space="preserve">We have a phone and a named-person problem. The thirteen open rows need a name or a number, and the registry route in chapter seven supplies the name at zero cost. What the market sells that we might genuinely want is the enrichment layer — the waterfall that fills a direct-dial where the register cannot — and only after the free registry route has been taken and measured.</w:t>
      </w:r>
    </w:p>
    <w:p>
      <w:pPr>
        <w:keepNext/>
        <w:spacing w:before="260" w:after="110"/>
      </w:pPr>
      <w:r>
        <w:rPr>
          <w:b/>
          <w:sz w:val="24"/>
          <w:color w:val="C81E3C"/>
        </w:rPr>
        <w:t xml:space="preserve">What would be bought, in order, if anything is</w:t>
      </w:r>
    </w:p>
    <w:p>
      <w:pPr>
        <w:spacing w:after="110"/>
      </w:pPr>
      <w:r>
        <w:rPr>
          <w:sz w:val="22"/>
        </w:rPr>
        <w:t xml:space="preserve">• Nothing, until the Florida registry ingest has run. It closes the named-person gap for free, and buying before taking a free source is the fault chapter ten already records against this programme.</w:t>
      </w:r>
    </w:p>
    <w:p>
      <w:pPr>
        <w:spacing w:after="110"/>
      </w:pPr>
      <w:r>
        <w:rPr>
          <w:sz w:val="22"/>
        </w:rPr>
        <w:t xml:space="preserve">• Then, if direct-dial coverage is still the binding constraint, one enrichment seat of the Clay class, trialled on a measured sample with a bounce and connect rate recorded against it. Buy the measurement first, then the subscription.</w:t>
      </w:r>
    </w:p>
    <w:p>
      <w:pPr>
        <w:spacing w:after="110"/>
      </w:pPr>
      <w:r>
        <w:rPr>
          <w:sz w:val="22"/>
        </w:rPr>
        <w:t xml:space="preserve">• Sending infrastructure only when the domain-warming work is complete and placement has been measured per address. A sender that scales volume before placement is proven scales a problem.</w:t>
      </w:r>
    </w:p>
    <w:p>
      <w:pPr>
        <w:spacing w:after="110"/>
      </w:pPr>
      <w:r>
        <w:rPr>
          <w:sz w:val="22"/>
        </w:rPr>
        <w:t xml:space="preserve">• No autonomous SDR, at any tier. Herjavec’s seat applies and so does Lemonis’s: the relationship is the asset, and the first contact is where it is either formed or spent. We do not outsource that to a machine while we are the firm people are deciding whether to trust.</w:t>
      </w:r>
    </w:p>
    <w:p>
      <w:pPr>
        <w:keepNext/>
        <w:spacing w:before="260" w:after="110"/>
      </w:pPr>
      <w:r>
        <w:rPr>
          <w:b/>
          <w:sz w:val="24"/>
          <w:color w:val="C81E3C"/>
        </w:rPr>
        <w:t xml:space="preserve">The governance line on anything that sends</w:t>
      </w:r>
    </w:p>
    <w:p>
      <w:pPr>
        <w:spacing w:after="110"/>
      </w:pPr>
      <w:r>
        <w:rPr>
          <w:sz w:val="22"/>
        </w:rPr>
        <w:t xml:space="preserve">Every tool in the third and fourth layers sends on our behalf from our domain. Deliverability, reputation and compliance stay ours whatever the vendor does, and a reputation spent by an automated sequence is not recoverable by changing vendor. Any sending tool is adopted under the same conditions as our own sends: warm first, hold the policy at monitoring, measure placement independently per address, and keep the stop line and postal address on every message. That is not a preference; it is the condition of sending at all.</w:t>
      </w:r>
    </w:p>
    <w:p>
      <w:pPr>
        <w:pageBreakBefore/>
        <w:keepNext/>
        <w:spacing w:after="160"/>
      </w:pPr>
      <w:r>
        <w:rPr>
          <w:b/>
          <w:sz w:val="32"/>
          <w:color w:val="1F3864"/>
        </w:rPr>
        <w:t xml:space="preserve">19 · The memory architecture — the native answer to gap one</w:t>
      </w:r>
    </w:p>
    <w:p>
      <w:pPr>
        <w:spacing w:after="110"/>
      </w:pPr>
      <w:r>
        <w:rPr>
          <w:sz w:val="22"/>
        </w:rPr>
        <w:t xml:space="preserve">Added 31 October 2026, and it is the most consequential chapter since chapter seven. Chapter twelve ranks lost memory as our largest gap. Chapter eleven proposed buying an orchestrator to close it. This chapter records what the final scrub found: the capability is already first-party, already free, and we had not read it.</w:t>
      </w:r>
    </w:p>
    <w:p>
      <w:pPr>
        <w:spacing w:after="110"/>
      </w:pPr>
      <w:r>
        <w:rPr>
          <w:sz w:val="22"/>
        </w:rPr>
        <w:t xml:space="preserve">That is the Florida register again, in a different field. A capability sought by purchase when it could have been read.</w:t>
      </w:r>
    </w:p>
    <w:p>
      <w:pPr>
        <w:keepNext/>
        <w:spacing w:before="260" w:after="110"/>
      </w:pPr>
      <w:r>
        <w:rPr>
          <w:b/>
          <w:sz w:val="24"/>
          <w:color w:val="C81E3C"/>
        </w:rPr>
        <w:t xml:space="preserve">The layers, in the order they load</w:t>
      </w:r>
    </w:p>
    <w:p>
      <w:pPr>
        <w:spacing w:after="110"/>
      </w:pPr>
      <w:r>
        <w:rPr>
          <w:sz w:val="22"/>
        </w:rPr>
        <w:t xml:space="preserve">Memory is a filesystem with a precedence order, not a setting. Each layer below loads at session start and stays in every request.</w:t>
      </w:r>
    </w:p>
    <w:p>
      <w:pPr>
        <w:spacing w:after="80"/>
      </w:pPr>
      <w:r>
        <w:rPr>
          <w:rFonts w:ascii="Consolas" w:hAnsi="Consolas"/>
          <w:sz w:val="19"/>
          <w:color w:val="1F3864"/>
        </w:rPr>
        <w:t xml:space="preserve">managed policy          organisation-wide, cannot be excluded</w:t>
      </w:r>
    </w:p>
    <w:p>
      <w:pPr>
        <w:spacing w:after="80"/>
      </w:pPr>
      <w:r>
        <w:rPr>
          <w:rFonts w:ascii="Consolas" w:hAnsi="Consolas"/>
          <w:sz w:val="19"/>
          <w:color w:val="1F3864"/>
        </w:rPr>
        <w:t xml:space="preserve">~/.claude/CLAUDE.md     user, every project</w:t>
      </w:r>
    </w:p>
    <w:p>
      <w:pPr>
        <w:spacing w:after="80"/>
      </w:pPr>
      <w:r>
        <w:rPr>
          <w:rFonts w:ascii="Consolas" w:hAnsi="Consolas"/>
          <w:sz w:val="19"/>
          <w:color w:val="1F3864"/>
        </w:rPr>
        <w:t xml:space="preserve">~/.claude/rules/*.md    user rules, every project</w:t>
      </w:r>
    </w:p>
    <w:p>
      <w:pPr>
        <w:spacing w:after="80"/>
      </w:pPr>
      <w:r>
        <w:rPr>
          <w:rFonts w:ascii="Consolas" w:hAnsi="Consolas"/>
          <w:sz w:val="19"/>
          <w:color w:val="1F3864"/>
        </w:rPr>
        <w:t xml:space="preserve">./CLAUDE.md             project, shared through the repository</w:t>
      </w:r>
    </w:p>
    <w:p>
      <w:pPr>
        <w:spacing w:after="80"/>
      </w:pPr>
      <w:r>
        <w:rPr>
          <w:rFonts w:ascii="Consolas" w:hAnsi="Consolas"/>
          <w:sz w:val="19"/>
          <w:color w:val="1F3864"/>
        </w:rPr>
        <w:t xml:space="preserve">.claude/rules/*.md      project rules</w:t>
      </w:r>
    </w:p>
    <w:p>
      <w:pPr>
        <w:spacing w:after="80"/>
      </w:pPr>
      <w:r>
        <w:rPr>
          <w:rFonts w:ascii="Consolas" w:hAnsi="Consolas"/>
          <w:sz w:val="19"/>
          <w:color w:val="1F3864"/>
        </w:rPr>
        <w:t xml:space="preserve">./CLAUDE.local.md       machine-local, gitignored</w:t>
      </w:r>
    </w:p>
    <w:p>
      <w:pPr>
        <w:spacing w:after="80"/>
      </w:pPr>
      <w:r>
        <w:rPr>
          <w:rFonts w:ascii="Consolas" w:hAnsi="Consolas"/>
          <w:sz w:val="19"/>
          <w:color w:val="1F3864"/>
        </w:rPr>
        <w:t xml:space="preserve">~/.claude/projects/&lt;id&gt;/memory/   auto memory, written by the agent</w:t>
      </w:r>
    </w:p>
    <w:p>
      <w:pPr>
        <w:keepNext/>
        <w:spacing w:before="260" w:after="110"/>
      </w:pPr>
      <w:r>
        <w:rPr>
          <w:b/>
          <w:sz w:val="24"/>
          <w:color w:val="C81E3C"/>
        </w:rPr>
        <w:t xml:space="preserve">The two memories, and they are not the same thing</w:t>
      </w:r>
    </w:p>
    <w:p>
      <w:pPr>
        <w:spacing w:after="110"/>
      </w:pPr>
      <w:r>
        <w:rPr>
          <w:sz w:val="22"/>
        </w:rPr>
        <w:t xml:space="preserve">CLAUDE.md is what we write: stable, deliberate, our requirements. Auto memory is what the agent writes: emergent, experiential, what it has observed about how we actually work. The documentation treats them as complementary and so should we — the first is the standard, the second is the record of practice.</w:t>
      </w:r>
    </w:p>
    <w:p>
      <w:pPr>
        <w:spacing w:after="110"/>
      </w:pPr>
      <w:r>
        <w:rPr>
          <w:sz w:val="22"/>
        </w:rPr>
        <w:t xml:space="preserve">Auto memory is per repository, machine-local, and loaded partially — roughly the first two hundred lines or twenty-five kilobytes. It is not loaded into subagents. That last point decides how work is split.</w:t>
      </w:r>
    </w:p>
    <w:p>
      <w:pPr>
        <w:keepNext/>
        <w:spacing w:before="260" w:after="110"/>
      </w:pPr>
      <w:r>
        <w:rPr>
          <w:b/>
          <w:sz w:val="24"/>
          <w:color w:val="C81E3C"/>
        </w:rPr>
        <w:t xml:space="preserve">The size rule, which is a compliance rule</w:t>
      </w:r>
    </w:p>
    <w:p>
      <w:pPr>
        <w:spacing w:after="110"/>
      </w:pPr>
      <w:r>
        <w:rPr>
          <w:sz w:val="22"/>
        </w:rPr>
        <w:t xml:space="preserve">Anthropic’s own guidance targets under two hundred lines per CLAUDE.md file, because a longer file consumes more context and measurably reduces adherence. A bloated instruction file is not a thorough instruction file; it is an ignored one.</w:t>
      </w:r>
    </w:p>
    <w:p>
      <w:pPr>
        <w:spacing w:after="110"/>
      </w:pPr>
      <w:r>
        <w:rPr>
          <w:sz w:val="22"/>
        </w:rPr>
        <w:t xml:space="preserve">Imports organise a long file but do not reduce its cost — an imported file loads together with the file importing it. Rules files with a paths declaration are the real lever: they load only when the agent touches matching files, which keeps the always-on layer small.</w:t>
      </w:r>
    </w:p>
    <w:p>
      <w:pPr>
        <w:spacing w:after="110"/>
      </w:pPr>
      <w:r>
        <w:rPr>
          <w:sz w:val="22"/>
        </w:rPr>
        <w:t xml:space="preserve">And the line that governs all of it: these files are treated as context, not as enforced configuration. An instruction in CLAUDE.md is a strong suggestion. A control is a hook or a permission. Confusing the two is how a firm believes it has a rule when it has a wish.</w:t>
      </w:r>
    </w:p>
    <w:p>
      <w:pPr>
        <w:keepNext/>
        <w:spacing w:before="260" w:after="110"/>
      </w:pPr>
      <w:r>
        <w:rPr>
          <w:b/>
          <w:sz w:val="24"/>
          <w:color w:val="C81E3C"/>
        </w:rPr>
        <w:t xml:space="preserve">What we do with it</w:t>
      </w:r>
    </w:p>
    <w:p>
      <w:pPr>
        <w:spacing w:after="110"/>
      </w:pPr>
      <w:r>
        <w:rPr>
          <w:sz w:val="22"/>
        </w:rPr>
        <w:t xml:space="preserve">• Write a project CLAUDE.md under two hundred lines holding only what would be got wrong without it. Everything longer moves to rules files with path triggers.</w:t>
      </w:r>
    </w:p>
    <w:p>
      <w:pPr>
        <w:spacing w:after="110"/>
      </w:pPr>
      <w:r>
        <w:rPr>
          <w:sz w:val="22"/>
        </w:rPr>
        <w:t xml:space="preserve">• Put the standing instruments — the gate, the battery, the markers, the register lines — in rules files that load when the matching work begins, rather than in prose a person re-reads.</w:t>
      </w:r>
    </w:p>
    <w:p>
      <w:pPr>
        <w:spacing w:after="110"/>
      </w:pPr>
      <w:r>
        <w:rPr>
          <w:sz w:val="22"/>
        </w:rPr>
        <w:t xml:space="preserve">• Let auto memory accumulate, and review it periodically. It is the first record we have ever had that survives a session without a person rebuilding it.</w:t>
      </w:r>
    </w:p>
    <w:p>
      <w:pPr>
        <w:spacing w:after="110"/>
      </w:pPr>
      <w:r>
        <w:rPr>
          <w:sz w:val="22"/>
        </w:rPr>
        <w:t xml:space="preserve">• Verify with the context command what actually loaded, rather than assuming. A file believed loaded and not loaded is a measurement that cannot fail, and chapter ten already names that family of fault.</w:t>
      </w:r>
    </w:p>
    <w:p>
      <w:pPr>
        <w:spacing w:after="110"/>
      </w:pPr>
      <w:r>
        <w:rPr>
          <w:sz w:val="22"/>
        </w:rPr>
        <w:t xml:space="preserve">• State the compaction rule in writing, so what is preserved when context is reduced is decided in advance rather than lost in the moment.</w:t>
      </w:r>
    </w:p>
    <w:p>
      <w:pPr>
        <w:pageBreakBefore/>
        <w:keepNext/>
        <w:spacing w:after="160"/>
      </w:pPr>
      <w:r>
        <w:rPr>
          <w:b/>
          <w:sz w:val="32"/>
          <w:color w:val="1F3864"/>
        </w:rPr>
        <w:t xml:space="preserve">20 · Hooks and subagents — control, and clean context</w:t>
      </w:r>
    </w:p>
    <w:p>
      <w:pPr>
        <w:spacing w:after="110"/>
      </w:pPr>
      <w:r>
        <w:rPr>
          <w:sz w:val="22"/>
        </w:rPr>
        <w:t xml:space="preserve">Added 31 October 2026. Two native mechanisms that close two of the eight gaps in chapter twelve, at no cost and no vendor.</w:t>
      </w:r>
    </w:p>
    <w:p>
      <w:pPr>
        <w:keepNext/>
        <w:spacing w:before="260" w:after="110"/>
      </w:pPr>
      <w:r>
        <w:rPr>
          <w:b/>
          <w:sz w:val="24"/>
          <w:color w:val="C81E3C"/>
        </w:rPr>
        <w:t xml:space="preserve">Hooks — the only thing in the stack that is actually a control</w:t>
      </w:r>
    </w:p>
    <w:p>
      <w:pPr>
        <w:spacing w:after="110"/>
      </w:pPr>
      <w:r>
        <w:rPr>
          <w:sz w:val="22"/>
        </w:rPr>
        <w:t xml:space="preserve">A hook is a shell command fired at a lifecycle event. It runs outside the model, and its context cost is zero unless it deliberately returns context. That combination is rare and valuable: enforcement that does not consume the thing it is protecting.</w:t>
      </w:r>
    </w:p>
    <w:p>
      <w:pPr>
        <w:spacing w:after="80"/>
      </w:pPr>
      <w:r>
        <w:rPr>
          <w:rFonts w:ascii="Consolas" w:hAnsi="Consolas"/>
          <w:sz w:val="19"/>
          <w:color w:val="1F3864"/>
        </w:rPr>
        <w:t xml:space="preserve">.claude/hooks/        or declared in .claude/settings.json</w:t>
      </w:r>
    </w:p>
    <w:p>
      <w:pPr>
        <w:spacing w:after="110"/>
      </w:pPr>
      <w:r>
        <w:rPr>
          <w:sz w:val="22"/>
        </w:rPr>
        <w:t xml:space="preserve">The patterns that matter to us: a validation hook that refuses an action rather than advising against it; a formatting hook that handles the last stretch of correctness automatically; a checkpoint hook that writes state at intervals so a crash costs a resume rather than a rebuild.</w:t>
      </w:r>
    </w:p>
    <w:p>
      <w:pPr>
        <w:spacing w:after="110"/>
      </w:pPr>
      <w:r>
        <w:rPr>
          <w:sz w:val="22"/>
        </w:rPr>
        <w:t xml:space="preserve">The caution is written in the documentation and adopted here: a hook becomes a control only when its event payload, its decision and its exit behaviour follow the documented contract. A hook that fires and is ignored is theatre. Start with one, prove an allowed action and a blocked action, and only then extend its scope.</w:t>
      </w:r>
    </w:p>
    <w:p>
      <w:pPr>
        <w:keepNext/>
        <w:spacing w:before="260" w:after="110"/>
      </w:pPr>
      <w:r>
        <w:rPr>
          <w:b/>
          <w:sz w:val="24"/>
          <w:color w:val="C81E3C"/>
        </w:rPr>
        <w:t xml:space="preserve">Subagents — context that does not crowd</w:t>
      </w:r>
    </w:p>
    <w:p>
      <w:pPr>
        <w:spacing w:after="110"/>
      </w:pPr>
      <w:r>
        <w:rPr>
          <w:sz w:val="22"/>
        </w:rPr>
        <w:t xml:space="preserve">A subagent is defined in a file, gets a fresh and isolated context window, and can declare its own tool allowlist, model and permissions. Research that would crowd out the build runs there instead, and returns an answer rather than a transcript.</w:t>
      </w:r>
    </w:p>
    <w:p>
      <w:pPr>
        <w:spacing w:after="80"/>
      </w:pPr>
      <w:r>
        <w:rPr>
          <w:rFonts w:ascii="Consolas" w:hAnsi="Consolas"/>
          <w:sz w:val="19"/>
          <w:color w:val="1F3864"/>
        </w:rPr>
        <w:t xml:space="preserve">.claude/agents/&lt;name&gt;.md</w:t>
      </w:r>
    </w:p>
    <w:p>
      <w:pPr>
        <w:spacing w:after="110"/>
      </w:pPr>
      <w:r>
        <w:rPr>
          <w:sz w:val="22"/>
        </w:rPr>
        <w:t xml:space="preserve">Two rules from practice. First, specific agents beat general ones — a feature-scoped agent selects better tools and carries tighter context than a vaguely titled one. Second, a delegated task is given a clear return condition: the files, the question, the edit permission and the evidence it must come back with. An agent without a return condition produces reading, not findings.</w:t>
      </w:r>
    </w:p>
    <w:p>
      <w:pPr>
        <w:spacing w:after="110"/>
      </w:pPr>
      <w:r>
        <w:rPr>
          <w:sz w:val="22"/>
        </w:rPr>
        <w:t xml:space="preserve">The isolation is the point and also the limit: subagents do not share memory with the coordinator or with each other, and auto memory is not loaded into them. Anything that must survive the handoff is written to a file, not held in a head.</w:t>
      </w:r>
    </w:p>
    <w:p>
      <w:pPr>
        <w:keepNext/>
        <w:spacing w:before="260" w:after="110"/>
      </w:pPr>
      <w:r>
        <w:rPr>
          <w:b/>
          <w:sz w:val="24"/>
          <w:color w:val="C81E3C"/>
        </w:rPr>
        <w:t xml:space="preserve">What this corrects in chapter eleven</w:t>
      </w:r>
    </w:p>
    <w:p>
      <w:pPr>
        <w:spacing w:after="110"/>
      </w:pPr>
      <w:r>
        <w:rPr>
          <w:sz w:val="22"/>
        </w:rPr>
        <w:t xml:space="preserve">Chapter eleven adopted an orchestrator to supply persistent memory and a handoff loop. Those two things are native, free and first-party, and should be built that way first. A third-party orchestrator is evaluated only after the native layer has been built and measured and found short. That is not a reversal of chapter eleven; it is the order of operations chapter eleven should have had.</w:t>
      </w:r>
    </w:p>
    <w:p>
      <w:pPr>
        <w:pageBreakBefore/>
        <w:keepNext/>
        <w:spacing w:after="160"/>
      </w:pPr>
      <w:r>
        <w:rPr>
          <w:b/>
          <w:sz w:val="32"/>
          <w:color w:val="1F3864"/>
        </w:rPr>
        <w:t xml:space="preserve">21 · The final scrub — what is still open</w:t>
      </w:r>
    </w:p>
    <w:p>
      <w:pPr>
        <w:spacing w:after="110"/>
      </w:pPr>
      <w:r>
        <w:rPr>
          <w:sz w:val="22"/>
        </w:rPr>
        <w:t xml:space="preserve">Added 31 October 2026 after a full read of this document against its own sources. What follows is what remains unclosed, stated so it is not mistaken for finished.</w:t>
      </w:r>
    </w:p>
    <w:p>
      <w:pPr>
        <w:keepNext/>
        <w:spacing w:before="260" w:after="110"/>
      </w:pPr>
      <w:r>
        <w:rPr>
          <w:b/>
          <w:sz w:val="24"/>
          <w:color w:val="C81E3C"/>
        </w:rPr>
        <w:t xml:space="preserve">Corrections this scrub makes</w:t>
      </w:r>
    </w:p>
    <w:p>
      <w:pPr>
        <w:spacing w:after="110"/>
      </w:pPr>
      <w:r>
        <w:rPr>
          <w:sz w:val="22"/>
        </w:rPr>
        <w:t xml:space="preserve">• Chapter eleven is resequenced. The memory and handoff fault is closed natively first; the orchestrator is evaluated after, against a measured shortfall rather than an assumed one.</w:t>
      </w:r>
    </w:p>
    <w:p>
      <w:pPr>
        <w:spacing w:after="110"/>
      </w:pPr>
      <w:r>
        <w:rPr>
          <w:sz w:val="22"/>
        </w:rPr>
        <w:t xml:space="preserve">• Chapter twelve’s gap five — instruments re-proved rather than retained — is closed by rules files and hooks, not by a purchase. The instruments become files that load when their work begins.</w:t>
      </w:r>
    </w:p>
    <w:p>
      <w:pPr>
        <w:spacing w:after="110"/>
      </w:pPr>
      <w:r>
        <w:rPr>
          <w:sz w:val="22"/>
        </w:rPr>
        <w:t xml:space="preserve">• Chapter twelve’s gap one is downgraded from a buying decision to a build decision. It is the single largest change this scrub produces.</w:t>
      </w:r>
    </w:p>
    <w:p>
      <w:pPr>
        <w:keepNext/>
        <w:spacing w:before="260" w:after="110"/>
      </w:pPr>
      <w:r>
        <w:rPr>
          <w:b/>
          <w:sz w:val="24"/>
          <w:color w:val="C81E3C"/>
        </w:rPr>
        <w:t xml:space="preserve">What is still genuinely open</w:t>
      </w:r>
    </w:p>
    <w:p>
      <w:pPr>
        <w:spacing w:after="110"/>
      </w:pPr>
      <w:r>
        <w:rPr>
          <w:sz w:val="22"/>
        </w:rPr>
        <w:t xml:space="preserve">• No scheduled unattended run exists. The cheapest unclaimed gain in the document, named in chapter twelve and still unclaimed.</w:t>
      </w:r>
    </w:p>
    <w:p>
      <w:pPr>
        <w:spacing w:after="110"/>
      </w:pPr>
      <w:r>
        <w:rPr>
          <w:sz w:val="22"/>
        </w:rPr>
        <w:t xml:space="preserve">• No drift watch exists. A source that stops answering is still found by a person noticing.</w:t>
      </w:r>
    </w:p>
    <w:p>
      <w:pPr>
        <w:spacing w:after="110"/>
      </w:pPr>
      <w:r>
        <w:rPr>
          <w:sz w:val="22"/>
        </w:rPr>
        <w:t xml:space="preserve">• Write access for delivery is still absent; every build still passes through a human upload, and the gate remains the only control over it.</w:t>
      </w:r>
    </w:p>
    <w:p>
      <w:pPr>
        <w:spacing w:after="110"/>
      </w:pPr>
      <w:r>
        <w:rPr>
          <w:sz w:val="22"/>
        </w:rPr>
        <w:t xml:space="preserve">• PostHog remains unverified, as chapter six states.</w:t>
      </w:r>
    </w:p>
    <w:p>
      <w:pPr>
        <w:spacing w:after="110"/>
      </w:pPr>
      <w:r>
        <w:rPr>
          <w:sz w:val="22"/>
        </w:rPr>
        <w:t xml:space="preserve">• The federal structured-data route flagged in chapter thirteen remains untested, and it may reopen a source class we wrote off.</w:t>
      </w:r>
    </w:p>
    <w:p>
      <w:pPr>
        <w:keepNext/>
        <w:spacing w:before="260" w:after="110"/>
      </w:pPr>
      <w:r>
        <w:rPr>
          <w:b/>
          <w:sz w:val="24"/>
          <w:color w:val="C81E3C"/>
        </w:rPr>
        <w:t xml:space="preserve">The habit this document is really about</w:t>
      </w:r>
    </w:p>
    <w:p>
      <w:pPr>
        <w:spacing w:after="110"/>
      </w:pPr>
      <w:r>
        <w:rPr>
          <w:sz w:val="22"/>
        </w:rPr>
        <w:t xml:space="preserve">Three times now the same fault has produced the same lesson. The Florida register was free while we spent reads. The native memory layer was free while we priced an orchestrator. In both cases the capability existed, was documented, and was not read.</w:t>
      </w:r>
    </w:p>
    <w:p>
      <w:pPr>
        <w:spacing w:after="110"/>
      </w:pPr>
      <w:r>
        <w:rPr>
          <w:sz w:val="22"/>
        </w:rPr>
        <w:t xml:space="preserve">Tooling does not close that gap. The standing instruction does: before anything is bought, built or assumed, the source is read and the date of the read is recorded. Everything else in this document is downstream of that one sentence.</w:t>
      </w:r>
    </w:p>
    <w:p>
      <w:pPr>
        <w:pageBreakBefore/>
        <w:keepNext/>
        <w:spacing w:after="160"/>
      </w:pPr>
      <w:r>
        <w:rPr>
          <w:b/>
          <w:sz w:val="30"/>
          <w:color w:val="1F3864"/>
        </w:rPr>
        <w:t xml:space="preserve">22 · The plugin directory — the instrument gap</w:t>
      </w:r>
    </w:p>
    <w:p>
      <w:pPr>
        <w:spacing w:after="120"/>
      </w:pPr>
      <w:r>
        <w:rPr>
          <w:sz w:val="22"/>
        </w:rPr>
        <w:t xml:space="preserve">Added 31 October 2026. Chapter three adopts the open skills ecosystem and never names Anthropic’s own directory. That is an omission, not a judgement: 315 plugins sit in the official catalogue, installed by one command, maintained by the people who build the tool we run on. Three of them close faults this programme has measured.</w:t>
      </w:r>
    </w:p>
    <w:p>
      <w:pPr>
        <w:keepNext/>
        <w:spacing w:before="160" w:after="100"/>
      </w:pPr>
      <w:r>
        <w:rPr>
          <w:b/>
          <w:sz w:val="24"/>
          <w:color w:val="C81E3C"/>
        </w:rPr>
        <w:t xml:space="preserve">What it is</w:t>
      </w:r>
    </w:p>
    <w:p>
      <w:pPr>
        <w:spacing w:after="120"/>
      </w:pPr>
      <w:r>
        <w:rPr>
          <w:sz w:val="22"/>
        </w:rPr>
        <w:t xml:space="preserve">A first-party plugin catalogue for Claude Code. A plugin carries skills, commands, hooks, agents or an MCP server, and installs in one line. Scope is chosen at install, so a plugin can be live in one project and absent from another.</w:t>
      </w:r>
    </w:p>
    <w:p>
      <w:pPr>
        <w:spacing w:after="60"/>
        <w:ind w:left="340"/>
      </w:pPr>
      <w:r>
        <w:rPr>
          <w:rFonts w:ascii="Consolas" w:hAnsi="Consolas"/>
          <w:sz w:val="19"/>
        </w:rPr>
        <w:t xml:space="preserve">/plugin install NAME@claude-plugins-official</w:t>
      </w:r>
    </w:p>
    <w:p>
      <w:pPr>
        <w:keepNext/>
        <w:spacing w:before="160" w:after="100"/>
      </w:pPr>
      <w:r>
        <w:rPr>
          <w:b/>
          <w:sz w:val="24"/>
          <w:color w:val="C81E3C"/>
        </w:rPr>
        <w:t xml:space="preserve">The three that close a measured fault</w:t>
      </w:r>
    </w:p>
    <w:p>
      <w:pPr>
        <w:spacing w:after="80"/>
        <w:ind w:left="340" w:hanging="200"/>
      </w:pPr>
      <w:r>
        <w:rPr>
          <w:sz w:val="22"/>
        </w:rPr>
        <w:t xml:space="preserve">• session-report — where the capacity went. We have no instrument for our own consumption. Every other figure in this programme is measured; this one is guessed at, and a figure that cannot be read is the exact condition the standard refuses. This closes it.</w:t>
      </w:r>
    </w:p>
    <w:p>
      <w:pPr>
        <w:spacing w:after="80"/>
        <w:ind w:left="340" w:hanging="200"/>
      </w:pPr>
      <w:r>
        <w:rPr>
          <w:sz w:val="22"/>
        </w:rPr>
        <w:t xml:space="preserve">• claude-md-management — the instruction file kept current. Our governing instructions have drifted and been rebuilt by hand more than once. The published guidance is a ceiling of two hundred lines with repeated workflows moved into skills; this plugin keeps the file to that shape rather than trusting discipline.</w:t>
      </w:r>
    </w:p>
    <w:p>
      <w:pPr>
        <w:spacing w:after="80"/>
        <w:ind w:left="340" w:hanging="200"/>
      </w:pPr>
      <w:r>
        <w:rPr>
          <w:sz w:val="22"/>
        </w:rPr>
        <w:t xml:space="preserve">• hookify — a guard that refuses. It blocks what has been banned, at the moment of the attempt. The programme already holds that a guard inherited is a guard unexamined; a guard that fires is better than a rule that is remembered. This is register-line discipline expressed as tooling.</w:t>
      </w:r>
    </w:p>
    <w:p>
      <w:pPr>
        <w:keepNext/>
        <w:spacing w:before="160" w:after="100"/>
      </w:pPr>
      <w:r>
        <w:rPr>
          <w:b/>
          <w:sz w:val="24"/>
          <w:color w:val="C81E3C"/>
        </w:rPr>
        <w:t xml:space="preserve">The rest, named so they are not revisited</w:t>
      </w:r>
    </w:p>
    <w:p>
      <w:pPr>
        <w:spacing w:after="80"/>
        <w:ind w:left="340" w:hanging="200"/>
      </w:pPr>
      <w:r>
        <w:rPr>
          <w:sz w:val="22"/>
        </w:rPr>
        <w:t xml:space="preserve">• frontend-design, playground, hyperframes — presentation and prototyping. No measured fault.</w:t>
      </w:r>
    </w:p>
    <w:p>
      <w:pPr>
        <w:spacing w:after="80"/>
        <w:ind w:left="340" w:hanging="200"/>
      </w:pPr>
      <w:r>
        <w:rPr>
          <w:sz w:val="22"/>
        </w:rPr>
        <w:t xml:space="preserve">• skill-creator — adopt only when we write a skill of our own; search first remains the rule.</w:t>
      </w:r>
    </w:p>
    <w:p>
      <w:pPr>
        <w:spacing w:after="80"/>
        <w:ind w:left="340" w:hanging="200"/>
      </w:pPr>
      <w:r>
        <w:rPr>
          <w:sz w:val="22"/>
        </w:rPr>
        <w:t xml:space="preserve">• canva, notion, postiz, zapier — integration surfaces we already reach, or would reach, through Composio. One gateway, not four keys.</w:t>
      </w:r>
    </w:p>
    <w:p>
      <w:pPr>
        <w:spacing w:after="80"/>
        <w:ind w:left="340" w:hanging="200"/>
      </w:pPr>
      <w:r>
        <w:rPr>
          <w:sz w:val="22"/>
        </w:rPr>
        <w:t xml:space="preserve">• superpowers — fifteen skills with hooks, widely installed. Interesting, unmeasured. Not adopted until a fault names it.</w:t>
      </w:r>
    </w:p>
    <w:p>
      <w:pPr>
        <w:keepNext/>
        <w:spacing w:before="160" w:after="100"/>
      </w:pPr>
      <w:r>
        <w:rPr>
          <w:b/>
          <w:sz w:val="24"/>
          <w:color w:val="C81E3C"/>
        </w:rPr>
        <w:t xml:space="preserve">The condition on adopting any of them</w:t>
      </w:r>
    </w:p>
    <w:p>
      <w:pPr>
        <w:spacing w:after="120"/>
      </w:pPr>
      <w:r>
        <w:rPr>
          <w:sz w:val="22"/>
        </w:rPr>
        <w:t xml:space="preserve">A plugin runs inside our build with our permissions. The same rule that governs Composio governs this: scope it to the project that needs it, and nothing more. Install the three named, read what they report, and let the reading decide whether a fourth is ever added.</w:t>
      </w:r>
    </w:p>
    <w:p>
      <w:pPr>
        <w:pageBreakBefore/>
        <w:keepNext/>
        <w:spacing w:after="160"/>
      </w:pPr>
      <w:r>
        <w:rPr>
          <w:b/>
          <w:sz w:val="30"/>
          <w:color w:val="1F3864"/>
        </w:rPr>
        <w:t xml:space="preserve">23 · Capacity discipline — the fault that produced this record</w:t>
      </w:r>
    </w:p>
    <w:p>
      <w:pPr>
        <w:spacing w:after="120"/>
      </w:pPr>
      <w:r>
        <w:rPr>
          <w:sz w:val="22"/>
        </w:rPr>
        <w:t xml:space="preserve">Added 31 October 2026. Every section before this one makes an outside door open. This one is about the inside: how the programme spends its own working capacity. It belongs in the stack because session death is the measured fault that produced the governing-document discipline in the first place. We have rebuilt state from documents more than once in a single day. That is not a tooling gap; it is a spending pattern.</w:t>
      </w:r>
    </w:p>
    <w:p>
      <w:pPr>
        <w:keepNext/>
        <w:spacing w:before="160" w:after="100"/>
      </w:pPr>
      <w:r>
        <w:rPr>
          <w:b/>
          <w:sz w:val="24"/>
          <w:color w:val="C81E3C"/>
        </w:rPr>
        <w:t xml:space="preserve">The seven that cost us the most</w:t>
      </w:r>
    </w:p>
    <w:p>
      <w:pPr>
        <w:spacing w:after="80"/>
        <w:ind w:left="340" w:hanging="200"/>
      </w:pPr>
      <w:r>
        <w:rPr>
          <w:sz w:val="22"/>
        </w:rPr>
        <w:t xml:space="preserve">• Never return to a long chat to continue it. The cache has expired, so the whole conversation is re-read and paid for again. Start fresh and carry the record forward in a document — which is what the governing set already exists to do.</w:t>
      </w:r>
    </w:p>
    <w:p>
      <w:pPr>
        <w:spacing w:after="80"/>
        <w:ind w:left="340" w:hanging="200"/>
      </w:pPr>
      <w:r>
        <w:rPr>
          <w:sz w:val="22"/>
        </w:rPr>
        <w:t xml:space="preserve">• Edit the prompt rather than correct the answer. Every correction is re-read on every turn thereafter, permanently. A rewritten first message costs once.</w:t>
      </w:r>
    </w:p>
    <w:p>
      <w:pPr>
        <w:spacing w:after="80"/>
        <w:ind w:left="340" w:hanging="200"/>
      </w:pPr>
      <w:r>
        <w:rPr>
          <w:sz w:val="22"/>
        </w:rPr>
        <w:t xml:space="preserve">• Crop every screenshot. A full phone capture runs into the thousands; a crop of the part that matters runs under a hundred. The same image, a fraction of the cost, and the reader sees the thing you meant.</w:t>
      </w:r>
    </w:p>
    <w:p>
      <w:pPr>
        <w:spacing w:after="80"/>
        <w:ind w:left="340" w:hanging="200"/>
      </w:pPr>
      <w:r>
        <w:rPr>
          <w:sz w:val="22"/>
        </w:rPr>
        <w:t xml:space="preserve">• Ask three things in one message. Three separate messages are three full re-reads of everything above them.</w:t>
      </w:r>
    </w:p>
    <w:p>
      <w:pPr>
        <w:spacing w:after="80"/>
        <w:ind w:left="340" w:hanging="200"/>
      </w:pPr>
      <w:r>
        <w:rPr>
          <w:sz w:val="22"/>
        </w:rPr>
        <w:t xml:space="preserve">• Three rules per instruction, at most. Beyond that, adherence collapses — and an instruction that is not followed is worse than one never given, because it is believed.</w:t>
      </w:r>
    </w:p>
    <w:p>
      <w:pPr>
        <w:spacing w:after="80"/>
        <w:ind w:left="340" w:hanging="200"/>
      </w:pPr>
      <w:r>
        <w:rPr>
          <w:sz w:val="22"/>
        </w:rPr>
        <w:t xml:space="preserve">• A workflow repeated is a skill, not a paste. Anything done the same way twice belongs in a skill or in the project instructions, written once.</w:t>
      </w:r>
    </w:p>
    <w:p>
      <w:pPr>
        <w:spacing w:after="80"/>
        <w:ind w:left="340" w:hanging="200"/>
      </w:pPr>
      <w:r>
        <w:rPr>
          <w:sz w:val="22"/>
        </w:rPr>
        <w:t xml:space="preserve">• Documents that recur live in the Project, not in the message. Cached content costs less, and the alternative is uploading the same file for the fifth time.</w:t>
      </w:r>
    </w:p>
    <w:p>
      <w:pPr>
        <w:keepNext/>
        <w:spacing w:before="160" w:after="100"/>
      </w:pPr>
      <w:r>
        <w:rPr>
          <w:b/>
          <w:sz w:val="24"/>
          <w:color w:val="C81E3C"/>
        </w:rPr>
        <w:t xml:space="preserve">Model and effort, chosen rather than defaulted</w:t>
      </w:r>
    </w:p>
    <w:p>
      <w:pPr>
        <w:spacing w:after="120"/>
      </w:pPr>
      <w:r>
        <w:rPr>
          <w:sz w:val="22"/>
        </w:rPr>
        <w:t xml:space="preserve">A light model for retrieval, formatting and short edits; the heavy model for multi-step reasoning, a hard measurement or a build. Lower the effort for routine work, and turn off web search, research and connectors that are not in use. The cost of leaving everything on is paid on every message, including the ones that needed none of it.</w:t>
      </w:r>
    </w:p>
    <w:p>
      <w:pPr>
        <w:keepNext/>
        <w:spacing w:before="160" w:after="100"/>
      </w:pPr>
      <w:r>
        <w:rPr>
          <w:b/>
          <w:sz w:val="24"/>
          <w:color w:val="C81E3C"/>
        </w:rPr>
        <w:t xml:space="preserve">The two instruments</w:t>
      </w:r>
    </w:p>
    <w:p>
      <w:pPr>
        <w:spacing w:after="80"/>
        <w:ind w:left="340" w:hanging="200"/>
      </w:pPr>
      <w:r>
        <w:rPr>
          <w:sz w:val="22"/>
        </w:rPr>
        <w:t xml:space="preserve">• session-report, from chapter twenty-two, reads where the capacity actually went. Until it runs, every sentence above is a plausible rule rather than a measured one.</w:t>
      </w:r>
    </w:p>
    <w:p>
      <w:pPr>
        <w:spacing w:after="80"/>
        <w:ind w:left="340" w:hanging="200"/>
      </w:pPr>
      <w:r>
        <w:rPr>
          <w:sz w:val="22"/>
        </w:rPr>
        <w:t xml:space="preserve">• Ruflo, from chapter eleven, is the structural answer to the same fault: state that survives the session instead of being rebuilt from documents by hand.</w:t>
      </w:r>
    </w:p>
    <w:p>
      <w:pPr>
        <w:keepNext/>
        <w:spacing w:before="160" w:after="100"/>
      </w:pPr>
      <w:r>
        <w:rPr>
          <w:b/>
          <w:sz w:val="24"/>
          <w:color w:val="C81E3C"/>
        </w:rPr>
        <w:t xml:space="preserve">The line that governs</w:t>
      </w:r>
    </w:p>
    <w:p>
      <w:pPr>
        <w:spacing w:after="120"/>
      </w:pPr>
      <w:r>
        <w:rPr>
          <w:sz w:val="22"/>
        </w:rPr>
        <w:t xml:space="preserve">Capacity is a resource with a cost, and an unmeasured cost is a figure stated without a source. We hold every other number in this programme to that standard. This one has been exempt, and section twelve ends the exemption.</w:t>
      </w:r>
    </w:p>
    <w:p>
      <w:pPr>
        <w:pageBreakBefore/>
        <w:keepNext/>
        <w:spacing w:after="160"/>
      </w:pPr>
      <w:r>
        <w:rPr>
          <w:b/>
          <w:sz w:val="30"/>
          <w:color w:val="1F3864"/>
        </w:rPr>
        <w:t xml:space="preserve">24 · What was reviewed on 31 October and not adopted</w:t>
      </w:r>
    </w:p>
    <w:p>
      <w:pPr>
        <w:keepNext/>
        <w:spacing w:before="160" w:after="100"/>
      </w:pPr>
      <w:r>
        <w:rPr>
          <w:b/>
          <w:sz w:val="24"/>
          <w:color w:val="C81E3C"/>
        </w:rPr>
        <w:t xml:space="preserve">A gated skills collection</w:t>
      </w:r>
    </w:p>
    <w:p>
      <w:pPr>
        <w:spacing w:after="120"/>
      </w:pPr>
      <w:r>
        <w:rPr>
          <w:sz w:val="22"/>
        </w:rPr>
        <w:t xml:space="preserve">A published set of thirty-nine Claude skills for the product cycle, offered in exchange for a comment on a social post. The content may be sound; the access route is not verifiable at a source, and our own rule requires a dated source line on anything a build depends on. No measured fault is named by it. Not adopted.</w:t>
      </w:r>
    </w:p>
    <w:p>
      <w:pPr>
        <w:keepNext/>
        <w:spacing w:before="160" w:after="100"/>
      </w:pPr>
      <w:r>
        <w:rPr>
          <w:b/>
          <w:sz w:val="24"/>
          <w:color w:val="C81E3C"/>
        </w:rPr>
        <w:t xml:space="preserve">A competing platform</w:t>
      </w:r>
    </w:p>
    <w:p>
      <w:pPr>
        <w:spacing w:after="120"/>
      </w:pPr>
      <w:r>
        <w:rPr>
          <w:sz w:val="22"/>
        </w:rPr>
        <w:t xml:space="preserve">A marketing platform announcing some three hundred features, including an AI application builder, AI project management, branded payments, an MCP connection and computer-using managed agents, promoted with a referral link. Two observations settle it. The MCP capability we already reach through the gateway in section four, scoped and audited. And the platform is not a component of Dash; it is an alternative to it. Adopting it would not fill a gap in the stack. It would replace the product this firm sells. Not adopted.</w:t>
      </w:r>
    </w:p>
    <w:p>
      <w:pPr>
        <w:keepNext/>
        <w:spacing w:before="160" w:after="100"/>
      </w:pPr>
      <w:r>
        <w:rPr>
          <w:b/>
          <w:sz w:val="24"/>
          <w:color w:val="C81E3C"/>
        </w:rPr>
        <w:t xml:space="preserve">A financial diagnostic, routed rather than refused</w:t>
      </w:r>
    </w:p>
    <w:p>
      <w:pPr>
        <w:spacing w:after="120"/>
      </w:pPr>
      <w:r>
        <w:rPr>
          <w:sz w:val="22"/>
        </w:rPr>
        <w:t xml:space="preserve">A seven-signal read on whether reported numbers tell the truth: revenue rising while free cash flow falls, margin bought with price cuts, receivables growing against flat sales, profit that does not convert to cash, inventory sitting longer, liquidity tightening as revenue grows, and overhead outrunning the top line. This is not a build-stack item and it is not discarded. Two of the seven are already built in Dash Books as earnings-quality measures. The three unbuilt — days inventory outstanding as a trend, the current ratio read against revenue growth, and the widening gap between gross and operating margin — are logged as a Books item. A good instrument in the wrong document is still a good instrument; it goes where it is read.</w:t>
      </w:r>
    </w:p>
    <w:p>
      <w:pPr>
        <w:pageBreakBefore/>
        <w:keepNext/>
        <w:spacing w:after="160"/>
      </w:pPr>
      <w:r>
        <w:rPr>
          <w:b/>
          <w:sz w:val="30"/>
          <w:color w:val="1F3864"/>
        </w:rPr>
        <w:t xml:space="preserve">25 · The numbering correction, and where this document now lives</w:t>
      </w:r>
    </w:p>
    <w:p>
      <w:pPr>
        <w:keepNext/>
        <w:spacing w:before="160" w:after="100"/>
      </w:pPr>
      <w:r>
        <w:rPr>
          <w:b/>
          <w:sz w:val="24"/>
          <w:color w:val="C81E3C"/>
        </w:rPr>
        <w:t xml:space="preserve">The collision, corrected rather than overwritten</w:t>
      </w:r>
    </w:p>
    <w:p>
      <w:pPr>
        <w:spacing w:after="120"/>
      </w:pPr>
      <w:r>
        <w:rPr>
          <w:sz w:val="22"/>
        </w:rPr>
        <w:t xml:space="preserve">Three chapters added on 31 October 2026 — the plugin directory, capacity discipline, and the 31 October review — were filed as 12, 13 and 14. Those numbers were already held by the gaps audit, the source layer and the ruvnet reading. Two chapters sharing a number is exactly what a register exists to prevent, so they are renumbered here to 22, 23 and 24, and the correction is written down rather than applied silently.</w:t>
      </w:r>
    </w:p>
    <w:p>
      <w:pPr>
        <w:spacing w:before="120" w:after="160"/>
        <w:ind w:left="200"/>
        <w:pBdr>
          <w:left w:val="single" w:sz="18" w:space="10" w:color="C81E3C"/>
        </w:pBdr>
      </w:pPr>
      <w:r>
        <w:rPr>
          <w:b/>
          <w:i/>
          <w:sz w:val="22"/>
          <w:color w:val="1F3864"/>
        </w:rPr>
        <w:t xml:space="preserve">A correction is recorded where the reader will meet it. A document that quietly renumbers itself is a record of the present opinion, not of what happened.</w:t>
      </w:r>
    </w:p>
    <w:p>
      <w:pPr>
        <w:keepNext/>
        <w:spacing w:before="160" w:after="100"/>
      </w:pPr>
      <w:r>
        <w:rPr>
          <w:b/>
          <w:sz w:val="24"/>
          <w:color w:val="C81E3C"/>
        </w:rPr>
        <w:t xml:space="preserve">Where this document now lives</w:t>
      </w:r>
    </w:p>
    <w:p>
      <w:pPr>
        <w:spacing w:after="120"/>
      </w:pPr>
      <w:r>
        <w:rPr>
          <w:sz w:val="22"/>
        </w:rPr>
        <w:t xml:space="preserve">Every chapter of this stack is carried in full inside The Core State Build, Version 7, as Part Two, chapters 12 to 29. That is the governing copy and the one a build reads. This document remains the working record of how the stack was assembled and why each decision was taken, and it is kept for that reason.</w:t>
      </w:r>
    </w:p>
    <w:p>
      <w:pPr>
        <w:spacing w:after="80"/>
        <w:ind w:left="340" w:hanging="200"/>
      </w:pPr>
      <w:r>
        <w:rPr>
          <w:sz w:val="22"/>
        </w:rPr>
        <w:t xml:space="preserve">• The method, the stack, the council, the record, the source directory and the naming standard now sit in one governing document rather than four.</w:t>
      </w:r>
    </w:p>
    <w:p>
      <w:pPr>
        <w:spacing w:after="80"/>
        <w:ind w:left="340" w:hanging="200"/>
      </w:pPr>
      <w:r>
        <w:rPr>
          <w:sz w:val="22"/>
        </w:rPr>
        <w:t xml:space="preserve">• The Business Development Source Directory is folded into Version 7 as Part Five, with every source a live link — 488 across a national layer and twenty-six markets.</w:t>
      </w:r>
    </w:p>
    <w:p>
      <w:pPr>
        <w:spacing w:after="80"/>
        <w:ind w:left="340" w:hanging="200"/>
      </w:pPr>
      <w:r>
        <w:rPr>
          <w:sz w:val="22"/>
        </w:rPr>
        <w:t xml:space="preserve">• The naming standard from the Item 320 Florida 100 run is folded in as Part Six.</w:t>
      </w:r>
    </w:p>
    <w:p>
      <w:pPr>
        <w:spacing w:after="120"/>
      </w:pPr>
      <w:r>
        <w:rPr>
          <w:sz w:val="22"/>
        </w:rPr>
        <w:t xml:space="preserve">Read this document to understand how a decision was reached. Read Version 7 to build.</w:t>
      </w:r>
    </w:p>
    <w:sectPr>
      <w:footerReference w:type="default" r:id="rId8"/>
      <w:pgSz w:w="12240" w:h="15840"/>
      <w:pgMar w:top="1200" w:right="1440" w:bottom="1200" w:left="1440" w:header="720" w:footer="576"/>
      <w:pgBorders w:offsetFrom="page">
        <w:top w:val="single" w:sz="6" w:space="24" w:color="C81E3C"/>
        <w:left w:val="single" w:sz="6" w:space="24" w:color="C81E3C"/>
        <w:bottom w:val="single" w:sz="6" w:space="24" w:color="C81E3C"/>
        <w:right w:val="single" w:sz="6" w:space="24" w:color="C81E3C"/>
      </w:pgBorders>
    </w:sectPr>
  </w:body>
</w:document>
</file>

<file path=word/footer1.xml><?xml version="1.0" encoding="utf-8"?>
<w:ftr xmlns:w="http://schemas.openxmlformats.org/wordprocessingml/2006/main">
  <w:p>
    <w:pPr>
      <w:jc w:val="center"/>
      <w:rPr>
        <w:sz w:val="16"/>
        <w:color w:val="7F7F7F"/>
      </w:rPr>
    </w:pPr>
    <w:r>
      <w:rPr>
        <w:sz w:val="16"/>
        <w:color w:val="7F7F7F"/>
      </w:rPr>
      <w:t xml:space="preserve">DRA 2026–2027 Core Build Standard  ·  Page </w:t>
    </w:r>
    <w:r>
      <w:rPr>
        <w:sz w:val="16"/>
        <w:color w:val="7F7F7F"/>
      </w:rPr>
      <w:fldChar w:fldCharType="begin"/>
    </w:r>
    <w:r>
      <w:rPr>
        <w:sz w:val="16"/>
      </w:rPr>
      <w:instrText xml:space="preserve"> PAGE </w:instrText>
    </w:r>
    <w:r>
      <w:rPr>
        <w:sz w:val="16"/>
      </w:rPr>
      <w:fldChar w:fldCharType="separate"/>
    </w:r>
    <w:r>
      <w:rPr>
        <w:sz w:val="16"/>
        <w:color w:val="7F7F7F"/>
      </w:rPr>
      <w:t>1</w:t>
    </w:r>
    <w:r>
      <w:rPr>
        <w:sz w:val="16"/>
      </w:rPr>
      <w:fldChar w:fldCharType="end"/>
    </w:r>
    <w:r>
      <w:rPr>
        <w:sz w:val="16"/>
        <w:color w:val="7F7F7F"/>
      </w:rPr>
      <w:t xml:space="preserve"> of </w:t>
    </w:r>
    <w:r>
      <w:rPr>
        <w:sz w:val="16"/>
      </w:rPr>
      <w:fldChar w:fldCharType="begin"/>
    </w:r>
    <w:r>
      <w:rPr>
        <w:sz w:val="16"/>
      </w:rPr>
      <w:instrText xml:space="preserve"> NUMPAGES </w:instrText>
    </w:r>
    <w:r>
      <w:rPr>
        <w:sz w:val="16"/>
      </w:rPr>
      <w:fldChar w:fldCharType="separate"/>
    </w:r>
    <w:r>
      <w:rPr>
        <w:sz w:val="16"/>
        <w:color w:val="7F7F7F"/>
      </w:rPr>
      <w:t>1</w:t>
    </w:r>
    <w:r>
      <w:rPr>
        <w:sz w:val="16"/>
      </w:rPr>
      <w:fldChar w:fldCharType="end"/>
    </w:r>
  </w:p>
</w:ftr>
</file>

<file path=word/styles.xml><?xml version="1.0" encoding="utf-8"?>
<w:styles xmlns:w="http://schemas.openxmlformats.org/wordprocessingml/2006/main">
  <w:docDefaults>
    <w:rPrDefault>
      <w:rPr>
        <w:rFonts w:ascii="Calibri" w:hAnsi="Calibri" w:cs="Calibri"/>
        <w:sz w:val="22"/>
        <w:szCs w:val="22"/>
      </w:rPr>
    </w:rPrDefault>
    <w:pPrDefault>
      <w:pPr>
        <w:widowControl/>
      </w:pPr>
    </w:pPrDefault>
  </w:docDefaults>
</w:styles>
</file>

<file path=word/_rels/document.xml.rels><?xml version='1.0' encoding='UTF-8' standalone='yes'?>
<Relationships xmlns="http://schemas.openxmlformats.org/package/2006/relationships"><Relationship Id="rId7" Type="http://schemas.openxmlformats.org/officeDocument/2006/relationships/styles" Target="styles.xml"/><Relationship Id="rId8" Type="http://schemas.openxmlformats.org/officeDocument/2006/relationships/footer" Target="footer1.xml"/><Relationship Id="rId9" Type="http://schemas.openxmlformats.org/officeDocument/2006/relationships/image" Target="media/mono.png"/><Relationship Id="rIdMono" Type="http://schemas.openxmlformats.org/officeDocument/2006/relationships/image" Target="media/mono.png"/></Relationships>
</file>