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60"/>
      </w:pPr>
      <w:r>
        <w:rPr>
          <w:b/>
          <w:sz w:val="44"/>
          <w:color w:val="1F3864"/>
        </w:rPr>
        <w:t xml:space="preserve">Market Build — Florida · Chicago · Illinois</w:t>
      </w:r>
    </w:p>
    <w:p>
      <w:pPr>
        <w:spacing w:after="240"/>
      </w:pPr>
      <w:r>
        <w:rPr>
          <w:sz w:val="20"/>
          <w:color w:val="C81E3C"/>
        </w:rPr>
        <w:t xml:space="preserve">DashRite Advisory LLC · Governing brief · Version 5 · 31 October 2026 · Supersedes BRIEF-FL-IL-Chicago-v4 · On the Core State Build Version 7 and Build Stack Version 2 footing</w:t>
      </w:r>
    </w:p>
    <w:p>
      <w:pPr>
        <w:spacing w:after="120"/>
      </w:pPr>
      <w:r>
        <w:rPr>
          <w:sz w:val="22"/>
        </w:rPr>
        <w:t xml:space="preserve">The comprehensive brief for the three markets that will be worked first, and the template every market after them inherits. It carries the method from the Core State Build, the three practices this firm actually sells, the repository’s own integrity gaps, and the reporting that closes a market. Nothing here is a summary: a brief that paraphrases its governing document is a second source of truth, and a second source of truth is how a programme starts disagreeing with itself.</w:t>
      </w:r>
    </w:p>
    <w:p>
      <w:pPr>
        <w:keepNext/>
        <w:spacing w:before="160" w:after="100"/>
      </w:pPr>
      <w:r>
        <w:rPr>
          <w:b/>
          <w:sz w:val="24"/>
          <w:color w:val="C81E3C"/>
        </w:rPr>
        <w:t xml:space="preserve">Why these three, and in this order</w:t>
      </w:r>
    </w:p>
    <w:p>
      <w:pPr>
        <w:spacing w:after="120"/>
      </w:pPr>
      <w:r>
        <w:rPr>
          <w:sz w:val="22"/>
        </w:rPr>
        <w:t>Florida is finished to the method’s own standard and is the only market with a console, a Core BD Report and a measured close. It is the benchmark. Chicago is a metro file sitting inside a state that publishes its register free for a person to download and prohibits automated queries to its website, which makes it the first real test of whether the access class travels. Illinois is that jurisdiction itself, and the first market where step zero changes what may legitimately be done rather than merely what is efficient. (Corrected 2026-10-31 by the Chair’s ruling: two pages read where one had been.)</w:t>
      </w:r>
    </w:p>
    <w:p>
      <w:pPr>
        <w:spacing w:after="120"/>
      </w:pPr>
      <w:r>
        <w:rPr>
          <w:sz w:val="22"/>
        </w:rPr>
        <w:t xml:space="preserve">Work them in that order. Florida proves the practice field against a market we already understand. Chicago proves the overlap rule against a market that genuinely overlaps. Illinois proves that a prohibition is honoured when the technical capability to ignore it exists.</w:t>
      </w:r>
    </w:p>
    <w:p>
      <w:pPr>
        <w:keepNext/>
        <w:spacing w:before="160" w:after="100"/>
      </w:pPr>
      <w:r>
        <w:rPr>
          <w:b/>
          <w:sz w:val="24"/>
          <w:color w:val="C81E3C"/>
        </w:rPr>
        <w:t xml:space="preserve">What version 5 adds to version 4</w:t>
      </w:r>
    </w:p>
    <w:p>
      <w:pPr>
        <w:spacing w:after="80"/>
        <w:ind w:left="340" w:hanging="200"/>
      </w:pPr>
      <w:r>
        <w:rPr>
          <w:sz w:val="22"/>
        </w:rPr>
        <w:t xml:space="preserve">• Eight integrity gaps found in this pass that version 4 did not carry, one of which blocks the brief’s own purpose.</w:t>
      </w:r>
    </w:p>
    <w:p>
      <w:pPr>
        <w:spacing w:after="80"/>
        <w:ind w:left="340" w:hanging="200"/>
      </w:pPr>
      <w:r>
        <w:rPr>
          <w:sz w:val="22"/>
        </w:rPr>
        <w:t xml:space="preserve">• The three practices defined as row-level tests, because the brief asks for leads for Acquisitions, Fractionals and Private Equity and the files cannot currently tell them apart.</w:t>
      </w:r>
    </w:p>
    <w:p>
      <w:pPr>
        <w:spacing w:after="80"/>
        <w:ind w:left="340" w:hanging="200"/>
      </w:pPr>
      <w:r>
        <w:rPr>
          <w:sz w:val="22"/>
        </w:rPr>
        <w:t xml:space="preserve">• A gate finding: the working copies in the project are stale against the live repository, measured.</w:t>
      </w:r>
    </w:p>
    <w:p>
      <w:pPr>
        <w:spacing w:after="80"/>
        <w:ind w:left="340" w:hanging="200"/>
      </w:pPr>
      <w:r>
        <w:rPr>
          <w:sz w:val="22"/>
        </w:rPr>
        <w:t xml:space="preserve">• The mirror section — what every market after these three inherits without re-deciding.</w:t>
      </w:r>
    </w:p>
    <w:p>
      <w:pPr>
        <w:spacing w:before="120" w:after="160"/>
        <w:ind w:left="200"/>
        <w:pBdr>
          <w:left w:val="single" w:sz="18" w:space="10" w:color="C81E3C"/>
        </w:pBdr>
      </w:pPr>
      <w:r>
        <w:rPr>
          <w:b/>
          <w:i/>
          <w:sz w:val="22"/>
          <w:color w:val="1F3864"/>
        </w:rPr>
        <w:t xml:space="preserve">Read the files before stating a figure. Every number in this brief was measured on 31 October 2026 from the files named, and where a figure comes from a stale copy it says so.</w:t>
      </w:r>
    </w:p>
    <w:p>
      <w:pPr>
        <w:pageBreakBefore/>
        <w:keepNext/>
        <w:spacing w:after="200"/>
        <w:pBdr>
          <w:bottom w:val="single" w:sz="12" w:space="6" w:color="C81E3C"/>
        </w:pBdr>
      </w:pPr>
      <w:r>
        <w:rPr>
          <w:b/>
          <w:sz w:val="36"/>
          <w:color w:val="1F3864"/>
        </w:rPr>
        <w:t xml:space="preserve">Part One · The record as the files actually read</w:t>
      </w:r>
    </w:p>
    <w:p>
      <w:pPr>
        <w:keepNext/>
        <w:spacing w:before="240" w:after="160"/>
      </w:pPr>
      <w:r>
        <w:rPr>
          <w:b/>
          <w:sz w:val="30"/>
          <w:color w:val="1F3864"/>
        </w:rPr>
        <w:t xml:space="preserve">1 · The three markets, measured</w:t>
      </w:r>
    </w:p>
    <w:p>
      <w:pPr>
        <w:spacing w:after="120"/>
      </w:pPr>
      <w:r>
        <w:rPr>
          <w:sz w:val="22"/>
        </w:rPr>
        <w:t xml:space="preserve">Counts taken on 31 October 2026 from the copies held in this project. The staleness finding in chapter 2 qualifies every figure in this table, and the qualification is not a formality — the live Florida file is a quarter larger than the copy these counts came from.</w:t>
      </w:r>
    </w:p>
    <w:p>
      <w:pPr>
        <w:keepNext/>
        <w:spacing w:before="160" w:after="100"/>
      </w:pPr>
      <w:r>
        <w:rPr>
          <w:b/>
          <w:sz w:val="24"/>
          <w:color w:val="C81E3C"/>
        </w:rPr>
        <w:t xml:space="preserve">Florida — the permissive register</w:t>
      </w:r>
    </w:p>
    <w:p>
      <w:pPr>
        <w:spacing w:after="80"/>
        <w:ind w:left="340" w:hanging="200"/>
      </w:pPr>
      <w:r>
        <w:rPr>
          <w:sz w:val="22"/>
        </w:rPr>
        <w:t xml:space="preserve">• Working file — 154 rows. Verified 69 · Downgraded 80 · Unverified 4. The file’s own header reads 152 companies, Tiers A 52 · B 43 · C 57, updated 27 September 2026.</w:t>
      </w:r>
    </w:p>
    <w:p>
      <w:pPr>
        <w:spacing w:after="80"/>
        <w:ind w:left="340" w:hanging="200"/>
      </w:pPr>
      <w:r>
        <w:rPr>
          <w:sz w:val="22"/>
        </w:rPr>
        <w:t xml:space="preserve">• Expansion — 45 rows. Verified 14 · Downgraded 31 · Research pending 1.</w:t>
      </w:r>
    </w:p>
    <w:p>
      <w:pPr>
        <w:spacing w:after="80"/>
        <w:ind w:left="340" w:hanging="200"/>
      </w:pPr>
      <w:r>
        <w:rPr>
          <w:sz w:val="22"/>
        </w:rPr>
        <w:t xml:space="preserve">• Archive — 48 rows. Downgraded 13 · Verified 5, the remainder unlabelled in this copy.</w:t>
      </w:r>
    </w:p>
    <w:p>
      <w:pPr>
        <w:spacing w:after="80"/>
        <w:ind w:left="340" w:hanging="200"/>
      </w:pPr>
      <w:r>
        <w:rPr>
          <w:sz w:val="22"/>
        </w:rPr>
        <w:t xml:space="preserve">• Also present: florida-pe.html and florida-bd-three-industries.html — two derived views no other market has.</w:t>
      </w:r>
    </w:p>
    <w:p>
      <w:pPr>
        <w:keepNext/>
        <w:spacing w:before="160" w:after="100"/>
      </w:pPr>
      <w:r>
        <w:rPr>
          <w:b/>
          <w:sz w:val="24"/>
          <w:color w:val="C81E3C"/>
        </w:rPr>
        <w:t xml:space="preserve">Chicago — the metro inside a restriction</w:t>
      </w:r>
    </w:p>
    <w:p>
      <w:pPr>
        <w:spacing w:after="80"/>
        <w:ind w:left="340" w:hanging="200"/>
      </w:pPr>
      <w:r>
        <w:rPr>
          <w:sz w:val="22"/>
        </w:rPr>
        <w:t xml:space="preserve">• Working file — 241 rows. Verified 112 · Downgraded 104 · Unverified 11. The largest working file of the three.</w:t>
      </w:r>
    </w:p>
    <w:p>
      <w:pPr>
        <w:spacing w:after="80"/>
        <w:ind w:left="340" w:hanging="200"/>
      </w:pPr>
      <w:r>
        <w:rPr>
          <w:sz w:val="22"/>
        </w:rPr>
        <w:t xml:space="preserve">• Expansion — 52 rows. Verified 19 · Downgraded 33 · Research pending 1.</w:t>
      </w:r>
    </w:p>
    <w:p>
      <w:pPr>
        <w:spacing w:after="80"/>
        <w:ind w:left="340" w:hanging="200"/>
      </w:pPr>
      <w:r>
        <w:rPr>
          <w:sz w:val="22"/>
        </w:rPr>
        <w:t xml:space="preserve">• Archive — 48 rows, all 48 Downgraded.</w:t>
      </w:r>
    </w:p>
    <w:p>
      <w:pPr>
        <w:keepNext/>
        <w:spacing w:before="160" w:after="100"/>
      </w:pPr>
      <w:r>
        <w:rPr>
          <w:b/>
          <w:sz w:val="24"/>
          <w:color w:val="C81E3C"/>
        </w:rPr>
        <w:t>Illinois — free bulk, person-downloaded, automation prohibited (Corrected 2026-10-31 by the Chair’s ruling: two pages read where one had been.)</w:t>
      </w:r>
    </w:p>
    <w:p>
      <w:pPr>
        <w:spacing w:after="80"/>
        <w:ind w:left="340" w:hanging="200"/>
      </w:pPr>
      <w:r>
        <w:rPr>
          <w:sz w:val="22"/>
        </w:rPr>
        <w:t xml:space="preserve">• Working file — 202 rows. Verified 176 · Downgraded 25 · Research pending 1. The highest verified rate in the programme at roughly 87 per cent.</w:t>
      </w:r>
    </w:p>
    <w:p>
      <w:pPr>
        <w:spacing w:after="80"/>
        <w:ind w:left="340" w:hanging="200"/>
      </w:pPr>
      <w:r>
        <w:rPr>
          <w:sz w:val="22"/>
        </w:rPr>
        <w:t xml:space="preserve">• Expansion — 52 rows. Verified 25 · Downgraded 27 · Research pending 1.</w:t>
      </w:r>
    </w:p>
    <w:p>
      <w:pPr>
        <w:spacing w:after="80"/>
        <w:ind w:left="340" w:hanging="200"/>
      </w:pPr>
      <w:r>
        <w:rPr>
          <w:sz w:val="22"/>
        </w:rPr>
        <w:t xml:space="preserve">• Archive — 48 rows, all 48 Downgraded.</w:t>
      </w:r>
    </w:p>
    <w:p>
      <w:pPr>
        <w:keepNext/>
        <w:spacing w:before="160" w:after="100"/>
      </w:pPr>
      <w:r>
        <w:rPr>
          <w:b/>
          <w:sz w:val="24"/>
          <w:color w:val="C81E3C"/>
        </w:rPr>
        <w:t xml:space="preserve">What the counts do not tell us</w:t>
      </w:r>
    </w:p>
    <w:p>
      <w:pPr>
        <w:spacing w:after="120"/>
      </w:pPr>
      <w:r>
        <w:rPr>
          <w:sz w:val="22"/>
        </w:rPr>
        <w:t xml:space="preserve">Not one of these figures is a dialable count. Verified is an ownership and decision-maker state; it is not the call-ready test, which additionally requires a dated contact on the row and practice fit. Illinois reading 176 Verified does not mean 176 rows can be dialled today, and treating it that way would be the figure-not-row fault the register already records five times.</w:t>
      </w:r>
    </w:p>
    <w:p>
      <w:pPr>
        <w:spacing w:before="120" w:after="160"/>
        <w:ind w:left="200"/>
        <w:pBdr>
          <w:left w:val="single" w:sz="18" w:space="10" w:color="C81E3C"/>
        </w:pBdr>
      </w:pPr>
      <w:r>
        <w:rPr>
          <w:b/>
          <w:i/>
          <w:sz w:val="22"/>
          <w:color w:val="1F3864"/>
        </w:rPr>
        <w:t xml:space="preserve">Verified is a research state. Call-ready is a dialling state. They have never been the same measure, and no file in this repository currently reports the second.</w:t>
      </w:r>
    </w:p>
    <w:p>
      <w:pPr>
        <w:pageBreakBefore/>
        <w:keepNext/>
        <w:spacing w:after="160"/>
      </w:pPr>
      <w:r>
        <w:rPr>
          <w:b/>
          <w:sz w:val="30"/>
          <w:color w:val="1F3864"/>
        </w:rPr>
        <w:t xml:space="preserve">2 · The gate finding — the working copies are stale</w:t>
      </w:r>
    </w:p>
    <w:p>
      <w:pPr>
        <w:spacing w:after="120"/>
      </w:pPr>
      <w:r>
        <w:rPr>
          <w:sz w:val="22"/>
        </w:rPr>
        <w:t xml:space="preserve">Measured, not assumed. The Florida working file as held in this project is 293,717 bytes. The same file on the live repository is 368,729 bytes. They are not the same file, and the difference is about a quarter of the document.</w:t>
      </w:r>
    </w:p>
    <w:p>
      <w:pPr>
        <w:keepNext/>
        <w:spacing w:before="160" w:after="100"/>
      </w:pPr>
      <w:r>
        <w:rPr>
          <w:b/>
          <w:sz w:val="24"/>
          <w:color w:val="C81E3C"/>
        </w:rPr>
        <w:t xml:space="preserve">What that means in practice</w:t>
      </w:r>
    </w:p>
    <w:p>
      <w:pPr>
        <w:spacing w:after="120"/>
      </w:pPr>
      <w:r>
        <w:rPr>
          <w:sz w:val="22"/>
        </w:rPr>
        <w:t xml:space="preserve">The project copy carries a header dated 27 September 2026. Everything done in October — the address-source work, the derived tier dropdowns, the dated-source repair, the corrected source lines, the instruments, and the whole of the Item 320 Florida 100 run — happened after that date and is not in the copy these counts came from.</w:t>
      </w:r>
    </w:p>
    <w:p>
      <w:pPr>
        <w:spacing w:after="120"/>
      </w:pPr>
      <w:r>
        <w:rPr>
          <w:sz w:val="22"/>
        </w:rPr>
        <w:t xml:space="preserve">So the counts in chapter 1 are true of a file that is no longer the file. They are reported because a stale measurement honestly labelled is more useful than no measurement, and because the gap between them is itself the finding.</w:t>
      </w:r>
    </w:p>
    <w:p>
      <w:pPr>
        <w:spacing w:before="120" w:after="160"/>
        <w:ind w:left="200"/>
        <w:pBdr>
          <w:left w:val="single" w:sz="18" w:space="10" w:color="C81E3C"/>
        </w:pBdr>
      </w:pPr>
      <w:r>
        <w:rPr>
          <w:b/>
          <w:i/>
          <w:sz w:val="22"/>
          <w:color w:val="1F3864"/>
        </w:rPr>
        <w:t xml:space="preserve">The live repository is the source of truth. A brief written against a project copy is a brief written against the wrong file, and it will be wrong in exactly the places the recent work changed.</w:t>
      </w:r>
    </w:p>
    <w:p>
      <w:pPr>
        <w:keepNext/>
        <w:spacing w:before="160" w:after="100"/>
      </w:pPr>
      <w:r>
        <w:rPr>
          <w:b/>
          <w:sz w:val="24"/>
          <w:color w:val="C81E3C"/>
        </w:rPr>
        <w:t xml:space="preserve">The gate this forces, before read one</w:t>
      </w:r>
    </w:p>
    <w:p>
      <w:pPr>
        <w:spacing w:after="80"/>
        <w:ind w:left="340" w:hanging="200"/>
      </w:pPr>
      <w:r>
        <w:rPr>
          <w:sz w:val="22"/>
        </w:rPr>
        <w:t xml:space="preserve">• Fetch each of the nine files for these three markets from the live branch, on raw and on a fresh clone, and agree them by length, blob and SHA-256.</w:t>
      </w:r>
    </w:p>
    <w:p>
      <w:pPr>
        <w:spacing w:after="80"/>
        <w:ind w:left="340" w:hanging="200"/>
      </w:pPr>
      <w:r>
        <w:rPr>
          <w:sz w:val="22"/>
        </w:rPr>
        <w:t xml:space="preserve">• Re-run the census on those bytes. Do not carry chapter 1’s figures forward; replace them, and report both so the drift is on the record.</w:t>
      </w:r>
    </w:p>
    <w:p>
      <w:pPr>
        <w:spacing w:after="80"/>
        <w:ind w:left="340" w:hanging="200"/>
      </w:pPr>
      <w:r>
        <w:rPr>
          <w:sz w:val="22"/>
        </w:rPr>
        <w:t xml:space="preserve">• Record the delta. A file that grew by a quarter since the last census is telling you what the last census missed.</w:t>
      </w:r>
    </w:p>
    <w:p>
      <w:pPr>
        <w:spacing w:after="120"/>
      </w:pPr>
      <w:r>
        <w:rPr>
          <w:sz w:val="22"/>
        </w:rPr>
        <w:t xml:space="preserve">This is the second instance of a family worth naming: a figure taken from a convenient copy rather than the authoritative one. The first was a figure taken from a brief rather than from the files. Both are the same fault wearing different clothes.</w:t>
      </w:r>
    </w:p>
    <w:p>
      <w:pPr>
        <w:pageBreakBefore/>
        <w:keepNext/>
        <w:spacing w:after="200"/>
        <w:pBdr>
          <w:bottom w:val="single" w:sz="12" w:space="6" w:color="C81E3C"/>
        </w:pBdr>
      </w:pPr>
      <w:r>
        <w:rPr>
          <w:b/>
          <w:sz w:val="36"/>
          <w:color w:val="1F3864"/>
        </w:rPr>
        <w:t xml:space="preserve">Part Two · The integrity audit — eight gaps not previously found</w:t>
      </w:r>
    </w:p>
    <w:p>
      <w:pPr>
        <w:keepNext/>
        <w:spacing w:before="240" w:after="160"/>
      </w:pPr>
      <w:r>
        <w:rPr>
          <w:b/>
          <w:sz w:val="30"/>
          <w:color w:val="1F3864"/>
        </w:rPr>
        <w:t xml:space="preserve">3 · Gap one — no practice field exists, and it blocks this brief’s purpose</w:t>
      </w:r>
    </w:p>
    <w:p>
      <w:pPr>
        <w:spacing w:after="120"/>
      </w:pPr>
      <w:r>
        <w:rPr>
          <w:sz w:val="22"/>
        </w:rPr>
        <w:t xml:space="preserve">This brief asks for business-development opportunities for Dash Acquisitions, Dash Fractionals and Dash Private Equity. Measured against the Florida working file, the word “Acquisition” appears zero times, “Fractional” zero times, and “Private Equity” once in the whole document. There is no field on any row recording which practice a lead belongs to.</w:t>
      </w:r>
    </w:p>
    <w:p>
      <w:pPr>
        <w:keepNext/>
        <w:spacing w:before="160" w:after="100"/>
      </w:pPr>
      <w:r>
        <w:rPr>
          <w:b/>
          <w:sz w:val="24"/>
          <w:color w:val="C81E3C"/>
        </w:rPr>
        <w:t xml:space="preserve">Why this was not caught before</w:t>
      </w:r>
    </w:p>
    <w:p>
      <w:pPr>
        <w:spacing w:after="120"/>
      </w:pPr>
      <w:r>
        <w:rPr>
          <w:sz w:val="22"/>
        </w:rPr>
        <w:t xml:space="preserve">The method’s call-ready test includes “practice fit — the row passed the market standard’s own tier test.” That sentence has been read for weeks as though practice and tier were the same thing. They are not. Tier is a judgement about ownership and scale — is this company family-held, is it the right size, is it PE-controlled or public. Practice is a judgement about what we would sell them. A family-held forty-million-dollar manufacturer is Tier A under both readings and may be a Fractionals lead, an Acquisitions lead, both, or neither.</w:t>
      </w:r>
    </w:p>
    <w:p>
      <w:pPr>
        <w:spacing w:before="120" w:after="160"/>
        <w:ind w:left="200"/>
        <w:pBdr>
          <w:left w:val="single" w:sz="18" w:space="10" w:color="C81E3C"/>
        </w:pBdr>
      </w:pPr>
      <w:r>
        <w:rPr>
          <w:b/>
          <w:i/>
          <w:sz w:val="22"/>
          <w:color w:val="1F3864"/>
        </w:rPr>
        <w:t xml:space="preserve">A test that answers a different question from the one its name implies is the most expensive kind of instrument, because it passes and it is believed.</w:t>
      </w:r>
    </w:p>
    <w:p>
      <w:pPr>
        <w:keepNext/>
        <w:spacing w:before="160" w:after="100"/>
      </w:pPr>
      <w:r>
        <w:rPr>
          <w:b/>
          <w:sz w:val="24"/>
          <w:color w:val="C81E3C"/>
        </w:rPr>
        <w:t xml:space="preserve">What this costs right now</w:t>
      </w:r>
    </w:p>
    <w:p>
      <w:pPr>
        <w:spacing w:after="80"/>
        <w:ind w:left="340" w:hanging="200"/>
      </w:pPr>
      <w:r>
        <w:rPr>
          <w:sz w:val="22"/>
        </w:rPr>
        <w:t xml:space="preserve">• A dial pack cannot be ordered by practice, so a caller working Acquisitions and a caller working Fractionals receive the same list in the same order.</w:t>
      </w:r>
    </w:p>
    <w:p>
      <w:pPr>
        <w:spacing w:after="80"/>
        <w:ind w:left="340" w:hanging="200"/>
      </w:pPr>
      <w:r>
        <w:rPr>
          <w:sz w:val="22"/>
        </w:rPr>
        <w:t xml:space="preserve">• No market can report how many of its rows serve each practice, so no practice can be resourced against evidence.</w:t>
      </w:r>
    </w:p>
    <w:p>
      <w:pPr>
        <w:spacing w:after="80"/>
        <w:ind w:left="340" w:hanging="200"/>
      </w:pPr>
      <w:r>
        <w:rPr>
          <w:sz w:val="22"/>
        </w:rPr>
        <w:t xml:space="preserve">• The Florida derived views — florida-pe.html and florida-bd-three-industries.html — are the manual workaround for a missing field, built once for one market and not reproducible for the other twenty-six.</w:t>
      </w:r>
    </w:p>
    <w:p>
      <w:pPr>
        <w:keepNext/>
        <w:spacing w:before="160" w:after="100"/>
      </w:pPr>
      <w:r>
        <w:rPr>
          <w:b/>
          <w:sz w:val="24"/>
          <w:color w:val="C81E3C"/>
        </w:rPr>
        <w:t xml:space="preserve">The correction</w:t>
      </w:r>
    </w:p>
    <w:p>
      <w:pPr>
        <w:spacing w:after="120"/>
      </w:pPr>
      <w:r>
        <w:rPr>
          <w:sz w:val="22"/>
        </w:rPr>
        <w:t xml:space="preserve">A practice field is added to every working and expansion row, carrying one or more of Acquisitions, Fractionals, Private Equity, or None, with the signal that placed it there and a date. It is derived from evidence on the row, never asserted; a row with no qualifying signal reads None rather than being left blank, because blank and None are different findings and the programme has been confusing them.</w:t>
      </w:r>
    </w:p>
    <w:p>
      <w:pPr>
        <w:pageBreakBefore/>
        <w:keepNext/>
        <w:spacing w:after="160"/>
      </w:pPr>
      <w:r>
        <w:rPr>
          <w:b/>
          <w:sz w:val="30"/>
          <w:color w:val="1F3864"/>
        </w:rPr>
        <w:t xml:space="preserve">4 · Gap two — the metro inherits a prohibition, and nothing enforces it</w:t>
      </w:r>
    </w:p>
    <w:p>
      <w:pPr>
        <w:spacing w:after="120"/>
      </w:pPr>
      <w:r>
        <w:rPr>
          <w:sz w:val="22"/>
        </w:rPr>
        <w:t>Illinois publishes its register free as bulk data sets under the Business Data Transparency Act (P.A. 102-0049), and the same data page prohibits any process or tool sending automated queries to the website. A person downloads the sets; the build reads them from disk and never fetches ilsos.gov, bulk or per-row. The search page’s individual-use disclaimer governs the search tool, not the published sets. Chicago is a metro file inside Illinois and inherits that class. (Corrected 2026-10-31 by the Chair’s ruling: two pages read where one had been.)</w:t>
      </w:r>
    </w:p>
    <w:p>
      <w:pPr>
        <w:keepNext/>
        <w:spacing w:before="160" w:after="100"/>
      </w:pPr>
      <w:r>
        <w:rPr>
          <w:b/>
          <w:sz w:val="24"/>
          <w:color w:val="C81E3C"/>
        </w:rPr>
        <w:t xml:space="preserve">The gap</w:t>
      </w:r>
    </w:p>
    <w:p>
      <w:pPr>
        <w:spacing w:after="120"/>
      </w:pPr>
      <w:r>
        <w:rPr>
          <w:sz w:val="22"/>
        </w:rPr>
        <w:t xml:space="preserve">That rule exists in the method and nowhere in the files. No market file carries an access-class line at all, so nothing stops a Chicago run from treating the metro as its own jurisdiction and taking a bulk route that Illinois prohibits. The rule is honoured by whoever happens to have read chapter 4 that week.</w:t>
      </w:r>
    </w:p>
    <w:p>
      <w:pPr>
        <w:spacing w:before="120" w:after="160"/>
        <w:ind w:left="200"/>
        <w:pBdr>
          <w:left w:val="single" w:sz="18" w:space="10" w:color="C81E3C"/>
        </w:pBdr>
      </w:pPr>
      <w:r>
        <w:rPr>
          <w:b/>
          <w:i/>
          <w:sz w:val="22"/>
          <w:color w:val="1F3864"/>
        </w:rPr>
        <w:t xml:space="preserve">A tool that gets past a refusal does not get past a prohibition — and a prohibition recorded only in a method document is enforced by memory, which is the weakest control this programme has.</w:t>
      </w:r>
    </w:p>
    <w:p>
      <w:pPr>
        <w:keepNext/>
        <w:spacing w:before="160" w:after="100"/>
      </w:pPr>
      <w:r>
        <w:rPr>
          <w:b/>
          <w:sz w:val="24"/>
          <w:color w:val="C81E3C"/>
        </w:rPr>
        <w:t xml:space="preserve">The correction</w:t>
      </w:r>
    </w:p>
    <w:p>
      <w:pPr>
        <w:spacing w:after="120"/>
      </w:pPr>
      <w:r>
        <w:rPr>
          <w:sz w:val="22"/>
        </w:rPr>
        <w:t xml:space="preserve">The access class is written onto the Illinois file, dated, with the source line from the Secretary of State’s own page. Chicago’s file carries the same line marked as inherited from Illinois, with the inheritance stated rather than implied. Neither market opens a registry route until both lines exist.</w:t>
      </w:r>
    </w:p>
    <w:p>
      <w:pPr>
        <w:pageBreakBefore/>
        <w:keepNext/>
        <w:spacing w:after="160"/>
      </w:pPr>
      <w:r>
        <w:rPr>
          <w:b/>
          <w:sz w:val="30"/>
          <w:color w:val="1F3864"/>
        </w:rPr>
        <w:t xml:space="preserve">5 · Gap three — a retired status survives in four rows</w:t>
      </w:r>
    </w:p>
    <w:p>
      <w:pPr>
        <w:spacing w:after="120"/>
      </w:pPr>
      <w:r>
        <w:rPr>
          <w:sz w:val="22"/>
        </w:rPr>
        <w:t xml:space="preserve">“Research pending” was removed from the status dropdown by ruling. It still appears on four rows across these three markets: one in florida-expansion, one in chicago-expansion, one in illinois, one in illinois-expansion.</w:t>
      </w:r>
    </w:p>
    <w:p>
      <w:pPr>
        <w:keepNext/>
        <w:spacing w:before="160" w:after="100"/>
      </w:pPr>
      <w:r>
        <w:rPr>
          <w:b/>
          <w:sz w:val="24"/>
          <w:color w:val="C81E3C"/>
        </w:rPr>
        <w:t xml:space="preserve">Why four rows matter more than four rows</w:t>
      </w:r>
    </w:p>
    <w:p>
      <w:pPr>
        <w:spacing w:after="120"/>
      </w:pPr>
      <w:r>
        <w:rPr>
          <w:sz w:val="22"/>
        </w:rPr>
        <w:t xml:space="preserve">A retired value surviving in the data means the retirement was applied to the interface and not to the records behind it. That is a class of fault, not an incident: the control was changed, the data was not, and every count taken since has quietly had a fourth category it does not report. Whatever those four rows actually are — workable, measured shut, or never worked — the programme has not known which.</w:t>
      </w:r>
    </w:p>
    <w:p>
      <w:pPr>
        <w:keepNext/>
        <w:spacing w:before="160" w:after="100"/>
      </w:pPr>
      <w:r>
        <w:rPr>
          <w:b/>
          <w:sz w:val="24"/>
          <w:color w:val="C81E3C"/>
        </w:rPr>
        <w:t xml:space="preserve">The correction</w:t>
      </w:r>
    </w:p>
    <w:p>
      <w:pPr>
        <w:spacing w:after="120"/>
      </w:pPr>
      <w:r>
        <w:rPr>
          <w:sz w:val="22"/>
        </w:rPr>
        <w:t xml:space="preserve">Each of the four is read and resolved into a live status with its evidence. Then the whole repository is swept for the retired value, because four found in three markets is not evidence that the other twenty-four are clean. It is evidence that nobody has looked.</w:t>
      </w:r>
    </w:p>
    <w:p>
      <w:pPr>
        <w:pageBreakBefore/>
        <w:keepNext/>
        <w:spacing w:after="160"/>
      </w:pPr>
      <w:r>
        <w:rPr>
          <w:b/>
          <w:sz w:val="30"/>
          <w:color w:val="1F3864"/>
        </w:rPr>
        <w:t xml:space="preserve">6 · Gap four — the archive is written once and never re-examined</w:t>
      </w:r>
    </w:p>
    <w:p>
      <w:pPr>
        <w:spacing w:after="120"/>
      </w:pPr>
      <w:r>
        <w:rPr>
          <w:sz w:val="22"/>
        </w:rPr>
        <w:t xml:space="preserve">Chicago and Illinois each hold 48 archive rows, every one Downgraded. Florida holds 48 with a mixed state. An archive row is Tier C: screened out as out-of-state, public, private-equity-controlled, acquired, a co-operative, or out of size band.</w:t>
      </w:r>
    </w:p>
    <w:p>
      <w:pPr>
        <w:keepNext/>
        <w:spacing w:before="160" w:after="100"/>
      </w:pPr>
      <w:r>
        <w:rPr>
          <w:b/>
          <w:sz w:val="24"/>
          <w:color w:val="C81E3C"/>
        </w:rPr>
        <w:t xml:space="preserve">The gap</w:t>
      </w:r>
    </w:p>
    <w:p>
      <w:pPr>
        <w:spacing w:after="120"/>
      </w:pPr>
      <w:r>
        <w:rPr>
          <w:sz w:val="22"/>
        </w:rPr>
        <w:t xml:space="preserve">Ownership changes. A company that was PE-controlled in 2024 may have been sold to its management in 2026; a company that was out of band may have grown into it; an acquired company may have been divested. Nothing in the programme triggers a re-read, so the archive is a permanent judgement made from a dated fact.</w:t>
      </w:r>
    </w:p>
    <w:p>
      <w:pPr>
        <w:spacing w:before="120" w:after="160"/>
        <w:ind w:left="200"/>
        <w:pBdr>
          <w:left w:val="single" w:sz="18" w:space="10" w:color="C81E3C"/>
        </w:pBdr>
      </w:pPr>
      <w:r>
        <w:rPr>
          <w:b/>
          <w:i/>
          <w:sz w:val="22"/>
          <w:color w:val="1F3864"/>
        </w:rPr>
        <w:t xml:space="preserve">A screening decision inherits the date of the evidence that produced it. An archive with no review date is a set of expiring judgements recorded as permanent ones.</w:t>
      </w:r>
    </w:p>
    <w:p>
      <w:pPr>
        <w:keepNext/>
        <w:spacing w:before="160" w:after="100"/>
      </w:pPr>
      <w:r>
        <w:rPr>
          <w:b/>
          <w:sz w:val="24"/>
          <w:color w:val="C81E3C"/>
        </w:rPr>
        <w:t xml:space="preserve">The correction, scoped so it does not become a project</w:t>
      </w:r>
    </w:p>
    <w:p>
      <w:pPr>
        <w:spacing w:after="120"/>
      </w:pPr>
      <w:r>
        <w:rPr>
          <w:sz w:val="22"/>
        </w:rPr>
        <w:t xml:space="preserve">An archive row carries the date of the evidence that downgraded it. Rows whose evidence is older than eighteen months are re-read only when their market is otherwise open and the completion queue has closed — never as a discovery window of their own. The Florida archive’s five Verified rows are read first, because a Verified row sitting in an archive is already a contradiction on the record.</w:t>
      </w:r>
    </w:p>
    <w:p>
      <w:pPr>
        <w:pageBreakBefore/>
        <w:keepNext/>
        <w:spacing w:after="160"/>
      </w:pPr>
      <w:r>
        <w:rPr>
          <w:b/>
          <w:sz w:val="30"/>
          <w:color w:val="1F3864"/>
        </w:rPr>
        <w:t xml:space="preserve">7 · Gap five — cross-market duplication is unmeasured beyond adjacent files</w:t>
      </w:r>
    </w:p>
    <w:p>
      <w:pPr>
        <w:spacing w:after="120"/>
      </w:pPr>
      <w:r>
        <w:rPr>
          <w:sz w:val="22"/>
        </w:rPr>
        <w:t xml:space="preserve">The method requires a check for overlap between a metro file and its state file. It requires nothing between two state files, and nothing across the twenty-seven.</w:t>
      </w:r>
    </w:p>
    <w:p>
      <w:pPr>
        <w:keepNext/>
        <w:spacing w:before="160" w:after="100"/>
      </w:pPr>
      <w:r>
        <w:rPr>
          <w:b/>
          <w:sz w:val="24"/>
          <w:color w:val="C81E3C"/>
        </w:rPr>
        <w:t xml:space="preserve">The gap</w:t>
      </w:r>
    </w:p>
    <w:p>
      <w:pPr>
        <w:spacing w:after="120"/>
      </w:pPr>
      <w:r>
        <w:rPr>
          <w:sz w:val="22"/>
        </w:rPr>
        <w:t xml:space="preserve">A distributor with operations in Florida and Texas can legitimately sit in both working files, and should. But the programme cannot currently tell that case apart from the same company entered twice, and it cannot tell either case apart from two genuinely different companies sharing a name. All three read as two rows.</w:t>
      </w:r>
    </w:p>
    <w:p>
      <w:pPr>
        <w:spacing w:after="120"/>
      </w:pPr>
      <w:r>
        <w:rPr>
          <w:sz w:val="22"/>
        </w:rPr>
        <w:t xml:space="preserve">This matters for the three practices more than for the tier work. A company trading in four states is a different kind of target from one trading in one — larger, more likely to be a Fractionals or Private Equity lead than an Acquisitions one — and we are structurally unable to see it.</w:t>
      </w:r>
    </w:p>
    <w:p>
      <w:pPr>
        <w:keepNext/>
        <w:spacing w:before="160" w:after="100"/>
      </w:pPr>
      <w:r>
        <w:rPr>
          <w:b/>
          <w:sz w:val="24"/>
          <w:color w:val="C81E3C"/>
        </w:rPr>
        <w:t xml:space="preserve">The correction</w:t>
      </w:r>
    </w:p>
    <w:p>
      <w:pPr>
        <w:spacing w:after="120"/>
      </w:pPr>
      <w:r>
        <w:rPr>
          <w:sz w:val="22"/>
        </w:rPr>
        <w:t xml:space="preserve">A programme-wide name-and-address match across all twenty-seven working files, reported rather than resolved. Matches go to the Chair as a list, with the file each row sits in. Nothing is merged or deleted on the build’s own judgement, which is the standing rule for the adjacent-file check and applies here unchanged.</w:t>
      </w:r>
    </w:p>
    <w:p>
      <w:pPr>
        <w:pageBreakBefore/>
        <w:keepNext/>
        <w:spacing w:after="160"/>
      </w:pPr>
      <w:r>
        <w:rPr>
          <w:b/>
          <w:sz w:val="30"/>
          <w:color w:val="1F3864"/>
        </w:rPr>
        <w:t xml:space="preserve">8 · Gap six — the registry ingest has never actually been run</w:t>
      </w:r>
    </w:p>
    <w:p>
      <w:pPr>
        <w:spacing w:after="120"/>
      </w:pPr>
      <w:r>
        <w:rPr>
          <w:sz w:val="22"/>
        </w:rPr>
        <w:t xml:space="preserve">The single largest correction in the method is that the register is taken before any per-row read is spent. Florida publishes officers by free public file. The method has carried this finding since the cross-check.</w:t>
      </w:r>
    </w:p>
    <w:p>
      <w:pPr>
        <w:keepNext/>
        <w:spacing w:before="160" w:after="100"/>
      </w:pPr>
      <w:r>
        <w:rPr>
          <w:b/>
          <w:sz w:val="24"/>
          <w:color w:val="C81E3C"/>
        </w:rPr>
        <w:t xml:space="preserve">The gap, stated plainly</w:t>
      </w:r>
    </w:p>
    <w:p>
      <w:pPr>
        <w:spacing w:after="120"/>
      </w:pPr>
      <w:r>
        <w:rPr>
          <w:sz w:val="22"/>
        </w:rPr>
        <w:t xml:space="preserve">It has never been executed. Not in Florida, which publishes the file. Not anywhere. The correction is recorded in three governing documents, repeated in every brief, named as the fault that has now cost the programme three times — and the file has still not been taken.</w:t>
      </w:r>
    </w:p>
    <w:p>
      <w:pPr>
        <w:spacing w:before="120" w:after="160"/>
        <w:ind w:left="200"/>
        <w:pBdr>
          <w:left w:val="single" w:sz="18" w:space="10" w:color="C81E3C"/>
        </w:pBdr>
      </w:pPr>
      <w:r>
        <w:rPr>
          <w:b/>
          <w:i/>
          <w:sz w:val="22"/>
          <w:color w:val="1F3864"/>
        </w:rPr>
        <w:t xml:space="preserve">A finding that is written down and not acted on is not a finding. It is a note about a finding, and the programme has been reading it as though the work were done.</w:t>
      </w:r>
    </w:p>
    <w:p>
      <w:pPr>
        <w:keepNext/>
        <w:spacing w:before="160" w:after="100"/>
      </w:pPr>
      <w:r>
        <w:rPr>
          <w:b/>
          <w:sz w:val="24"/>
          <w:color w:val="C81E3C"/>
        </w:rPr>
        <w:t xml:space="preserve">The correction</w:t>
      </w:r>
    </w:p>
    <w:p>
      <w:pPr>
        <w:spacing w:after="120"/>
      </w:pPr>
      <w:r>
        <w:rPr>
          <w:sz w:val="22"/>
        </w:rPr>
        <w:t xml:space="preserve">The Florida registry ingest runs first in step two of this brief, before the completion queue, before any discovery, and before Chicago or Illinois open at all. It is the one step whose result changes what every later step costs. Report rows filled by the register, rows the register could not reach, and the reads not spent as a consequence.</w:t>
      </w:r>
    </w:p>
    <w:p>
      <w:pPr>
        <w:pageBreakBefore/>
        <w:keepNext/>
        <w:spacing w:after="160"/>
      </w:pPr>
      <w:r>
        <w:rPr>
          <w:b/>
          <w:sz w:val="30"/>
          <w:color w:val="1F3864"/>
        </w:rPr>
        <w:t xml:space="preserve">9 · Gap seven — one market of twenty-seven has a console</w:t>
      </w:r>
    </w:p>
    <w:p>
      <w:pPr>
        <w:spacing w:after="120"/>
      </w:pPr>
      <w:r>
        <w:rPr>
          <w:sz w:val="22"/>
        </w:rPr>
        <w:t xml:space="preserve">Florida has console-florida.html: the composer, the validator, the status filter, the call timer, the Addresses and Intake tabs. The other twenty-six markets have none.</w:t>
      </w:r>
    </w:p>
    <w:p>
      <w:pPr>
        <w:keepNext/>
        <w:spacing w:before="160" w:after="100"/>
      </w:pPr>
      <w:r>
        <w:rPr>
          <w:b/>
          <w:sz w:val="24"/>
          <w:color w:val="C81E3C"/>
        </w:rPr>
        <w:t xml:space="preserve">The gap</w:t>
      </w:r>
    </w:p>
    <w:p>
      <w:pPr>
        <w:spacing w:after="120"/>
      </w:pPr>
      <w:r>
        <w:rPr>
          <w:sz w:val="22"/>
        </w:rPr>
        <w:t xml:space="preserve">Every working practice this programme has built — disposition tracking, the call timer, address proposals, the source validator — exists for one market. The other twenty-six are worked without instruments, which means they are worked differently, which means their figures are not comparable with Florida’s.</w:t>
      </w:r>
    </w:p>
    <w:p>
      <w:pPr>
        <w:spacing w:after="120"/>
      </w:pPr>
      <w:r>
        <w:rPr>
          <w:sz w:val="22"/>
        </w:rPr>
        <w:t xml:space="preserve">And the ranking matters. The console’s most-developed feature is the composer, while our own measurement says email reaches two rows in ninety-three. The console is correctly built for a follow-up to a conversation that has already happened; it is not the instrument that opens one.</w:t>
      </w:r>
    </w:p>
    <w:p>
      <w:pPr>
        <w:keepNext/>
        <w:spacing w:before="160" w:after="100"/>
      </w:pPr>
      <w:r>
        <w:rPr>
          <w:b/>
          <w:sz w:val="24"/>
          <w:color w:val="C81E3C"/>
        </w:rPr>
        <w:t xml:space="preserve">The correction</w:t>
      </w:r>
    </w:p>
    <w:p>
      <w:pPr>
        <w:spacing w:after="120"/>
      </w:pPr>
      <w:r>
        <w:rPr>
          <w:sz w:val="22"/>
        </w:rPr>
        <w:t xml:space="preserve">Chicago and Illinois get the Florida console scripts deployed to console-chicago.html and console-illinois.html, with both instruments passing, before either market is worked. A market without a console is worked by hand, and a market worked by hand produces figures that cannot be compared with one that was not.</w:t>
      </w:r>
    </w:p>
    <w:p>
      <w:pPr>
        <w:pageBreakBefore/>
        <w:keepNext/>
        <w:spacing w:after="160"/>
      </w:pPr>
      <w:r>
        <w:rPr>
          <w:b/>
          <w:sz w:val="30"/>
          <w:color w:val="1F3864"/>
        </w:rPr>
        <w:t xml:space="preserve">10 · Gap eight — the outcome column was built and never filled</w:t>
      </w:r>
    </w:p>
    <w:p>
      <w:pPr>
        <w:spacing w:after="120"/>
      </w:pPr>
      <w:r>
        <w:rPr>
          <w:sz w:val="22"/>
        </w:rPr>
        <w:t xml:space="preserve">The dial pack carries an outcome column: dialled, connected, conversation, meeting, no. It was added precisely because every other figure in the programme is an input measure.</w:t>
      </w:r>
    </w:p>
    <w:p>
      <w:pPr>
        <w:keepNext/>
        <w:spacing w:before="160" w:after="100"/>
      </w:pPr>
      <w:r>
        <w:rPr>
          <w:b/>
          <w:sz w:val="24"/>
          <w:color w:val="C81E3C"/>
        </w:rPr>
        <w:t xml:space="preserve">The gap</w:t>
      </w:r>
    </w:p>
    <w:p>
      <w:pPr>
        <w:spacing w:after="120"/>
      </w:pPr>
      <w:r>
        <w:rPr>
          <w:sz w:val="22"/>
        </w:rPr>
        <w:t xml:space="preserve">No market has filled it. Across twenty-seven markets and roughly three thousand three hundred verified rows, the programme cannot state a connect rate, cannot state whether a verified-callable row outperforms a merely call-ready one, and therefore cannot state whether the higher band earns the extra reads it costs.</w:t>
      </w:r>
    </w:p>
    <w:p>
      <w:pPr>
        <w:spacing w:after="120"/>
      </w:pPr>
      <w:r>
        <w:rPr>
          <w:sz w:val="22"/>
        </w:rPr>
        <w:t xml:space="preserve">That last question is not academic. Verified-callable requires trading confirmed on the company’s own pages and an address sourced inside the window — real reads, spent on every row in the band. Whether they buy anything is unmeasured, and has been since the band was created.</w:t>
      </w:r>
    </w:p>
    <w:p>
      <w:pPr>
        <w:spacing w:before="120" w:after="160"/>
        <w:ind w:left="200"/>
        <w:pBdr>
          <w:left w:val="single" w:sz="18" w:space="10" w:color="C81E3C"/>
        </w:pBdr>
      </w:pPr>
      <w:r>
        <w:rPr>
          <w:b/>
          <w:i/>
          <w:sz w:val="22"/>
          <w:color w:val="1F3864"/>
        </w:rPr>
        <w:t xml:space="preserve">A programme that measures only its own effort is reporting its diligence, not its results. One working week of recorded outcomes converts the hardest open question here from an opinion into a measurement.</w:t>
      </w:r>
    </w:p>
    <w:p>
      <w:pPr>
        <w:keepNext/>
        <w:spacing w:before="160" w:after="100"/>
      </w:pPr>
      <w:r>
        <w:rPr>
          <w:b/>
          <w:sz w:val="24"/>
          <w:color w:val="C81E3C"/>
        </w:rPr>
        <w:t xml:space="preserve">The correction</w:t>
      </w:r>
    </w:p>
    <w:p>
      <w:pPr>
        <w:spacing w:after="120"/>
      </w:pPr>
      <w:r>
        <w:rPr>
          <w:sz w:val="22"/>
        </w:rPr>
        <w:t xml:space="preserve">Outcome is recorded from the first call made in any of these three markets, and it propagates upward: dial pack to market file, market file to the index, the cockpit and the rollup. Those three currently report rows, verified counts and coverage, and not one reports a result.</w:t>
      </w:r>
    </w:p>
    <w:p>
      <w:pPr>
        <w:pageBreakBefore/>
        <w:keepNext/>
        <w:spacing w:after="160"/>
      </w:pPr>
      <w:r>
        <w:rPr>
          <w:b/>
          <w:sz w:val="30"/>
          <w:color w:val="1F3864"/>
        </w:rPr>
        <w:t xml:space="preserve">11 · The six gaps carried forward from version 4</w:t>
      </w:r>
    </w:p>
    <w:p>
      <w:pPr>
        <w:spacing w:after="120"/>
      </w:pPr>
      <w:r>
        <w:rPr>
          <w:sz w:val="22"/>
        </w:rPr>
        <w:t xml:space="preserve">Version 4 named six repository gaps. None is closed. They are restated here rather than cross-referenced, because a brief that points elsewhere for its own open items is a brief that will be read without them.</w:t>
      </w:r>
    </w:p>
    <w:p>
      <w:pPr>
        <w:spacing w:after="80"/>
        <w:ind w:left="340" w:hanging="200"/>
      </w:pPr>
      <w:r>
        <w:rPr>
          <w:sz w:val="22"/>
        </w:rPr>
        <w:t xml:space="preserve">• No drift watch. A source that answered in October and refuses in January is found the next time a person looks. A weekly probe of the declared source list, writing state changes into the inheritance record, is what keeps twenty-seven markets honest.</w:t>
      </w:r>
    </w:p>
    <w:p>
      <w:pPr>
        <w:spacing w:after="80"/>
        <w:ind w:left="340" w:hanging="200"/>
      </w:pPr>
      <w:r>
        <w:rPr>
          <w:sz w:val="22"/>
        </w:rPr>
        <w:t xml:space="preserve">• Measured shut is unqualified across all twenty-seven files. Every row and source carrying that state was closed by a plain fetch. Qualify the label with the reader that produced it, then re-probe only where a row is otherwise one field from dialable.</w:t>
      </w:r>
    </w:p>
    <w:p>
      <w:pPr>
        <w:spacing w:after="80"/>
        <w:ind w:left="340" w:hanging="200"/>
      </w:pPr>
      <w:r>
        <w:rPr>
          <w:sz w:val="22"/>
        </w:rPr>
        <w:t xml:space="preserve">• No access class on any market file. Twenty-seven markets, no recorded line. Florida and Illinois are populated by this brief; the rest are populated as each is touched.</w:t>
      </w:r>
    </w:p>
    <w:p>
      <w:pPr>
        <w:spacing w:after="80"/>
        <w:ind w:left="340" w:hanging="200"/>
      </w:pPr>
      <w:r>
        <w:rPr>
          <w:sz w:val="22"/>
        </w:rPr>
        <w:t xml:space="preserve">• Input measures only, programme-wide. The index, the cockpit and the rollup report rows and coverage. None reports an outcome. See chapter 10.</w:t>
      </w:r>
    </w:p>
    <w:p>
      <w:pPr>
        <w:spacing w:after="80"/>
        <w:ind w:left="340" w:hanging="200"/>
      </w:pPr>
      <w:r>
        <w:rPr>
          <w:sz w:val="22"/>
        </w:rPr>
        <w:t xml:space="preserve">• The composer is ranked above its evidence. State the ranking in the index, so a market is not judged finished because its composer works.</w:t>
      </w:r>
    </w:p>
    <w:p>
      <w:pPr>
        <w:spacing w:after="80"/>
        <w:ind w:left="340" w:hanging="200"/>
      </w:pPr>
      <w:r>
        <w:rPr>
          <w:sz w:val="22"/>
        </w:rPr>
        <w:t xml:space="preserve">• Instruments live in sessions, not files. Five instruments re-proved every market because the environment does not retain them. The proving is right; the rebuilding is waste. Commit them with their planted cases.</w:t>
      </w:r>
    </w:p>
    <w:p>
      <w:pPr>
        <w:pageBreakBefore/>
        <w:keepNext/>
        <w:spacing w:after="200"/>
        <w:pBdr>
          <w:bottom w:val="single" w:sz="12" w:space="6" w:color="C81E3C"/>
        </w:pBdr>
      </w:pPr>
      <w:r>
        <w:rPr>
          <w:b/>
          <w:sz w:val="36"/>
          <w:color w:val="1F3864"/>
        </w:rPr>
        <w:t xml:space="preserve">Part Three · The three practices, as row-level tests</w:t>
      </w:r>
    </w:p>
    <w:p>
      <w:pPr>
        <w:keepNext/>
        <w:spacing w:before="240" w:after="160"/>
      </w:pPr>
      <w:r>
        <w:rPr>
          <w:b/>
          <w:sz w:val="30"/>
          <w:color w:val="1F3864"/>
        </w:rPr>
        <w:t xml:space="preserve">12 · Why a practice needs a test and not a description</w:t>
      </w:r>
    </w:p>
    <w:p>
      <w:pPr>
        <w:spacing w:after="120"/>
      </w:pPr>
      <w:r>
        <w:rPr>
          <w:sz w:val="22"/>
        </w:rPr>
        <w:t xml:space="preserve">Chapter 3 established that no practice field exists. This part defines what would go in it. Each practice is written as a test a row either passes or fails on evidence already required by the per-row record, so that adding the field costs reading rather than new research.</w:t>
      </w:r>
    </w:p>
    <w:p>
      <w:pPr>
        <w:spacing w:before="120" w:after="160"/>
        <w:ind w:left="200"/>
        <w:pBdr>
          <w:left w:val="single" w:sz="18" w:space="10" w:color="C81E3C"/>
        </w:pBdr>
      </w:pPr>
      <w:r>
        <w:rPr>
          <w:b/>
          <w:i/>
          <w:sz w:val="22"/>
          <w:color w:val="1F3864"/>
        </w:rPr>
        <w:t xml:space="preserve">A practice is assigned from a signal on the row, dated and sourced. It is never assigned from an impression of the company, and never by the Chair from a list of names.</w:t>
      </w:r>
    </w:p>
    <w:p>
      <w:pPr>
        <w:keepNext/>
        <w:spacing w:before="160" w:after="100"/>
      </w:pPr>
      <w:r>
        <w:rPr>
          <w:b/>
          <w:sz w:val="24"/>
          <w:color w:val="C81E3C"/>
        </w:rPr>
        <w:t xml:space="preserve">The four values</w:t>
      </w:r>
    </w:p>
    <w:p>
      <w:pPr>
        <w:spacing w:after="80"/>
        <w:ind w:left="340" w:hanging="200"/>
      </w:pPr>
      <w:r>
        <w:rPr>
          <w:sz w:val="22"/>
        </w:rPr>
        <w:t xml:space="preserve">• Acquisitions — the owner is at or near an exit decision.</w:t>
      </w:r>
    </w:p>
    <w:p>
      <w:pPr>
        <w:spacing w:after="80"/>
        <w:ind w:left="340" w:hanging="200"/>
      </w:pPr>
      <w:r>
        <w:rPr>
          <w:sz w:val="22"/>
        </w:rPr>
        <w:t xml:space="preserve">• Fractionals — the company has an executive gap it is carrying rather than filling.</w:t>
      </w:r>
    </w:p>
    <w:p>
      <w:pPr>
        <w:spacing w:after="80"/>
        <w:ind w:left="340" w:hanging="200"/>
      </w:pPr>
      <w:r>
        <w:rPr>
          <w:sz w:val="22"/>
        </w:rPr>
        <w:t xml:space="preserve">• Private Equity — a sponsor is involved, or the company is of a size and shape a sponsor would hold.</w:t>
      </w:r>
    </w:p>
    <w:p>
      <w:pPr>
        <w:spacing w:after="80"/>
        <w:ind w:left="340" w:hanging="200"/>
      </w:pPr>
      <w:r>
        <w:rPr>
          <w:sz w:val="22"/>
        </w:rPr>
        <w:t xml:space="preserve">• None — no qualifying signal is on the row. Recorded explicitly, because blank means nobody looked and None means somebody did.</w:t>
      </w:r>
    </w:p>
    <w:p>
      <w:pPr>
        <w:keepNext/>
        <w:spacing w:before="160" w:after="100"/>
      </w:pPr>
      <w:r>
        <w:rPr>
          <w:b/>
          <w:sz w:val="24"/>
          <w:color w:val="C81E3C"/>
        </w:rPr>
        <w:t xml:space="preserve">A row may carry two</w:t>
      </w:r>
    </w:p>
    <w:p>
      <w:pPr>
        <w:spacing w:after="120"/>
      </w:pPr>
      <w:r>
        <w:rPr>
          <w:sz w:val="22"/>
        </w:rPr>
        <w:t xml:space="preserve">A founder-led company with no second-in-command and an ageing owner is a Fractionals lead today and an Acquisitions lead within two years. Both are recorded, each with its own signal. The dial order resolves the conflict, not the field: the practice being worked that day sorts first.</w:t>
      </w:r>
    </w:p>
    <w:p>
      <w:pPr>
        <w:pageBreakBefore/>
        <w:keepNext/>
        <w:spacing w:after="160"/>
      </w:pPr>
      <w:r>
        <w:rPr>
          <w:b/>
          <w:sz w:val="30"/>
          <w:color w:val="1F3864"/>
        </w:rPr>
        <w:t xml:space="preserve">13 · Dash Acquisitions — what a lead is</w:t>
      </w:r>
    </w:p>
    <w:p>
      <w:pPr>
        <w:keepNext/>
        <w:spacing w:before="160" w:after="100"/>
      </w:pPr>
      <w:r>
        <w:rPr>
          <w:b/>
          <w:sz w:val="24"/>
          <w:color w:val="C81E3C"/>
        </w:rPr>
        <w:t xml:space="preserve">The qualifying signals, any one of which places the row</w:t>
      </w:r>
    </w:p>
    <w:p>
      <w:pPr>
        <w:spacing w:after="80"/>
        <w:ind w:left="340" w:hanging="200"/>
      </w:pPr>
      <w:r>
        <w:rPr>
          <w:sz w:val="22"/>
        </w:rPr>
        <w:t xml:space="preserve">• A published succession or exit signal — an owner stating an intention, a retirement announcement, a generational transfer, a brokered listing naming the company.</w:t>
      </w:r>
    </w:p>
    <w:p>
      <w:pPr>
        <w:spacing w:after="80"/>
        <w:ind w:left="340" w:hanging="200"/>
      </w:pPr>
      <w:r>
        <w:rPr>
          <w:sz w:val="22"/>
        </w:rPr>
        <w:t xml:space="preserve">• Owner age or tenure evidence from a dated source, where the company is owner-operated and no successor is named.</w:t>
      </w:r>
    </w:p>
    <w:p>
      <w:pPr>
        <w:spacing w:after="80"/>
        <w:ind w:left="340" w:hanging="200"/>
      </w:pPr>
      <w:r>
        <w:rPr>
          <w:sz w:val="22"/>
        </w:rPr>
        <w:t xml:space="preserve">• A sale that fell through, or a prior listing withdrawn. A company that tried to sell is a company that considered selling.</w:t>
      </w:r>
    </w:p>
    <w:p>
      <w:pPr>
        <w:spacing w:after="80"/>
        <w:ind w:left="340" w:hanging="200"/>
      </w:pPr>
      <w:r>
        <w:rPr>
          <w:sz w:val="22"/>
        </w:rPr>
        <w:t xml:space="preserve">• A division or site being divested by a larger parent — the carve-out case, which is an acquisition opportunity without an owner exit.</w:t>
      </w:r>
    </w:p>
    <w:p>
      <w:pPr>
        <w:keepNext/>
        <w:spacing w:before="160" w:after="100"/>
      </w:pPr>
      <w:r>
        <w:rPr>
          <w:b/>
          <w:sz w:val="24"/>
          <w:color w:val="C81E3C"/>
        </w:rPr>
        <w:t xml:space="preserve">What does not qualify</w:t>
      </w:r>
    </w:p>
    <w:p>
      <w:pPr>
        <w:spacing w:after="120"/>
      </w:pPr>
      <w:r>
        <w:rPr>
          <w:sz w:val="22"/>
        </w:rPr>
        <w:t xml:space="preserve">Size alone. Age alone. Being family-held alone. Those are tier judgements and the programme already makes them; reusing them as a practice signal would make every Tier A row an Acquisitions lead, which is the failure mode this chapter exists to prevent.</w:t>
      </w:r>
    </w:p>
    <w:p>
      <w:pPr>
        <w:keepNext/>
        <w:spacing w:before="160" w:after="100"/>
      </w:pPr>
      <w:r>
        <w:rPr>
          <w:b/>
          <w:sz w:val="24"/>
          <w:color w:val="C81E3C"/>
        </w:rPr>
        <w:t xml:space="preserve">The source rule, inherited</w:t>
      </w:r>
    </w:p>
    <w:p>
      <w:pPr>
        <w:spacing w:after="120"/>
      </w:pPr>
      <w:r>
        <w:rPr>
          <w:sz w:val="22"/>
        </w:rPr>
        <w:t xml:space="preserve">Acquisition signals come from press and registry, never from marketplace listings. Eleven business-for-sale marketplaces were measured: seven refused our reader and the four that answered anonymise their listings by design. A listing that names no company can never name one.</w:t>
      </w:r>
    </w:p>
    <w:p>
      <w:pPr>
        <w:pageBreakBefore/>
        <w:keepNext/>
        <w:spacing w:after="160"/>
      </w:pPr>
      <w:r>
        <w:rPr>
          <w:b/>
          <w:sz w:val="30"/>
          <w:color w:val="1F3864"/>
        </w:rPr>
        <w:t xml:space="preserve">14 · Dash Fractionals — what a lead is</w:t>
      </w:r>
    </w:p>
    <w:p>
      <w:pPr>
        <w:keepNext/>
        <w:spacing w:before="160" w:after="100"/>
      </w:pPr>
      <w:r>
        <w:rPr>
          <w:b/>
          <w:sz w:val="24"/>
          <w:color w:val="C81E3C"/>
        </w:rPr>
        <w:t xml:space="preserve">The qualifying signals</w:t>
      </w:r>
    </w:p>
    <w:p>
      <w:pPr>
        <w:spacing w:after="80"/>
        <w:ind w:left="340" w:hanging="200"/>
      </w:pPr>
      <w:r>
        <w:rPr>
          <w:sz w:val="22"/>
        </w:rPr>
        <w:t xml:space="preserve">• A named executive vacancy — a posting, a departure announcement, or an interim appointment, from a dated source.</w:t>
      </w:r>
    </w:p>
    <w:p>
      <w:pPr>
        <w:spacing w:after="80"/>
        <w:ind w:left="340" w:hanging="200"/>
      </w:pPr>
      <w:r>
        <w:rPr>
          <w:sz w:val="22"/>
        </w:rPr>
        <w:t xml:space="preserve">• A role held by the owner that the company has outgrown: one named person carrying both the top job and a functional one, visible on the company’s own leadership page.</w:t>
      </w:r>
    </w:p>
    <w:p>
      <w:pPr>
        <w:spacing w:after="80"/>
        <w:ind w:left="340" w:hanging="200"/>
      </w:pPr>
      <w:r>
        <w:rPr>
          <w:sz w:val="22"/>
        </w:rPr>
        <w:t xml:space="preserve">• A leadership page thinner than the company’s scale implies — a forty-million-dollar operation listing two executives.</w:t>
      </w:r>
    </w:p>
    <w:p>
      <w:pPr>
        <w:spacing w:after="80"/>
        <w:ind w:left="340" w:hanging="200"/>
      </w:pPr>
      <w:r>
        <w:rPr>
          <w:sz w:val="22"/>
        </w:rPr>
        <w:t xml:space="preserve">• A growth or expansion signal without a corresponding hire — a new site, a new line, a funding event, and no operating leadership added.</w:t>
      </w:r>
    </w:p>
    <w:p>
      <w:pPr>
        <w:keepNext/>
        <w:spacing w:before="160" w:after="100"/>
      </w:pPr>
      <w:r>
        <w:rPr>
          <w:b/>
          <w:sz w:val="24"/>
          <w:color w:val="C81E3C"/>
        </w:rPr>
        <w:t xml:space="preserve">Why this is the practice the register serves best</w:t>
      </w:r>
    </w:p>
    <w:p>
      <w:pPr>
        <w:spacing w:after="120"/>
      </w:pPr>
      <w:r>
        <w:rPr>
          <w:sz w:val="22"/>
        </w:rPr>
        <w:t xml:space="preserve">The register names officers. The Fractionals test is largely a question about who holds which office and what is missing from the list. Of the three practices, this is the one the free registry route most directly feeds — which is a further argument for chapter 8’s correction, and an argument the programme has not previously made.</w:t>
      </w:r>
    </w:p>
    <w:p>
      <w:pPr>
        <w:keepNext/>
        <w:spacing w:before="160" w:after="100"/>
      </w:pPr>
      <w:r>
        <w:rPr>
          <w:b/>
          <w:sz w:val="24"/>
          <w:color w:val="C81E3C"/>
        </w:rPr>
        <w:t xml:space="preserve">The honest limit</w:t>
      </w:r>
    </w:p>
    <w:p>
      <w:pPr>
        <w:spacing w:after="120"/>
      </w:pPr>
      <w:r>
        <w:rPr>
          <w:sz w:val="22"/>
        </w:rPr>
        <w:t xml:space="preserve">A registry officer is a legal officer and is not always the operating decision maker. A company can list three officers and run on one. The signal is suggestive, not conclusive, and a Fractionals row placed on registry evidence alone carries that qualification on its face.</w:t>
      </w:r>
    </w:p>
    <w:p>
      <w:pPr>
        <w:pageBreakBefore/>
        <w:keepNext/>
        <w:spacing w:after="160"/>
      </w:pPr>
      <w:r>
        <w:rPr>
          <w:b/>
          <w:sz w:val="30"/>
          <w:color w:val="1F3864"/>
        </w:rPr>
        <w:t xml:space="preserve">15 · Dash Private Equity — what a lead is</w:t>
      </w:r>
    </w:p>
    <w:p>
      <w:pPr>
        <w:keepNext/>
        <w:spacing w:before="160" w:after="100"/>
      </w:pPr>
      <w:r>
        <w:rPr>
          <w:b/>
          <w:sz w:val="24"/>
          <w:color w:val="C81E3C"/>
        </w:rPr>
        <w:t xml:space="preserve">The two shapes, and they are not the same lead</w:t>
      </w:r>
    </w:p>
    <w:p>
      <w:pPr>
        <w:spacing w:after="80"/>
        <w:ind w:left="340" w:hanging="200"/>
      </w:pPr>
      <w:r>
        <w:rPr>
          <w:sz w:val="22"/>
        </w:rPr>
        <w:t xml:space="preserve">• Sponsor-backed — a named sponsor holds the company. The lead is portfolio work: the sponsor is the buyer of our service, and the company is where it is delivered.</w:t>
      </w:r>
    </w:p>
    <w:p>
      <w:pPr>
        <w:spacing w:after="80"/>
        <w:ind w:left="340" w:hanging="200"/>
      </w:pPr>
      <w:r>
        <w:rPr>
          <w:sz w:val="22"/>
        </w:rPr>
        <w:t xml:space="preserve">• Sponsor-shaped — no sponsor today, but the company is of a size, sector and ownership a sponsor would hold. The lead is the company itself, and the practice is preparation rather than portfolio work.</w:t>
      </w:r>
    </w:p>
    <w:p>
      <w:pPr>
        <w:keepNext/>
        <w:spacing w:before="160" w:after="100"/>
      </w:pPr>
      <w:r>
        <w:rPr>
          <w:b/>
          <w:sz w:val="24"/>
          <w:color w:val="C81E3C"/>
        </w:rPr>
        <w:t xml:space="preserve">The ceiling question, and it is open</w:t>
      </w:r>
    </w:p>
    <w:p>
      <w:pPr>
        <w:spacing w:after="120"/>
      </w:pPr>
      <w:r>
        <w:rPr>
          <w:sz w:val="22"/>
        </w:rPr>
        <w:t xml:space="preserve">The programme’s working ceiling is twenty-five million dollars. A sponsor’s portfolio company is routinely larger, so applying the standard ceiling to sponsor-backed rows would exclude the exact population the practice exists to serve.</w:t>
      </w:r>
    </w:p>
    <w:p>
      <w:pPr>
        <w:spacing w:before="120" w:after="160"/>
        <w:ind w:left="200"/>
        <w:pBdr>
          <w:left w:val="single" w:sz="18" w:space="10" w:color="C81E3C"/>
        </w:pBdr>
      </w:pPr>
      <w:r>
        <w:rPr>
          <w:b/>
          <w:i/>
          <w:sz w:val="22"/>
          <w:color w:val="1F3864"/>
        </w:rPr>
        <w:t xml:space="preserve">This is recorded as open rather than decided. A sponsor-backed row is held above the ceiling and flagged, pending the Chair’s ruling on whether portfolio work carries its own band. Nothing is admitted or excluded on a ceiling the Chair has not set.</w:t>
      </w:r>
    </w:p>
    <w:p>
      <w:pPr>
        <w:keepNext/>
        <w:spacing w:before="160" w:after="100"/>
      </w:pPr>
      <w:r>
        <w:rPr>
          <w:b/>
          <w:sz w:val="24"/>
          <w:color w:val="C81E3C"/>
        </w:rPr>
        <w:t xml:space="preserve">The sources that pay here</w:t>
      </w:r>
    </w:p>
    <w:p>
      <w:pPr>
        <w:spacing w:after="120"/>
      </w:pPr>
      <w:r>
        <w:rPr>
          <w:sz w:val="22"/>
        </w:rPr>
        <w:t xml:space="preserve">Sponsor rosters, read through the roster reader, at roughly 282 reads a row — the most expensive class the programme measures, and one of only two that produced admissions in Florida. The reader takes location from the listing card, so cards cost about one read each. Read them as cards; the moment a card becomes a company read, the class stops paying.</w:t>
      </w:r>
    </w:p>
    <w:p>
      <w:pPr>
        <w:pageBreakBefore/>
        <w:keepNext/>
        <w:spacing w:after="200"/>
        <w:pBdr>
          <w:bottom w:val="single" w:sz="12" w:space="6" w:color="C81E3C"/>
        </w:pBdr>
      </w:pPr>
      <w:r>
        <w:rPr>
          <w:b/>
          <w:sz w:val="36"/>
          <w:color w:val="1F3864"/>
        </w:rPr>
        <w:t xml:space="preserve">Part Four · The three markets</w:t>
      </w:r>
    </w:p>
    <w:p>
      <w:pPr>
        <w:keepNext/>
        <w:spacing w:before="240" w:after="160"/>
      </w:pPr>
      <w:r>
        <w:rPr>
          <w:b/>
          <w:sz w:val="30"/>
          <w:color w:val="1F3864"/>
        </w:rPr>
        <w:t xml:space="preserve">16 · Florida — the benchmark, and what it still owes</w:t>
      </w:r>
    </w:p>
    <w:p>
      <w:pPr>
        <w:keepNext/>
        <w:spacing w:before="160" w:after="100"/>
      </w:pPr>
      <w:r>
        <w:rPr>
          <w:b/>
          <w:sz w:val="24"/>
          <w:color w:val="C81E3C"/>
        </w:rPr>
        <w:t xml:space="preserve">Access class</w:t>
      </w:r>
    </w:p>
    <w:p>
      <w:pPr>
        <w:spacing w:after="120"/>
      </w:pPr>
      <w:r>
        <w:rPr>
          <w:sz w:val="22"/>
        </w:rPr>
        <w:t xml:space="preserve">Free bulk file by public SFTP, officers included. This is the most permissive class the programme has found and Florida is the reason the registry correction exists. Write the line onto the file with its date and its source, which has never been done.</w:t>
      </w:r>
    </w:p>
    <w:p>
      <w:pPr>
        <w:keepNext/>
        <w:spacing w:before="160" w:after="100"/>
      </w:pPr>
      <w:r>
        <w:rPr>
          <w:b/>
          <w:sz w:val="24"/>
          <w:color w:val="C81E3C"/>
        </w:rPr>
        <w:t xml:space="preserve">What Florida has that no other market has</w:t>
      </w:r>
    </w:p>
    <w:p>
      <w:pPr>
        <w:spacing w:after="80"/>
        <w:ind w:left="340" w:hanging="200"/>
      </w:pPr>
      <w:r>
        <w:rPr>
          <w:sz w:val="22"/>
        </w:rPr>
        <w:t xml:space="preserve">• A console, with composer, validator, status filter, call timer, Addresses and Intake tabs.</w:t>
      </w:r>
    </w:p>
    <w:p>
      <w:pPr>
        <w:spacing w:after="80"/>
        <w:ind w:left="340" w:hanging="200"/>
      </w:pPr>
      <w:r>
        <w:rPr>
          <w:sz w:val="22"/>
        </w:rPr>
        <w:t xml:space="preserve">• A Core BD Report.</w:t>
      </w:r>
    </w:p>
    <w:p>
      <w:pPr>
        <w:spacing w:after="80"/>
        <w:ind w:left="340" w:hanging="200"/>
      </w:pPr>
      <w:r>
        <w:rPr>
          <w:sz w:val="22"/>
        </w:rPr>
        <w:t xml:space="preserve">• Two derived views — florida-pe.html and florida-bd-three-industries.html — which are the manual stand-in for the missing practice field.</w:t>
      </w:r>
    </w:p>
    <w:p>
      <w:pPr>
        <w:spacing w:after="80"/>
        <w:ind w:left="340" w:hanging="200"/>
      </w:pPr>
      <w:r>
        <w:rPr>
          <w:sz w:val="22"/>
        </w:rPr>
        <w:t xml:space="preserve">• A measured close: the 200-row benchmark of 115 dialable, 93 call-ready, 25 verified-callable, 13 partial, 9 measured shut.</w:t>
      </w:r>
    </w:p>
    <w:p>
      <w:pPr>
        <w:keepNext/>
        <w:spacing w:before="160" w:after="100"/>
      </w:pPr>
      <w:r>
        <w:rPr>
          <w:b/>
          <w:sz w:val="24"/>
          <w:color w:val="C81E3C"/>
        </w:rPr>
        <w:t xml:space="preserve">What it owes</w:t>
      </w:r>
    </w:p>
    <w:p>
      <w:pPr>
        <w:spacing w:after="80"/>
        <w:ind w:left="340" w:hanging="200"/>
      </w:pPr>
      <w:r>
        <w:rPr>
          <w:sz w:val="22"/>
        </w:rPr>
        <w:t xml:space="preserve">• The registry ingest, which has never run anywhere and runs here first.</w:t>
      </w:r>
    </w:p>
    <w:p>
      <w:pPr>
        <w:spacing w:after="80"/>
        <w:ind w:left="340" w:hanging="200"/>
      </w:pPr>
      <w:r>
        <w:rPr>
          <w:sz w:val="22"/>
        </w:rPr>
        <w:t xml:space="preserve">• The practice field on every row, which retires the two derived views by making them generable for any market.</w:t>
      </w:r>
    </w:p>
    <w:p>
      <w:pPr>
        <w:spacing w:after="80"/>
        <w:ind w:left="340" w:hanging="200"/>
      </w:pPr>
      <w:r>
        <w:rPr>
          <w:sz w:val="22"/>
        </w:rPr>
        <w:t xml:space="preserve">• The outcome column filled, from the first call.</w:t>
      </w:r>
    </w:p>
    <w:p>
      <w:pPr>
        <w:spacing w:after="80"/>
        <w:ind w:left="340" w:hanging="200"/>
      </w:pPr>
      <w:r>
        <w:rPr>
          <w:sz w:val="22"/>
        </w:rPr>
        <w:t xml:space="preserve">• Its four Unverified rows and its one Research pending row resolved.</w:t>
      </w:r>
    </w:p>
    <w:p>
      <w:pPr>
        <w:spacing w:after="80"/>
        <w:ind w:left="340" w:hanging="200"/>
      </w:pPr>
      <w:r>
        <w:rPr>
          <w:sz w:val="22"/>
        </w:rPr>
        <w:t xml:space="preserve">• Its five Verified archive rows read, because a Verified row in an archive is a contradiction standing on the record.</w:t>
      </w:r>
    </w:p>
    <w:p>
      <w:pPr>
        <w:pageBreakBefore/>
        <w:keepNext/>
        <w:spacing w:after="160"/>
      </w:pPr>
      <w:r>
        <w:rPr>
          <w:b/>
          <w:sz w:val="30"/>
          <w:color w:val="1F3864"/>
        </w:rPr>
        <w:t xml:space="preserve">17 · Chicago — the metro, and the rule it inherits</w:t>
      </w:r>
    </w:p>
    <w:p>
      <w:pPr>
        <w:keepNext/>
        <w:spacing w:before="160" w:after="100"/>
      </w:pPr>
      <w:r>
        <w:rPr>
          <w:b/>
          <w:sz w:val="24"/>
          <w:color w:val="C81E3C"/>
        </w:rPr>
        <w:t xml:space="preserve">Access class — inherited, and this is the point of the market</w:t>
      </w:r>
    </w:p>
    <w:p>
      <w:pPr>
        <w:spacing w:after="120"/>
      </w:pPr>
      <w:r>
        <w:rPr>
          <w:sz w:val="22"/>
        </w:rPr>
        <w:t>Chicago inherits Illinois: free bulk, person-downloaded, automation prohibited — no automated fetch of ilsos.gov by any route. Write the line onto chicago.html marked as inherited from Illinois, with the Illinois source line and its date. (Corrected 2026-10-31 by the Chair’s ruling: two pages read where one had been.)</w:t>
      </w:r>
    </w:p>
    <w:p>
      <w:pPr>
        <w:keepNext/>
        <w:spacing w:before="160" w:after="100"/>
      </w:pPr>
      <w:r>
        <w:rPr>
          <w:b/>
          <w:sz w:val="24"/>
          <w:color w:val="C81E3C"/>
        </w:rPr>
        <w:t xml:space="preserve">The largest working file in the three</w:t>
      </w:r>
    </w:p>
    <w:p>
      <w:pPr>
        <w:spacing w:after="120"/>
      </w:pPr>
      <w:r>
        <w:rPr>
          <w:sz w:val="22"/>
        </w:rPr>
        <w:t xml:space="preserve">241 rows against Florida’s 154 and Illinois’s 202, with 11 Unverified — the highest unverified count of the three. Those 11 are the cheapest work in the market and they are worked before anything is opened.</w:t>
      </w:r>
    </w:p>
    <w:p>
      <w:pPr>
        <w:keepNext/>
        <w:spacing w:before="160" w:after="100"/>
      </w:pPr>
      <w:r>
        <w:rPr>
          <w:b/>
          <w:sz w:val="24"/>
          <w:color w:val="C81E3C"/>
        </w:rPr>
        <w:t xml:space="preserve">What Chicago tests that the others do not</w:t>
      </w:r>
    </w:p>
    <w:p>
      <w:pPr>
        <w:spacing w:after="80"/>
        <w:ind w:left="340" w:hanging="200"/>
      </w:pPr>
      <w:r>
        <w:rPr>
          <w:sz w:val="22"/>
        </w:rPr>
        <w:t xml:space="preserve">• Whether the access class actually travels from state to metro, or whether it is honoured only by whoever read the method most recently.</w:t>
      </w:r>
    </w:p>
    <w:p>
      <w:pPr>
        <w:spacing w:after="80"/>
        <w:ind w:left="340" w:hanging="200"/>
      </w:pPr>
      <w:r>
        <w:rPr>
          <w:sz w:val="22"/>
        </w:rPr>
        <w:t xml:space="preserve">• Whether the overlap rule holds against a market that genuinely overlaps. See chapter 19.</w:t>
      </w:r>
    </w:p>
    <w:p>
      <w:pPr>
        <w:spacing w:after="80"/>
        <w:ind w:left="340" w:hanging="200"/>
      </w:pPr>
      <w:r>
        <w:rPr>
          <w:sz w:val="22"/>
        </w:rPr>
        <w:t xml:space="preserve">• Whether a market can be worked to Florida’s standard without Florida’s instruments. It cannot, which is why the console is deployed before the market opens.</w:t>
      </w:r>
    </w:p>
    <w:p>
      <w:pPr>
        <w:keepNext/>
        <w:spacing w:before="160" w:after="100"/>
      </w:pPr>
      <w:r>
        <w:rPr>
          <w:b/>
          <w:sz w:val="24"/>
          <w:color w:val="C81E3C"/>
        </w:rPr>
        <w:t xml:space="preserve">What it owes</w:t>
      </w:r>
    </w:p>
    <w:p>
      <w:pPr>
        <w:spacing w:after="80"/>
        <w:ind w:left="340" w:hanging="200"/>
      </w:pPr>
      <w:r>
        <w:rPr>
          <w:sz w:val="22"/>
        </w:rPr>
        <w:t xml:space="preserve">• A console, deployed from the Florida scripts with both instruments passing.</w:t>
      </w:r>
    </w:p>
    <w:p>
      <w:pPr>
        <w:spacing w:after="80"/>
        <w:ind w:left="340" w:hanging="200"/>
      </w:pPr>
      <w:r>
        <w:rPr>
          <w:sz w:val="22"/>
        </w:rPr>
        <w:t xml:space="preserve">• A Core BD Report, which it does not have.</w:t>
      </w:r>
    </w:p>
    <w:p>
      <w:pPr>
        <w:spacing w:after="80"/>
        <w:ind w:left="340" w:hanging="200"/>
      </w:pPr>
      <w:r>
        <w:rPr>
          <w:sz w:val="22"/>
        </w:rPr>
        <w:t xml:space="preserve">• Its 11 Unverified and 1 Research pending rows resolved.</w:t>
      </w:r>
    </w:p>
    <w:p>
      <w:pPr>
        <w:spacing w:after="80"/>
        <w:ind w:left="340" w:hanging="200"/>
      </w:pPr>
      <w:r>
        <w:rPr>
          <w:sz w:val="22"/>
        </w:rPr>
        <w:t xml:space="preserve">• Its 48 archive rows dated, so chapter 6’s review rule can apply to them.</w:t>
      </w:r>
    </w:p>
    <w:p>
      <w:pPr>
        <w:pageBreakBefore/>
        <w:keepNext/>
        <w:spacing w:after="160"/>
      </w:pPr>
      <w:r>
        <w:rPr>
          <w:b/>
          <w:sz w:val="30"/>
          <w:color w:val="1F3864"/>
        </w:rPr>
        <w:t xml:space="preserve">18 · Illinois — the restricted jurisdiction</w:t>
      </w:r>
    </w:p>
    <w:p>
      <w:pPr>
        <w:keepNext/>
        <w:spacing w:before="160" w:after="100"/>
      </w:pPr>
      <w:r>
        <w:rPr>
          <w:b/>
          <w:sz w:val="24"/>
          <w:color w:val="C81E3C"/>
        </w:rPr>
        <w:t xml:space="preserve">Access class — individual lookup only</w:t>
      </w:r>
    </w:p>
    <w:p>
      <w:pPr>
        <w:spacing w:after="120"/>
      </w:pPr>
      <w:r>
        <w:rPr>
          <w:sz w:val="22"/>
        </w:rPr>
        <w:t>Illinois publishes its register free as bulk data sets under the Business Data Transparency Act (P.A. 102-0049), and the same data page prohibits any process or tool sending automated queries to the website. A person downloads the sets; the build reads them from disk and never fetches ilsos.gov, bulk or per-row. The search page’s individual-use disclaimer governs the search tool, not the published sets. Its Annual Report data carries president and secretary for corporations; its LLC data carries managers. Step 2B, automated per-row File Detail Report lookups, is struck. (Corrected 2026-10-31 by the Chair’s ruling: two pages read where one had been.)</w:t>
      </w:r>
    </w:p>
    <w:p>
      <w:pPr>
        <w:spacing w:before="120" w:after="160"/>
        <w:ind w:left="200"/>
        <w:pBdr>
          <w:left w:val="single" w:sz="18" w:space="10" w:color="C81E3C"/>
        </w:pBdr>
      </w:pPr>
      <w:r>
        <w:rPr>
          <w:b/>
          <w:i/>
          <w:sz w:val="22"/>
          <w:color w:val="1F3864"/>
        </w:rPr>
        <w:t xml:space="preserve">Technical capability never overrides a stated restriction. Illinois is the market where that sentence stops being a principle and becomes a constraint on the day’s work.</w:t>
      </w:r>
    </w:p>
    <w:p>
      <w:pPr>
        <w:keepNext/>
        <w:spacing w:before="160" w:after="100"/>
      </w:pPr>
      <w:r>
        <w:rPr>
          <w:b/>
          <w:sz w:val="24"/>
          <w:color w:val="C81E3C"/>
        </w:rPr>
        <w:t xml:space="preserve">The highest verified rate in the programme</w:t>
      </w:r>
    </w:p>
    <w:p>
      <w:pPr>
        <w:spacing w:after="120"/>
      </w:pPr>
      <w:r>
        <w:rPr>
          <w:sz w:val="22"/>
        </w:rPr>
        <w:t xml:space="preserve">176 Verified of 202 rows, roughly 87 per cent. That figure should be read carefully rather than celebrated: Verified is a research state, not a dialling state, and no file reports the second. A market can be 87 per cent verified and have very few rows that can be dialled today.</w:t>
      </w:r>
    </w:p>
    <w:p>
      <w:pPr>
        <w:keepNext/>
        <w:spacing w:before="160" w:after="100"/>
      </w:pPr>
      <w:r>
        <w:rPr>
          <w:b/>
          <w:sz w:val="24"/>
          <w:color w:val="C81E3C"/>
        </w:rPr>
        <w:t xml:space="preserve">What Illinois tests</w:t>
      </w:r>
    </w:p>
    <w:p>
      <w:pPr>
        <w:spacing w:after="80"/>
        <w:ind w:left="340" w:hanging="200"/>
      </w:pPr>
      <w:r>
        <w:rPr>
          <w:sz w:val="22"/>
        </w:rPr>
        <w:t xml:space="preserve">• Whether a per-row registry route is economic. Illinois publishes exactly the officer field the completion queue needs, at one read per row — more expensive than a bulk file and far cheaper than the hundred-read discovery routes. This is a measurement the programme has never taken.</w:t>
      </w:r>
    </w:p>
    <w:p>
      <w:pPr>
        <w:spacing w:after="80"/>
        <w:ind w:left="340" w:hanging="200"/>
      </w:pPr>
      <w:r>
        <w:rPr>
          <w:sz w:val="22"/>
        </w:rPr>
        <w:t xml:space="preserve">• Whether a restricted jurisdiction can reach Florida’s close standard at all, or whether the standard itself is a function of a permissive register.</w:t>
      </w:r>
    </w:p>
    <w:p>
      <w:pPr>
        <w:keepNext/>
        <w:spacing w:before="160" w:after="100"/>
      </w:pPr>
      <w:r>
        <w:rPr>
          <w:b/>
          <w:sz w:val="24"/>
          <w:color w:val="C81E3C"/>
        </w:rPr>
        <w:t xml:space="preserve">What it owes</w:t>
      </w:r>
    </w:p>
    <w:p>
      <w:pPr>
        <w:spacing w:after="80"/>
        <w:ind w:left="340" w:hanging="200"/>
      </w:pPr>
      <w:r>
        <w:rPr>
          <w:sz w:val="22"/>
        </w:rPr>
        <w:t xml:space="preserve">• A console, a Core BD Report, and the access-class line with its source.</w:t>
      </w:r>
    </w:p>
    <w:p>
      <w:pPr>
        <w:spacing w:after="80"/>
        <w:ind w:left="340" w:hanging="200"/>
      </w:pPr>
      <w:r>
        <w:rPr>
          <w:sz w:val="22"/>
        </w:rPr>
        <w:t xml:space="preserve">• Its 1 Research pending row resolved, and its 25 Downgraded rows dated for the archive review rule.</w:t>
      </w:r>
    </w:p>
    <w:p>
      <w:pPr>
        <w:spacing w:after="80"/>
        <w:ind w:left="340" w:hanging="200"/>
      </w:pPr>
      <w:r>
        <w:rPr>
          <w:sz w:val="22"/>
        </w:rPr>
        <w:t xml:space="preserve">• An honest per-row registry cost, measured on a sample of twenty rows before the whole queue is committed to it.</w:t>
      </w:r>
    </w:p>
    <w:p>
      <w:pPr>
        <w:pageBreakBefore/>
        <w:keepNext/>
        <w:spacing w:after="160"/>
      </w:pPr>
      <w:r>
        <w:rPr>
          <w:b/>
          <w:sz w:val="30"/>
          <w:color w:val="1F3864"/>
        </w:rPr>
        <w:t xml:space="preserve">19 · The overlap — Chicago inside Illinois</w:t>
      </w:r>
    </w:p>
    <w:p>
      <w:pPr>
        <w:spacing w:after="120"/>
      </w:pPr>
      <w:r>
        <w:rPr>
          <w:sz w:val="22"/>
        </w:rPr>
        <w:t xml:space="preserve">A metro file and its state file can legitimately carry the same company. The method requires the overlap be reported by name with the file each row sits in, that nothing is merged or deleted on the build’s own judgement, and that an overlap above ten rows is a stop condition going to the Chair.</w:t>
      </w:r>
    </w:p>
    <w:p>
      <w:pPr>
        <w:keepNext/>
        <w:spacing w:before="160" w:after="100"/>
      </w:pPr>
      <w:r>
        <w:rPr>
          <w:b/>
          <w:sz w:val="24"/>
          <w:color w:val="C81E3C"/>
        </w:rPr>
        <w:t xml:space="preserve">It has never been run</w:t>
      </w:r>
    </w:p>
    <w:p>
      <w:pPr>
        <w:spacing w:after="120"/>
      </w:pPr>
      <w:r>
        <w:rPr>
          <w:sz w:val="22"/>
        </w:rPr>
        <w:t xml:space="preserve">Chicago and Illinois are the only metro-and-state pair in the programme where both files are substantial — 241 rows and 202 rows. The check is cheap, costs no reads, and has not been performed. Until it is, the combined figure for Illinois-and-Chicago is unknown, and any number stating it is an assumption.</w:t>
      </w:r>
    </w:p>
    <w:p>
      <w:pPr>
        <w:keepNext/>
        <w:spacing w:before="160" w:after="100"/>
      </w:pPr>
      <w:r>
        <w:rPr>
          <w:b/>
          <w:sz w:val="24"/>
          <w:color w:val="C81E3C"/>
        </w:rPr>
        <w:t xml:space="preserve">How it is run, and what it is not</w:t>
      </w:r>
    </w:p>
    <w:p>
      <w:pPr>
        <w:spacing w:after="80"/>
        <w:ind w:left="340" w:hanging="200"/>
      </w:pPr>
      <w:r>
        <w:rPr>
          <w:sz w:val="22"/>
        </w:rPr>
        <w:t xml:space="preserve">• Match on company name and address across the two working files. Report every match by name, with the file each sits in and the tier and status each carries.</w:t>
      </w:r>
    </w:p>
    <w:p>
      <w:pPr>
        <w:spacing w:after="80"/>
        <w:ind w:left="340" w:hanging="200"/>
      </w:pPr>
      <w:r>
        <w:rPr>
          <w:sz w:val="22"/>
        </w:rPr>
        <w:t xml:space="preserve">• Report, do not resolve. A company with a Chicago headquarters and downstate plants belongs in both files and the duplicate is correct.</w:t>
      </w:r>
    </w:p>
    <w:p>
      <w:pPr>
        <w:spacing w:after="80"/>
        <w:ind w:left="340" w:hanging="200"/>
      </w:pPr>
      <w:r>
        <w:rPr>
          <w:sz w:val="22"/>
        </w:rPr>
        <w:t xml:space="preserve">• Above ten matches, stop and go to the Chair. That threshold is a judgement about when a pattern stops being coincidence, not a tolerance.</w:t>
      </w:r>
    </w:p>
    <w:p>
      <w:pPr>
        <w:keepNext/>
        <w:spacing w:before="160" w:after="100"/>
      </w:pPr>
      <w:r>
        <w:rPr>
          <w:b/>
          <w:sz w:val="24"/>
          <w:color w:val="C81E3C"/>
        </w:rPr>
        <w:t xml:space="preserve">And the wider version, from chapter 7</w:t>
      </w:r>
    </w:p>
    <w:p>
      <w:pPr>
        <w:spacing w:after="120"/>
      </w:pPr>
      <w:r>
        <w:rPr>
          <w:sz w:val="22"/>
        </w:rPr>
        <w:t xml:space="preserve">The same match is owed across all twenty-seven working files. Chicago and Illinois are where it is proved before it is run at scale.</w:t>
      </w:r>
    </w:p>
    <w:p>
      <w:pPr>
        <w:pageBreakBefore/>
        <w:keepNext/>
        <w:spacing w:after="200"/>
        <w:pBdr>
          <w:bottom w:val="single" w:sz="12" w:space="6" w:color="C81E3C"/>
        </w:pBdr>
      </w:pPr>
      <w:r>
        <w:rPr>
          <w:b/>
          <w:sz w:val="36"/>
          <w:color w:val="1F3864"/>
        </w:rPr>
        <w:t xml:space="preserve">Part Five · The repository and the report</w:t>
      </w:r>
    </w:p>
    <w:p>
      <w:pPr>
        <w:keepNext/>
        <w:spacing w:before="240" w:after="160"/>
      </w:pPr>
      <w:r>
        <w:rPr>
          <w:b/>
          <w:sz w:val="30"/>
          <w:color w:val="1F3864"/>
        </w:rPr>
        <w:t xml:space="preserve">20 · What the repository holds, and what it cannot answer</w:t>
      </w:r>
    </w:p>
    <w:p>
      <w:pPr>
        <w:spacing w:after="120"/>
      </w:pPr>
      <w:r>
        <w:rPr>
          <w:sz w:val="22"/>
        </w:rPr>
        <w:t xml:space="preserve">Eighty-one market files — twenty-seven working, twenty-seven expansion, twenty-seven archive — plus the index, the master call sheet, the master rollup, the pipeline cockpit, the Business Health Assessment, the Who We Are posters, and for Florida alone a console and two derived views.</w:t>
      </w:r>
    </w:p>
    <w:p>
      <w:pPr>
        <w:keepNext/>
        <w:spacing w:before="160" w:after="100"/>
      </w:pPr>
      <w:r>
        <w:rPr>
          <w:b/>
          <w:sz w:val="24"/>
          <w:color w:val="C81E3C"/>
        </w:rPr>
        <w:t xml:space="preserve">The four questions it cannot answer today</w:t>
      </w:r>
    </w:p>
    <w:p>
      <w:pPr>
        <w:spacing w:after="80"/>
        <w:ind w:left="340" w:hanging="200"/>
      </w:pPr>
      <w:r>
        <w:rPr>
          <w:sz w:val="22"/>
        </w:rPr>
        <w:t xml:space="preserve">• Which practice does this row serve? No field exists. Chapter 3.</w:t>
      </w:r>
    </w:p>
    <w:p>
      <w:pPr>
        <w:spacing w:after="80"/>
        <w:ind w:left="340" w:hanging="200"/>
      </w:pPr>
      <w:r>
        <w:rPr>
          <w:sz w:val="22"/>
        </w:rPr>
        <w:t xml:space="preserve">• What may we legitimately take in this jurisdiction? No access-class line exists on any file. Chapter 4.</w:t>
      </w:r>
    </w:p>
    <w:p>
      <w:pPr>
        <w:spacing w:after="80"/>
        <w:ind w:left="340" w:hanging="200"/>
      </w:pPr>
      <w:r>
        <w:rPr>
          <w:sz w:val="22"/>
        </w:rPr>
        <w:t xml:space="preserve">• How many rows can be dialled today? No file reports call-ready; they report Verified, which is a different state. Chapter 1.</w:t>
      </w:r>
    </w:p>
    <w:p>
      <w:pPr>
        <w:spacing w:after="80"/>
        <w:ind w:left="340" w:hanging="200"/>
      </w:pPr>
      <w:r>
        <w:rPr>
          <w:sz w:val="22"/>
        </w:rPr>
        <w:t xml:space="preserve">• Did any of it produce a conversation? No file reports an outcome. Chapter 10.</w:t>
      </w:r>
    </w:p>
    <w:p>
      <w:pPr>
        <w:spacing w:before="120" w:after="160"/>
        <w:ind w:left="200"/>
        <w:pBdr>
          <w:left w:val="single" w:sz="18" w:space="10" w:color="C81E3C"/>
        </w:pBdr>
      </w:pPr>
      <w:r>
        <w:rPr>
          <w:b/>
          <w:i/>
          <w:sz w:val="22"/>
          <w:color w:val="1F3864"/>
        </w:rPr>
        <w:t xml:space="preserve">A repository that cannot say what a row is for, what may be taken, what can be dialled, or what resulted, is a research archive rather than a business-development system. These three markets are where that changes.</w:t>
      </w:r>
    </w:p>
    <w:p>
      <w:pPr>
        <w:keepNext/>
        <w:spacing w:before="160" w:after="100"/>
      </w:pPr>
      <w:r>
        <w:rPr>
          <w:b/>
          <w:sz w:val="24"/>
          <w:color w:val="C81E3C"/>
        </w:rPr>
        <w:t xml:space="preserve">The rollup, the cockpit and the index</w:t>
      </w:r>
    </w:p>
    <w:p>
      <w:pPr>
        <w:spacing w:after="120"/>
      </w:pPr>
      <w:r>
        <w:rPr>
          <w:sz w:val="22"/>
        </w:rPr>
        <w:t xml:space="preserve">All three aggregate input measures: rows, verified counts, coverage. Each gains two columns as these markets close — call-ready, and outcome — and neither is computed at the top. Both propagate upward from the row, so that a figure in the index can be traced to a row in a file, which is the standard every other number in this programme is held to.</w:t>
      </w:r>
    </w:p>
    <w:p>
      <w:pPr>
        <w:pageBreakBefore/>
        <w:keepNext/>
        <w:spacing w:after="160"/>
      </w:pPr>
      <w:r>
        <w:rPr>
          <w:b/>
          <w:sz w:val="30"/>
          <w:color w:val="1F3864"/>
        </w:rPr>
        <w:t xml:space="preserve">21 · The Core BD Report — what it carries, and who has one</w:t>
      </w:r>
    </w:p>
    <w:p>
      <w:pPr>
        <w:spacing w:after="120"/>
      </w:pPr>
      <w:r>
        <w:rPr>
          <w:sz w:val="22"/>
        </w:rPr>
        <w:t xml:space="preserve">Florida has one. Chicago and Illinois do not. A market without a report is a market whose state exists only in the file, readable by whoever opens the file.</w:t>
      </w:r>
    </w:p>
    <w:p>
      <w:pPr>
        <w:keepNext/>
        <w:spacing w:before="160" w:after="100"/>
      </w:pPr>
      <w:r>
        <w:rPr>
          <w:b/>
          <w:sz w:val="24"/>
          <w:color w:val="C81E3C"/>
        </w:rPr>
        <w:t xml:space="preserve">What a Core BD Report carries, per market</w:t>
      </w:r>
    </w:p>
    <w:p>
      <w:pPr>
        <w:spacing w:after="80"/>
        <w:ind w:left="340" w:hanging="200"/>
      </w:pPr>
      <w:r>
        <w:rPr>
          <w:sz w:val="22"/>
        </w:rPr>
        <w:t xml:space="preserve">• The access class, dated, with the source line from the Secretary of State’s own page.</w:t>
      </w:r>
    </w:p>
    <w:p>
      <w:pPr>
        <w:spacing w:after="80"/>
        <w:ind w:left="340" w:hanging="200"/>
      </w:pPr>
      <w:r>
        <w:rPr>
          <w:sz w:val="22"/>
        </w:rPr>
        <w:t xml:space="preserve">• The census: rows, tiers, and the four shortfalls — no named decision maker, no phone, no email, no dated signal — per file and per tier.</w:t>
      </w:r>
    </w:p>
    <w:p>
      <w:pPr>
        <w:spacing w:after="80"/>
        <w:ind w:left="340" w:hanging="200"/>
      </w:pPr>
      <w:r>
        <w:rPr>
          <w:sz w:val="22"/>
        </w:rPr>
        <w:t xml:space="preserve">• The dialable universe, call-ready, and verified-callable, as three distinct counts with the test each passed.</w:t>
      </w:r>
    </w:p>
    <w:p>
      <w:pPr>
        <w:spacing w:after="80"/>
        <w:ind w:left="340" w:hanging="200"/>
      </w:pPr>
      <w:r>
        <w:rPr>
          <w:sz w:val="22"/>
        </w:rPr>
        <w:t xml:space="preserve">• The practice split: how many rows serve Acquisitions, Fractionals, Private Equity, and how many are None.</w:t>
      </w:r>
    </w:p>
    <w:p>
      <w:pPr>
        <w:spacing w:after="80"/>
        <w:ind w:left="340" w:hanging="200"/>
      </w:pPr>
      <w:r>
        <w:rPr>
          <w:sz w:val="22"/>
        </w:rPr>
        <w:t xml:space="preserve">• The address split: named individual, role inbox, other address. Florida’s is 2, 31 and 11 of 93, and it is the figure that decides the route.</w:t>
      </w:r>
    </w:p>
    <w:p>
      <w:pPr>
        <w:spacing w:after="80"/>
        <w:ind w:left="340" w:hanging="200"/>
      </w:pPr>
      <w:r>
        <w:rPr>
          <w:sz w:val="22"/>
        </w:rPr>
        <w:t xml:space="preserve">• Reads spent and admissions won, by source class, with reads per admission.</w:t>
      </w:r>
    </w:p>
    <w:p>
      <w:pPr>
        <w:spacing w:after="80"/>
        <w:ind w:left="340" w:hanging="200"/>
      </w:pPr>
      <w:r>
        <w:rPr>
          <w:sz w:val="22"/>
        </w:rPr>
        <w:t xml:space="preserve">• The inheritance record diff — what this market learned that the next one inherits.</w:t>
      </w:r>
    </w:p>
    <w:p>
      <w:pPr>
        <w:spacing w:after="80"/>
        <w:ind w:left="340" w:hanging="200"/>
      </w:pPr>
      <w:r>
        <w:rPr>
          <w:sz w:val="22"/>
        </w:rPr>
        <w:t xml:space="preserve">• Outcome, once there is any: dialled, connected, conversation, meeting, no.</w:t>
      </w:r>
    </w:p>
    <w:p>
      <w:pPr>
        <w:spacing w:after="80"/>
        <w:ind w:left="340" w:hanging="200"/>
      </w:pPr>
      <w:r>
        <w:rPr>
          <w:sz w:val="22"/>
        </w:rPr>
        <w:t xml:space="preserve">• What was not done, and why. A report without this section is a report of the work that went well.</w:t>
      </w:r>
    </w:p>
    <w:p>
      <w:pPr>
        <w:keepNext/>
        <w:spacing w:before="160" w:after="100"/>
      </w:pPr>
      <w:r>
        <w:rPr>
          <w:b/>
          <w:sz w:val="24"/>
          <w:color w:val="C81E3C"/>
        </w:rPr>
        <w:t xml:space="preserve">The report is the market’s memory</w:t>
      </w:r>
    </w:p>
    <w:p>
      <w:pPr>
        <w:spacing w:after="120"/>
      </w:pPr>
      <w:r>
        <w:rPr>
          <w:sz w:val="22"/>
        </w:rPr>
        <w:t xml:space="preserve">A market file holds rows. The report holds why the rows are in the state they are in, what was tried, what refused us, and what it cost. Without it, the next person to open the market re-learns the market, which is the most expensive thing anyone in this programme does.</w:t>
      </w:r>
    </w:p>
    <w:p>
      <w:pPr>
        <w:pageBreakBefore/>
        <w:keepNext/>
        <w:spacing w:after="200"/>
        <w:pBdr>
          <w:bottom w:val="single" w:sz="12" w:space="6" w:color="C81E3C"/>
        </w:pBdr>
      </w:pPr>
      <w:r>
        <w:rPr>
          <w:b/>
          <w:sz w:val="36"/>
          <w:color w:val="1F3864"/>
        </w:rPr>
        <w:t xml:space="preserve">Part Six · The paste-ready brief</w:t>
      </w:r>
    </w:p>
    <w:p>
      <w:pPr>
        <w:pageBreakBefore/>
        <w:keepNext/>
        <w:spacing w:after="160"/>
      </w:pPr>
      <w:r>
        <w:rPr>
          <w:b/>
          <w:sz w:val="30"/>
          <w:color w:val="1F3864"/>
        </w:rPr>
        <w:t xml:space="preserve">22 · The brief, paste-ready</w:t>
      </w:r>
    </w:p>
    <w:p>
      <w:pPr>
        <w:spacing w:after="120"/>
      </w:pPr>
      <w:r>
        <w:rPr>
          <w:sz w:val="22"/>
        </w:rPr>
        <w:t xml:space="preserve">Paste this whole block into the build chat. Change nothing but the market order if the Chair rules it. Everything in it is measured or ruled; nothing is an estimate.</w:t>
      </w:r>
    </w:p>
    <w:p>
      <w:pPr>
        <w:spacing w:after="0"/>
        <w:ind w:left="200"/>
      </w:pPr>
      <w:r>
        <w:rPr>
          <w:rFonts w:ascii="Consolas" w:hAnsi="Consolas"/>
          <w:sz w:val="17"/>
        </w:rPr>
        <w:t xml:space="preserve">MARKET BUILD — FLORIDA · CHICAGO · ILLINOIS. Core State Build v7 footing.</w:t>
      </w:r>
    </w:p>
    <w:p>
      <w:pPr>
        <w:spacing w:after="0"/>
        <w:ind w:left="200"/>
      </w:pPr>
      <w:r>
        <w:rPr>
          <w:rFonts w:ascii="Consolas" w:hAnsi="Consolas"/>
          <w:sz w:val="17"/>
        </w:rPr>
        <w:t xml:space="preserve">Run in that order. One report per market at its close.</w:t>
      </w:r>
    </w:p>
    <w:p>
      <w:pPr>
        <w:spacing w:after="0"/>
        <w:ind w:left="200"/>
      </w:pPr>
      <w:r>
        <w:rPr>
          <w:rFonts w:ascii="Consolas" w:hAnsi="Consolas"/>
          <w:sz w:val="17"/>
        </w:rPr>
        <w:t xml:space="preserve"/>
      </w:r>
    </w:p>
    <w:p>
      <w:pPr>
        <w:spacing w:after="0"/>
        <w:ind w:left="200"/>
      </w:pPr>
      <w:r>
        <w:rPr>
          <w:rFonts w:ascii="Consolas" w:hAnsi="Consolas"/>
          <w:sz w:val="17"/>
        </w:rPr>
        <w:t xml:space="preserve">GATE, every step. Head short hash and per-file agreement by length, git blob</w:t>
      </w:r>
    </w:p>
    <w:p>
      <w:pPr>
        <w:spacing w:after="0"/>
        <w:ind w:left="200"/>
      </w:pPr>
      <w:r>
        <w:rPr>
          <w:rFonts w:ascii="Consolas" w:hAnsi="Consolas"/>
          <w:sz w:val="17"/>
        </w:rPr>
        <w:t xml:space="preserve">and SHA-256, on raw AND on a fresh clone. Never the phrase "GATE PASSED". Any</w:t>
      </w:r>
    </w:p>
    <w:p>
      <w:pPr>
        <w:spacing w:after="0"/>
        <w:ind w:left="200"/>
      </w:pPr>
      <w:r>
        <w:rPr>
          <w:rFonts w:ascii="Consolas" w:hAnsi="Consolas"/>
          <w:sz w:val="17"/>
        </w:rPr>
        <w:t xml:space="preserve">FAILED proof halts before read one. Say whether the gate is discipline or a hook.</w:t>
      </w:r>
    </w:p>
    <w:p>
      <w:pPr>
        <w:spacing w:after="0"/>
        <w:ind w:left="200"/>
      </w:pPr>
      <w:r>
        <w:rPr>
          <w:rFonts w:ascii="Consolas" w:hAnsi="Consolas"/>
          <w:sz w:val="17"/>
        </w:rPr>
        <w:t xml:space="preserve"/>
      </w:r>
    </w:p>
    <w:p>
      <w:pPr>
        <w:spacing w:after="0"/>
        <w:ind w:left="200"/>
      </w:pPr>
      <w:r>
        <w:rPr>
          <w:rFonts w:ascii="Consolas" w:hAnsi="Consolas"/>
          <w:sz w:val="17"/>
        </w:rPr>
        <w:t xml:space="preserve">STALE-COPY GATE — NEW, RUN FIRST. The project copies are stale: florida.html</w:t>
      </w:r>
    </w:p>
    <w:p>
      <w:pPr>
        <w:spacing w:after="0"/>
        <w:ind w:left="200"/>
      </w:pPr>
      <w:r>
        <w:rPr>
          <w:rFonts w:ascii="Consolas" w:hAnsi="Consolas"/>
          <w:sz w:val="17"/>
        </w:rPr>
        <w:t xml:space="preserve">reads 293,717 bytes locally against 368,729 live. Fetch all nine files from the</w:t>
      </w:r>
    </w:p>
    <w:p>
      <w:pPr>
        <w:spacing w:after="0"/>
        <w:ind w:left="200"/>
      </w:pPr>
      <w:r>
        <w:rPr>
          <w:rFonts w:ascii="Consolas" w:hAnsi="Consolas"/>
          <w:sz w:val="17"/>
        </w:rPr>
        <w:t xml:space="preserve">live branch. Re-census on those bytes. Report both figures and the delta. Do</w:t>
      </w:r>
    </w:p>
    <w:p>
      <w:pPr>
        <w:spacing w:after="0"/>
        <w:ind w:left="200"/>
      </w:pPr>
      <w:r>
        <w:rPr>
          <w:rFonts w:ascii="Consolas" w:hAnsi="Consolas"/>
          <w:sz w:val="17"/>
        </w:rPr>
        <w:t xml:space="preserve">not carry any prior count forward.</w:t>
      </w:r>
    </w:p>
    <w:p>
      <w:pPr>
        <w:spacing w:after="0"/>
        <w:ind w:left="200"/>
      </w:pPr>
      <w:r>
        <w:rPr>
          <w:rFonts w:ascii="Consolas" w:hAnsi="Consolas"/>
          <w:sz w:val="17"/>
        </w:rPr>
        <w:t xml:space="preserve"/>
      </w:r>
    </w:p>
    <w:p>
      <w:pPr>
        <w:spacing w:after="0"/>
        <w:ind w:left="200"/>
      </w:pPr>
      <w:r>
        <w:rPr>
          <w:rFonts w:ascii="Consolas" w:hAnsi="Consolas"/>
          <w:sz w:val="17"/>
        </w:rPr>
        <w:t xml:space="preserve">FOUNDERS 72. On the brief and on each delivery. Both verdicts at the head.</w:t>
      </w:r>
    </w:p>
    <w:p>
      <w:pPr>
        <w:spacing w:after="0"/>
        <w:ind w:left="200"/>
      </w:pPr>
      <w:r>
        <w:rPr>
          <w:rFonts w:ascii="Consolas" w:hAnsi="Consolas"/>
          <w:sz w:val="17"/>
        </w:rPr>
        <w:t xml:space="preserve">Standing dissent carried. Blind count reported. Name the seat where its lens</w:t>
      </w:r>
    </w:p>
    <w:p>
      <w:pPr>
        <w:spacing w:after="0"/>
        <w:ind w:left="200"/>
      </w:pPr>
      <w:r>
        <w:rPr>
          <w:rFonts w:ascii="Consolas" w:hAnsi="Consolas"/>
          <w:sz w:val="17"/>
        </w:rPr>
        <w:t xml:space="preserve">changed a call.</w:t>
      </w:r>
    </w:p>
    <w:p>
      <w:pPr>
        <w:spacing w:after="0"/>
        <w:ind w:left="200"/>
      </w:pPr>
      <w:r>
        <w:rPr>
          <w:rFonts w:ascii="Consolas" w:hAnsi="Consolas"/>
          <w:sz w:val="17"/>
        </w:rPr>
        <w:t xml:space="preserve"/>
      </w:r>
    </w:p>
    <w:p>
      <w:pPr>
        <w:spacing w:after="0"/>
        <w:ind w:left="200"/>
      </w:pPr>
      <w:r>
        <w:rPr>
          <w:rFonts w:ascii="Consolas" w:hAnsi="Consolas"/>
          <w:sz w:val="17"/>
        </w:rPr>
        <w:t xml:space="preserve">READS. Ceiling from bot-config.json. Every source probed on a planted control</w:t>
      </w:r>
    </w:p>
    <w:p>
      <w:pPr>
        <w:spacing w:after="0"/>
        <w:ind w:left="200"/>
      </w:pPr>
      <w:r>
        <w:rPr>
          <w:rFonts w:ascii="Consolas" w:hAnsi="Consolas"/>
          <w:sz w:val="17"/>
        </w:rPr>
        <w:t xml:space="preserve">built from its live form before its first read. Refusals logged with code AND</w:t>
      </w:r>
    </w:p>
    <w:p>
      <w:pPr>
        <w:spacing w:after="0"/>
        <w:ind w:left="200"/>
      </w:pPr>
      <w:r>
        <w:rPr>
          <w:rFonts w:ascii="Consolas" w:hAnsi="Consolas"/>
          <w:sz w:val="17"/>
        </w:rPr>
        <w:t xml:space="preserve">with the reader refused. Closure keyed on the host it measures. Company sites</w:t>
      </w:r>
    </w:p>
    <w:p>
      <w:pPr>
        <w:spacing w:after="0"/>
        <w:ind w:left="200"/>
      </w:pPr>
      <w:r>
        <w:rPr>
          <w:rFonts w:ascii="Consolas" w:hAnsi="Consolas"/>
          <w:sz w:val="17"/>
        </w:rPr>
        <w:t xml:space="preserve">are never signals.</w:t>
      </w:r>
    </w:p>
    <w:p>
      <w:pPr>
        <w:spacing w:after="0"/>
        <w:ind w:left="200"/>
      </w:pPr>
      <w:r>
        <w:rPr>
          <w:rFonts w:ascii="Consolas" w:hAnsi="Consolas"/>
          <w:sz w:val="17"/>
        </w:rPr>
        <w:t xml:space="preserve"/>
      </w:r>
    </w:p>
    <w:p>
      <w:pPr>
        <w:spacing w:after="0"/>
        <w:ind w:left="200"/>
      </w:pPr>
      <w:r>
        <w:rPr>
          <w:rFonts w:ascii="Consolas" w:hAnsi="Consolas"/>
          <w:sz w:val="17"/>
        </w:rPr>
        <w:t xml:space="preserve">INSTRUMENTS. Officer extractor, roster reader, source-coverage panel,</w:t>
      </w:r>
    </w:p>
    <w:p>
      <w:pPr>
        <w:spacing w:after="0"/>
        <w:ind w:left="200"/>
      </w:pPr>
      <w:r>
        <w:rPr>
          <w:rFonts w:ascii="Consolas" w:hAnsi="Consolas"/>
          <w:sz w:val="17"/>
        </w:rPr>
        <w:t xml:space="preserve">completion queue, contact block. Prove each on planted cases at the gate.</w:t>
      </w:r>
    </w:p>
    <w:p>
      <w:pPr>
        <w:spacing w:after="0"/>
        <w:ind w:left="200"/>
      </w:pPr>
      <w:r>
        <w:rPr>
          <w:rFonts w:ascii="Consolas" w:hAnsi="Consolas"/>
          <w:sz w:val="17"/>
        </w:rPr>
        <w:t xml:space="preserve">Do not rebuild. Commit them as files with their planted cases.</w:t>
      </w:r>
    </w:p>
    <w:p>
      <w:pPr>
        <w:spacing w:after="0"/>
        <w:ind w:left="200"/>
      </w:pPr>
      <w:r>
        <w:rPr>
          <w:rFonts w:ascii="Consolas" w:hAnsi="Consolas"/>
          <w:sz w:val="17"/>
        </w:rPr>
        <w:t xml:space="preserve"/>
      </w:r>
    </w:p>
    <w:p>
      <w:pPr>
        <w:spacing w:after="0"/>
        <w:ind w:left="200"/>
      </w:pPr>
      <w:r>
        <w:rPr>
          <w:rFonts w:ascii="Consolas" w:hAnsi="Consolas"/>
          <w:sz w:val="17"/>
        </w:rPr>
        <w:t xml:space="preserve">STANDING RULES. A classifier output is read before it is written or counted,</w:t>
      </w:r>
    </w:p>
    <w:p>
      <w:pPr>
        <w:spacing w:after="0"/>
        <w:ind w:left="200"/>
      </w:pPr>
      <w:r>
        <w:rPr>
          <w:rFonts w:ascii="Consolas" w:hAnsi="Consolas"/>
          <w:sz w:val="17"/>
        </w:rPr>
        <w:t xml:space="preserve">rejections as well as passes. A derived value carries its derivation. A</w:t>
      </w:r>
    </w:p>
    <w:p>
      <w:pPr>
        <w:spacing w:after="0"/>
        <w:ind w:left="200"/>
      </w:pPr>
      <w:r>
        <w:rPr>
          <w:rFonts w:ascii="Consolas" w:hAnsi="Consolas"/>
          <w:sz w:val="17"/>
        </w:rPr>
        <w:t xml:space="preserve">disputed bind is held, never resolved by the builder. Own knowledge is never</w:t>
      </w:r>
    </w:p>
    <w:p>
      <w:pPr>
        <w:spacing w:after="0"/>
        <w:ind w:left="200"/>
      </w:pPr>
      <w:r>
        <w:rPr>
          <w:rFonts w:ascii="Consolas" w:hAnsi="Consolas"/>
          <w:sz w:val="17"/>
        </w:rPr>
        <w:t xml:space="preserve">a source. A fault number is never reused.</w:t>
      </w:r>
    </w:p>
    <w:p>
      <w:pPr>
        <w:spacing w:after="0"/>
        <w:ind w:left="200"/>
      </w:pPr>
      <w:r>
        <w:rPr>
          <w:rFonts w:ascii="Consolas" w:hAnsi="Consolas"/>
          <w:sz w:val="17"/>
        </w:rPr>
        <w:t xml:space="preserve"/>
      </w:r>
    </w:p>
    <w:p>
      <w:pPr>
        <w:spacing w:after="0"/>
        <w:ind w:left="200"/>
      </w:pPr>
      <w:r>
        <w:rPr>
          <w:rFonts w:ascii="Consolas" w:hAnsi="Consolas"/>
          <w:sz w:val="17"/>
        </w:rPr>
        <w:t xml:space="preserve">STEP ZERO — ACCESS CLASS, NO READS.</w:t>
      </w:r>
    </w:p>
    <w:p>
      <w:pPr>
        <w:spacing w:after="0"/>
        <w:ind w:left="200"/>
      </w:pPr>
      <w:r>
        <w:rPr>
          <w:rFonts w:ascii="Consolas" w:hAnsi="Consolas"/>
          <w:sz w:val="17"/>
        </w:rPr>
        <w:t xml:space="preserve">  Florida: free bulk file, public SFTP, officers included.</w:t>
      </w:r>
    </w:p>
    <w:p>
      <w:pPr>
        <w:spacing w:after="0"/>
        <w:ind w:left="200"/>
      </w:pPr>
      <w:r>
        <w:rPr>
          <w:rFonts w:ascii="Consolas" w:hAnsi="Consolas"/>
          <w:sz w:val="17"/>
        </w:rPr>
        <w:t xml:space="preserve">  Illinois: free bulk, person-downloaded; automation prohibited by any route and any tool. (Corrected 2026-10-31 by the Chair’s ruling: two pages read where one had been.)</w:t>
      </w:r>
    </w:p>
    <w:p>
      <w:pPr>
        <w:spacing w:after="0"/>
        <w:ind w:left="200"/>
      </w:pPr>
      <w:r>
        <w:rPr>
          <w:rFonts w:ascii="Consolas" w:hAnsi="Consolas"/>
          <w:sz w:val="17"/>
        </w:rPr>
        <w:t xml:space="preserve">  Chicago: INHERITS Illinois. Write the line on chicago.html marked inherited.</w:t>
      </w:r>
    </w:p>
    <w:p>
      <w:pPr>
        <w:spacing w:after="0"/>
        <w:ind w:left="200"/>
      </w:pPr>
      <w:r>
        <w:rPr>
          <w:rFonts w:ascii="Consolas" w:hAnsi="Consolas"/>
          <w:sz w:val="17"/>
        </w:rPr>
        <w:t xml:space="preserve">  Each line dated, with the Secretary of State source URL. No read before the</w:t>
      </w:r>
    </w:p>
    <w:p>
      <w:pPr>
        <w:spacing w:after="0"/>
        <w:ind w:left="200"/>
      </w:pPr>
      <w:r>
        <w:rPr>
          <w:rFonts w:ascii="Consolas" w:hAnsi="Consolas"/>
          <w:sz w:val="17"/>
        </w:rPr>
        <w:t xml:space="preserve">  line exists on the file. A stated restriction outranks any capability.</w:t>
      </w:r>
    </w:p>
    <w:p>
      <w:pPr>
        <w:spacing w:after="0"/>
        <w:ind w:left="200"/>
      </w:pPr>
      <w:r>
        <w:rPr>
          <w:rFonts w:ascii="Consolas" w:hAnsi="Consolas"/>
          <w:sz w:val="17"/>
        </w:rPr>
        <w:t xml:space="preserve"/>
      </w:r>
    </w:p>
    <w:p>
      <w:pPr>
        <w:spacing w:after="0"/>
        <w:ind w:left="200"/>
      </w:pPr>
      <w:r>
        <w:rPr>
          <w:rFonts w:ascii="Consolas" w:hAnsi="Consolas"/>
          <w:sz w:val="17"/>
        </w:rPr>
        <w:t xml:space="preserve">STEP ONE — CENSUS, ZERO READS, all nine files.</w:t>
      </w:r>
    </w:p>
    <w:p>
      <w:pPr>
        <w:spacing w:after="0"/>
        <w:ind w:left="200"/>
      </w:pPr>
      <w:r>
        <w:rPr>
          <w:rFonts w:ascii="Consolas" w:hAnsi="Consolas"/>
          <w:sz w:val="17"/>
        </w:rPr>
        <w:t xml:space="preserve">  Rows, tiers, and the four shortfalls per file and per tier.</w:t>
      </w:r>
    </w:p>
    <w:p>
      <w:pPr>
        <w:spacing w:after="0"/>
        <w:ind w:left="200"/>
      </w:pPr>
      <w:r>
        <w:rPr>
          <w:rFonts w:ascii="Consolas" w:hAnsi="Consolas"/>
          <w:sz w:val="17"/>
        </w:rPr>
        <w:t xml:space="preserve">  Routes refused rather than absent, with the reader named.</w:t>
      </w:r>
    </w:p>
    <w:p>
      <w:pPr>
        <w:spacing w:after="0"/>
        <w:ind w:left="200"/>
      </w:pPr>
      <w:r>
        <w:rPr>
          <w:rFonts w:ascii="Consolas" w:hAnsi="Consolas"/>
          <w:sz w:val="17"/>
        </w:rPr>
        <w:t xml:space="preserve">  Then: dialable universe, call-ready, verified-callable — three counts.</w:t>
      </w:r>
    </w:p>
    <w:p>
      <w:pPr>
        <w:spacing w:after="0"/>
        <w:ind w:left="200"/>
      </w:pPr>
      <w:r>
        <w:rPr>
          <w:rFonts w:ascii="Consolas" w:hAnsi="Consolas"/>
          <w:sz w:val="17"/>
        </w:rPr>
        <w:t xml:space="preserve">  CHICAGO x ILLINOIS OVERLAP: match on name and address across the two working</w:t>
      </w:r>
    </w:p>
    <w:p>
      <w:pPr>
        <w:spacing w:after="0"/>
        <w:ind w:left="200"/>
      </w:pPr>
      <w:r>
        <w:rPr>
          <w:rFonts w:ascii="Consolas" w:hAnsi="Consolas"/>
          <w:sz w:val="17"/>
        </w:rPr>
        <w:t xml:space="preserve">  files. Report every match by name with its file, tier and status. Never merge</w:t>
      </w:r>
    </w:p>
    <w:p>
      <w:pPr>
        <w:spacing w:after="0"/>
        <w:ind w:left="200"/>
      </w:pPr>
      <w:r>
        <w:rPr>
          <w:rFonts w:ascii="Consolas" w:hAnsi="Consolas"/>
          <w:sz w:val="17"/>
        </w:rPr>
        <w:t xml:space="preserve">  or delete. Above ten matches, stop and report to the Chair.</w:t>
      </w:r>
    </w:p>
    <w:p>
      <w:pPr>
        <w:spacing w:after="0"/>
        <w:ind w:left="200"/>
      </w:pPr>
      <w:r>
        <w:rPr>
          <w:rFonts w:ascii="Consolas" w:hAnsi="Consolas"/>
          <w:sz w:val="17"/>
        </w:rPr>
        <w:t xml:space="preserve">  Resolve the four surviving "Research pending" rows, then sweep for the value.</w:t>
      </w:r>
    </w:p>
    <w:p>
      <w:pPr>
        <w:spacing w:after="0"/>
        <w:ind w:left="200"/>
      </w:pPr>
      <w:r>
        <w:rPr>
          <w:rFonts w:ascii="Consolas" w:hAnsi="Consolas"/>
          <w:sz w:val="17"/>
        </w:rPr>
        <w:t xml:space="preserve"/>
      </w:r>
    </w:p>
    <w:p>
      <w:pPr>
        <w:spacing w:after="0"/>
        <w:ind w:left="200"/>
      </w:pPr>
      <w:r>
        <w:rPr>
          <w:rFonts w:ascii="Consolas" w:hAnsi="Consolas"/>
          <w:sz w:val="17"/>
        </w:rPr>
        <w:t xml:space="preserve">STEP TWO — REGISTRY FIRST, THEN THE QUEUE.</w:t>
      </w:r>
    </w:p>
    <w:p>
      <w:pPr>
        <w:spacing w:after="0"/>
        <w:ind w:left="200"/>
      </w:pPr>
      <w:r>
        <w:rPr>
          <w:rFonts w:ascii="Consolas" w:hAnsi="Consolas"/>
          <w:sz w:val="17"/>
        </w:rPr>
        <w:t xml:space="preserve">  2A FLORIDA REGISTRY INGEST. This has never been run anywhere. Take the bulk</w:t>
      </w:r>
    </w:p>
    <w:p>
      <w:pPr>
        <w:spacing w:after="0"/>
        <w:ind w:left="200"/>
      </w:pPr>
      <w:r>
        <w:rPr>
          <w:rFonts w:ascii="Consolas" w:hAnsi="Consolas"/>
          <w:sz w:val="17"/>
        </w:rPr>
        <w:t xml:space="preserve">     file in full, parse, join on name and address, fill the named decision</w:t>
      </w:r>
    </w:p>
    <w:p>
      <w:pPr>
        <w:spacing w:after="0"/>
        <w:ind w:left="200"/>
      </w:pPr>
      <w:r>
        <w:rPr>
          <w:rFonts w:ascii="Consolas" w:hAnsi="Consolas"/>
          <w:sz w:val="17"/>
        </w:rPr>
        <w:t xml:space="preserve">     maker before any per-row read. Report rows filled, rows the register could</w:t>
      </w:r>
    </w:p>
    <w:p>
      <w:pPr>
        <w:spacing w:after="0"/>
        <w:ind w:left="200"/>
      </w:pPr>
      <w:r>
        <w:rPr>
          <w:rFonts w:ascii="Consolas" w:hAnsi="Consolas"/>
          <w:sz w:val="17"/>
        </w:rPr>
        <w:t xml:space="preserve">     not reach, and reads not spent as a consequence.</w:t>
      </w:r>
    </w:p>
    <w:p>
      <w:pPr>
        <w:spacing w:after="0"/>
        <w:ind w:left="200"/>
      </w:pPr>
      <w:r>
        <w:rPr>
          <w:rFonts w:ascii="Consolas" w:hAnsi="Consolas"/>
          <w:sz w:val="17"/>
        </w:rPr>
        <w:t xml:space="preserve">  2B ILLINOIS AND CHICAGO. Per-row File Detail Report lookups only — president</w:t>
      </w:r>
    </w:p>
    <w:p>
      <w:pPr>
        <w:spacing w:after="0"/>
        <w:ind w:left="200"/>
      </w:pPr>
      <w:r>
        <w:rPr>
          <w:rFonts w:ascii="Consolas" w:hAnsi="Consolas"/>
          <w:sz w:val="17"/>
        </w:rPr>
        <w:t xml:space="preserve">     and secretary for corporations, managers for LLCs. Measure cost on a</w:t>
      </w:r>
    </w:p>
    <w:p>
      <w:pPr>
        <w:spacing w:after="0"/>
        <w:ind w:left="200"/>
      </w:pPr>
      <w:r>
        <w:rPr>
          <w:rFonts w:ascii="Consolas" w:hAnsi="Consolas"/>
          <w:sz w:val="17"/>
        </w:rPr>
        <w:t xml:space="preserve">     twenty-row sample BEFORE committing the queue. Report reads per fill.</w:t>
      </w:r>
    </w:p>
    <w:p>
      <w:pPr>
        <w:spacing w:after="0"/>
        <w:ind w:left="200"/>
      </w:pPr>
      <w:r>
        <w:rPr>
          <w:rFonts w:ascii="Consolas" w:hAnsi="Consolas"/>
          <w:sz w:val="17"/>
        </w:rPr>
        <w:t xml:space="preserve">  2C THE QUEUE, all three markets. Tier A, B and intake rows short of</w:t>
      </w:r>
    </w:p>
    <w:p>
      <w:pPr>
        <w:spacing w:after="0"/>
        <w:ind w:left="200"/>
      </w:pPr>
      <w:r>
        <w:rPr>
          <w:rFonts w:ascii="Consolas" w:hAnsi="Consolas"/>
          <w:sz w:val="17"/>
        </w:rPr>
        <w:t xml:space="preserve">     call-ready, ranked by fewest reads to call-ready. Tier C never enters.</w:t>
      </w:r>
    </w:p>
    <w:p>
      <w:pPr>
        <w:spacing w:after="0"/>
        <w:ind w:left="200"/>
      </w:pPr>
      <w:r>
        <w:rPr>
          <w:rFonts w:ascii="Consolas" w:hAnsi="Consolas"/>
          <w:sz w:val="17"/>
        </w:rPr>
        <w:t xml:space="preserve">     Each row ends completed, measured shut with codes and reader, or partial</w:t>
      </w:r>
    </w:p>
    <w:p>
      <w:pPr>
        <w:spacing w:after="0"/>
        <w:ind w:left="200"/>
      </w:pPr>
      <w:r>
        <w:rPr>
          <w:rFonts w:ascii="Consolas" w:hAnsi="Consolas"/>
          <w:sz w:val="17"/>
        </w:rPr>
        <w:t xml:space="preserve">     with routes named. No row left silently thin. Report call-ready before and</w:t>
      </w:r>
    </w:p>
    <w:p>
      <w:pPr>
        <w:spacing w:after="0"/>
        <w:ind w:left="200"/>
      </w:pPr>
      <w:r>
        <w:rPr>
          <w:rFonts w:ascii="Consolas" w:hAnsi="Consolas"/>
          <w:sz w:val="17"/>
        </w:rPr>
        <w:t xml:space="preserve">     after, and reads per completion against Florida 6.7.</w:t>
      </w:r>
    </w:p>
    <w:p>
      <w:pPr>
        <w:spacing w:after="0"/>
        <w:ind w:left="200"/>
      </w:pPr>
      <w:r>
        <w:rPr>
          <w:rFonts w:ascii="Consolas" w:hAnsi="Consolas"/>
          <w:sz w:val="17"/>
        </w:rPr>
        <w:t xml:space="preserve"/>
      </w:r>
    </w:p>
    <w:p>
      <w:pPr>
        <w:spacing w:after="0"/>
        <w:ind w:left="200"/>
      </w:pPr>
      <w:r>
        <w:rPr>
          <w:rFonts w:ascii="Consolas" w:hAnsi="Consolas"/>
          <w:sz w:val="17"/>
        </w:rPr>
        <w:t xml:space="preserve">STEP TWO-AND-A-HALF — THE PRACTICE FIELD. NEW, AND IT BLOCKS THE BRIEF.</w:t>
      </w:r>
    </w:p>
    <w:p>
      <w:pPr>
        <w:spacing w:after="0"/>
        <w:ind w:left="200"/>
      </w:pPr>
      <w:r>
        <w:rPr>
          <w:rFonts w:ascii="Consolas" w:hAnsi="Consolas"/>
          <w:sz w:val="17"/>
        </w:rPr>
        <w:t xml:space="preserve">  No practice field exists on any row. Add one to every working and expansion</w:t>
      </w:r>
    </w:p>
    <w:p>
      <w:pPr>
        <w:spacing w:after="0"/>
        <w:ind w:left="200"/>
      </w:pPr>
      <w:r>
        <w:rPr>
          <w:rFonts w:ascii="Consolas" w:hAnsi="Consolas"/>
          <w:sz w:val="17"/>
        </w:rPr>
        <w:t xml:space="preserve">  row: Acquisitions, Fractionals, Private Equity, or None — one or more, each</w:t>
      </w:r>
    </w:p>
    <w:p>
      <w:pPr>
        <w:spacing w:after="0"/>
        <w:ind w:left="200"/>
      </w:pPr>
      <w:r>
        <w:rPr>
          <w:rFonts w:ascii="Consolas" w:hAnsi="Consolas"/>
          <w:sz w:val="17"/>
        </w:rPr>
        <w:t xml:space="preserve">  with the signal that placed it and a date. Derived from evidence on the row,</w:t>
      </w:r>
    </w:p>
    <w:p>
      <w:pPr>
        <w:spacing w:after="0"/>
        <w:ind w:left="200"/>
      </w:pPr>
      <w:r>
        <w:rPr>
          <w:rFonts w:ascii="Consolas" w:hAnsi="Consolas"/>
          <w:sz w:val="17"/>
        </w:rPr>
        <w:t xml:space="preserve">  never asserted. None is written explicitly; blank is not a value.</w:t>
      </w:r>
    </w:p>
    <w:p>
      <w:pPr>
        <w:spacing w:after="0"/>
        <w:ind w:left="200"/>
      </w:pPr>
      <w:r>
        <w:rPr>
          <w:rFonts w:ascii="Consolas" w:hAnsi="Consolas"/>
          <w:sz w:val="17"/>
        </w:rPr>
        <w:t xml:space="preserve">  Acquisitions: exit or succession signal, owner age/tenure with no successor,</w:t>
      </w:r>
    </w:p>
    <w:p>
      <w:pPr>
        <w:spacing w:after="0"/>
        <w:ind w:left="200"/>
      </w:pPr>
      <w:r>
        <w:rPr>
          <w:rFonts w:ascii="Consolas" w:hAnsi="Consolas"/>
          <w:sz w:val="17"/>
        </w:rPr>
        <w:t xml:space="preserve">    withdrawn listing, or a parent divesting a division.</w:t>
      </w:r>
    </w:p>
    <w:p>
      <w:pPr>
        <w:spacing w:after="0"/>
        <w:ind w:left="200"/>
      </w:pPr>
      <w:r>
        <w:rPr>
          <w:rFonts w:ascii="Consolas" w:hAnsi="Consolas"/>
          <w:sz w:val="17"/>
        </w:rPr>
        <w:t xml:space="preserve">  Fractionals: named executive vacancy, owner holding a functional role, a</w:t>
      </w:r>
    </w:p>
    <w:p>
      <w:pPr>
        <w:spacing w:after="0"/>
        <w:ind w:left="200"/>
      </w:pPr>
      <w:r>
        <w:rPr>
          <w:rFonts w:ascii="Consolas" w:hAnsi="Consolas"/>
          <w:sz w:val="17"/>
        </w:rPr>
        <w:t xml:space="preserve">    leadership page thinner than scale implies, growth with no hire.</w:t>
      </w:r>
    </w:p>
    <w:p>
      <w:pPr>
        <w:spacing w:after="0"/>
        <w:ind w:left="200"/>
      </w:pPr>
      <w:r>
        <w:rPr>
          <w:rFonts w:ascii="Consolas" w:hAnsi="Consolas"/>
          <w:sz w:val="17"/>
        </w:rPr>
        <w:t xml:space="preserve">  Private Equity: sponsor-backed (named sponsor) or sponsor-shaped (size and</w:t>
      </w:r>
    </w:p>
    <w:p>
      <w:pPr>
        <w:spacing w:after="0"/>
        <w:ind w:left="200"/>
      </w:pPr>
      <w:r>
        <w:rPr>
          <w:rFonts w:ascii="Consolas" w:hAnsi="Consolas"/>
          <w:sz w:val="17"/>
        </w:rPr>
        <w:t xml:space="preserve">    shape only). HOLD sponsor-backed rows above the $25M ceiling and FLAG them;</w:t>
      </w:r>
    </w:p>
    <w:p>
      <w:pPr>
        <w:spacing w:after="0"/>
        <w:ind w:left="200"/>
      </w:pPr>
      <w:r>
        <w:rPr>
          <w:rFonts w:ascii="Consolas" w:hAnsi="Consolas"/>
          <w:sz w:val="17"/>
        </w:rPr>
        <w:t xml:space="preserve">    the Chair has not ruled whether portfolio work carries its own band.</w:t>
      </w:r>
    </w:p>
    <w:p>
      <w:pPr>
        <w:spacing w:after="0"/>
        <w:ind w:left="200"/>
      </w:pPr>
      <w:r>
        <w:rPr>
          <w:rFonts w:ascii="Consolas" w:hAnsi="Consolas"/>
          <w:sz w:val="17"/>
        </w:rPr>
        <w:t xml:space="preserve">  Report the practice split per market. Retire the two Florida derived views</w:t>
      </w:r>
    </w:p>
    <w:p>
      <w:pPr>
        <w:spacing w:after="0"/>
        <w:ind w:left="200"/>
      </w:pPr>
      <w:r>
        <w:rPr>
          <w:rFonts w:ascii="Consolas" w:hAnsi="Consolas"/>
          <w:sz w:val="17"/>
        </w:rPr>
        <w:t xml:space="preserve">  once the field generates them.</w:t>
      </w:r>
    </w:p>
    <w:p>
      <w:pPr>
        <w:spacing w:after="0"/>
        <w:ind w:left="200"/>
      </w:pPr>
      <w:r>
        <w:rPr>
          <w:rFonts w:ascii="Consolas" w:hAnsi="Consolas"/>
          <w:sz w:val="17"/>
        </w:rPr>
        <w:t xml:space="preserve"/>
      </w:r>
    </w:p>
    <w:p>
      <w:pPr>
        <w:spacing w:after="0"/>
        <w:ind w:left="200"/>
      </w:pPr>
      <w:r>
        <w:rPr>
          <w:rFonts w:ascii="Consolas" w:hAnsi="Consolas"/>
          <w:sz w:val="17"/>
        </w:rPr>
        <w:t xml:space="preserve">STEP THREE — DISCOVERY. Opens only after step two closes, per market.</w:t>
      </w:r>
    </w:p>
    <w:p>
      <w:pPr>
        <w:spacing w:after="0"/>
        <w:ind w:left="200"/>
      </w:pPr>
      <w:r>
        <w:rPr>
          <w:rFonts w:ascii="Consolas" w:hAnsi="Consolas"/>
          <w:sz w:val="17"/>
        </w:rPr>
        <w:t xml:space="preserve">  Window one: press feed. Structured-metadata date rule applies.</w:t>
      </w:r>
    </w:p>
    <w:p>
      <w:pPr>
        <w:spacing w:after="0"/>
        <w:ind w:left="200"/>
      </w:pPr>
      <w:r>
        <w:rPr>
          <w:rFonts w:ascii="Consolas" w:hAnsi="Consolas"/>
          <w:sz w:val="17"/>
        </w:rPr>
        <w:t xml:space="preserve">  Window two: sponsor rosters, roster reader. Cards as cards.</w:t>
      </w:r>
    </w:p>
    <w:p>
      <w:pPr>
        <w:spacing w:after="0"/>
        <w:ind w:left="200"/>
      </w:pPr>
      <w:r>
        <w:rPr>
          <w:rFonts w:ascii="Consolas" w:hAnsi="Consolas"/>
          <w:sz w:val="17"/>
        </w:rPr>
        <w:t xml:space="preserve">  Window three: THE FEDERAL LAYER, one probe each, never probed anywhere —</w:t>
      </w:r>
    </w:p>
    <w:p>
      <w:pPr>
        <w:spacing w:after="0"/>
        <w:ind w:left="200"/>
      </w:pPr>
      <w:r>
        <w:rPr>
          <w:rFonts w:ascii="Consolas" w:hAnsi="Consolas"/>
          <w:sz w:val="17"/>
        </w:rPr>
        <w:t xml:space="preserve">    SAM.gov, USAspending, FMCSA SAFER, USDA FSIS, OSHA, EPA ECHO, and SEC</w:t>
      </w:r>
    </w:p>
    <w:p>
      <w:pPr>
        <w:spacing w:after="0"/>
        <w:ind w:left="200"/>
      </w:pPr>
      <w:r>
        <w:rPr>
          <w:rFonts w:ascii="Consolas" w:hAnsi="Consolas"/>
          <w:sz w:val="17"/>
        </w:rPr>
        <w:t xml:space="preserve">    EDGAR by its structured data service rather than its search page.</w:t>
      </w:r>
    </w:p>
    <w:p>
      <w:pPr>
        <w:spacing w:after="0"/>
        <w:ind w:left="200"/>
      </w:pPr>
      <w:r>
        <w:rPr>
          <w:rFonts w:ascii="Consolas" w:hAnsi="Consolas"/>
          <w:sz w:val="17"/>
        </w:rPr>
        <w:t xml:space="preserve">  Window four: one probe each of the zero classes through a browser-grade</w:t>
      </w:r>
    </w:p>
    <w:p>
      <w:pPr>
        <w:spacing w:after="0"/>
        <w:ind w:left="200"/>
      </w:pPr>
      <w:r>
        <w:rPr>
          <w:rFonts w:ascii="Consolas" w:hAnsi="Consolas"/>
          <w:sz w:val="17"/>
        </w:rPr>
        <w:t xml:space="preserve">    reader. A probe answering without a company list on its face closes it.</w:t>
      </w:r>
    </w:p>
    <w:p>
      <w:pPr>
        <w:spacing w:after="0"/>
        <w:ind w:left="200"/>
      </w:pPr>
      <w:r>
        <w:rPr>
          <w:rFonts w:ascii="Consolas" w:hAnsi="Consolas"/>
          <w:sz w:val="17"/>
        </w:rPr>
        <w:t xml:space="preserve">  Naming: the build names the company, never the Chair. Three naming stops —</w:t>
      </w:r>
    </w:p>
    <w:p>
      <w:pPr>
        <w:spacing w:after="0"/>
        <w:ind w:left="200"/>
      </w:pPr>
      <w:r>
        <w:rPr>
          <w:rFonts w:ascii="Consolas" w:hAnsi="Consolas"/>
          <w:sz w:val="17"/>
        </w:rPr>
        <w:t xml:space="preserve">  unbound rate, wrongness rate (site found and it does not name the company),</w:t>
      </w:r>
    </w:p>
    <w:p>
      <w:pPr>
        <w:spacing w:after="0"/>
        <w:ind w:left="200"/>
      </w:pPr>
      <w:r>
        <w:rPr>
          <w:rFonts w:ascii="Consolas" w:hAnsi="Consolas"/>
          <w:sz w:val="17"/>
        </w:rPr>
        <w:t xml:space="preserve">  disputed rate — each firing mid-window, plus the ceiling.</w:t>
      </w:r>
    </w:p>
    <w:p>
      <w:pPr>
        <w:spacing w:after="0"/>
        <w:ind w:left="200"/>
      </w:pPr>
      <w:r>
        <w:rPr>
          <w:rFonts w:ascii="Consolas" w:hAnsi="Consolas"/>
          <w:sz w:val="17"/>
        </w:rPr>
        <w:t xml:space="preserve"/>
      </w:r>
    </w:p>
    <w:p>
      <w:pPr>
        <w:spacing w:after="0"/>
        <w:ind w:left="200"/>
      </w:pPr>
      <w:r>
        <w:rPr>
          <w:rFonts w:ascii="Consolas" w:hAnsi="Consolas"/>
          <w:sz w:val="17"/>
        </w:rPr>
        <w:t xml:space="preserve">STEP FOUR — CLOSE, per market.</w:t>
      </w:r>
    </w:p>
    <w:p>
      <w:pPr>
        <w:spacing w:after="0"/>
        <w:ind w:left="200"/>
      </w:pPr>
      <w:r>
        <w:rPr>
          <w:rFonts w:ascii="Consolas" w:hAnsi="Consolas"/>
          <w:sz w:val="17"/>
        </w:rPr>
        <w:t xml:space="preserve">  Close table: rows, dialable, call-ready, verified-callable, partial,</w:t>
      </w:r>
    </w:p>
    <w:p>
      <w:pPr>
        <w:spacing w:after="0"/>
        <w:ind w:left="200"/>
      </w:pPr>
      <w:r>
        <w:rPr>
          <w:rFonts w:ascii="Consolas" w:hAnsi="Consolas"/>
          <w:sz w:val="17"/>
        </w:rPr>
        <w:t xml:space="preserve">  measured shut, Tier C out of scope. Practice split. Address split.</w:t>
      </w:r>
    </w:p>
    <w:p>
      <w:pPr>
        <w:spacing w:after="0"/>
        <w:ind w:left="200"/>
      </w:pPr>
      <w:r>
        <w:rPr>
          <w:rFonts w:ascii="Consolas" w:hAnsi="Consolas"/>
          <w:sz w:val="17"/>
        </w:rPr>
        <w:t xml:space="preserve">  Dial pack: landscape, house build, verified-callable shaded at top, partial</w:t>
      </w:r>
    </w:p>
    <w:p>
      <w:pPr>
        <w:spacing w:after="0"/>
        <w:ind w:left="200"/>
      </w:pPr>
      <w:r>
        <w:rPr>
          <w:rFonts w:ascii="Consolas" w:hAnsi="Consolas"/>
          <w:sz w:val="17"/>
        </w:rPr>
        <w:t xml:space="preserve">  rows by kind with the question printed, and the OUTCOME COLUMN —</w:t>
      </w:r>
    </w:p>
    <w:p>
      <w:pPr>
        <w:spacing w:after="0"/>
        <w:ind w:left="200"/>
      </w:pPr>
      <w:r>
        <w:rPr>
          <w:rFonts w:ascii="Consolas" w:hAnsi="Consolas"/>
          <w:sz w:val="17"/>
        </w:rPr>
        <w:t xml:space="preserve">  dialled, connected, conversation, meeting, no. Fill it from the first call.</w:t>
      </w:r>
    </w:p>
    <w:p>
      <w:pPr>
        <w:spacing w:after="0"/>
        <w:ind w:left="200"/>
      </w:pPr>
      <w:r>
        <w:rPr>
          <w:rFonts w:ascii="Consolas" w:hAnsi="Consolas"/>
          <w:sz w:val="17"/>
        </w:rPr>
        <w:t xml:space="preserve">  Console: deploy the Florida scripts to console-chicago.html and</w:t>
      </w:r>
    </w:p>
    <w:p>
      <w:pPr>
        <w:spacing w:after="0"/>
        <w:ind w:left="200"/>
      </w:pPr>
      <w:r>
        <w:rPr>
          <w:rFonts w:ascii="Consolas" w:hAnsi="Consolas"/>
          <w:sz w:val="17"/>
        </w:rPr>
        <w:t xml:space="preserve">  console-illinois.html, both instruments passing, before the market is worked.</w:t>
      </w:r>
    </w:p>
    <w:p>
      <w:pPr>
        <w:spacing w:after="0"/>
        <w:ind w:left="200"/>
      </w:pPr>
      <w:r>
        <w:rPr>
          <w:rFonts w:ascii="Consolas" w:hAnsi="Consolas"/>
          <w:sz w:val="17"/>
        </w:rPr>
        <w:t xml:space="preserve">  Core BD Report: build one for Chicago and one for Illinois.</w:t>
      </w:r>
    </w:p>
    <w:p>
      <w:pPr>
        <w:spacing w:after="0"/>
        <w:ind w:left="200"/>
      </w:pPr>
      <w:r>
        <w:rPr>
          <w:rFonts w:ascii="Consolas" w:hAnsi="Consolas"/>
          <w:sz w:val="17"/>
        </w:rPr>
        <w:t xml:space="preserve">  Update the inheritance record with end states, access class, and the reader</w:t>
      </w:r>
    </w:p>
    <w:p>
      <w:pPr>
        <w:spacing w:after="0"/>
        <w:ind w:left="200"/>
      </w:pPr>
      <w:r>
        <w:rPr>
          <w:rFonts w:ascii="Consolas" w:hAnsi="Consolas"/>
          <w:sz w:val="17"/>
        </w:rPr>
        <w:t xml:space="preserve">  that produced each refusal. Flat upload set, no folders.</w:t>
      </w:r>
    </w:p>
    <w:p>
      <w:pPr>
        <w:spacing w:after="0"/>
        <w:ind w:left="200"/>
      </w:pPr>
      <w:r>
        <w:rPr>
          <w:rFonts w:ascii="Consolas" w:hAnsi="Consolas"/>
          <w:sz w:val="17"/>
        </w:rPr>
        <w:t xml:space="preserve"/>
      </w:r>
    </w:p>
    <w:p>
      <w:pPr>
        <w:spacing w:after="0"/>
        <w:ind w:left="200"/>
      </w:pPr>
      <w:r>
        <w:rPr>
          <w:rFonts w:ascii="Consolas" w:hAnsi="Consolas"/>
          <w:sz w:val="17"/>
        </w:rPr>
        <w:t xml:space="preserve">REPO WORK, while you are in it.</w:t>
      </w:r>
    </w:p>
    <w:p>
      <w:pPr>
        <w:spacing w:after="0"/>
        <w:ind w:left="200"/>
      </w:pPr>
      <w:r>
        <w:rPr>
          <w:rFonts w:ascii="Consolas" w:hAnsi="Consolas"/>
          <w:sz w:val="17"/>
        </w:rPr>
        <w:t xml:space="preserve">  Qualify every "measured shut" with the reader that produced it.</w:t>
      </w:r>
    </w:p>
    <w:p>
      <w:pPr>
        <w:spacing w:after="0"/>
        <w:ind w:left="200"/>
      </w:pPr>
      <w:r>
        <w:rPr>
          <w:rFonts w:ascii="Consolas" w:hAnsi="Consolas"/>
          <w:sz w:val="17"/>
        </w:rPr>
        <w:t xml:space="preserve">  Add the access-class field to the index; populate these three.</w:t>
      </w:r>
    </w:p>
    <w:p>
      <w:pPr>
        <w:spacing w:after="0"/>
        <w:ind w:left="200"/>
      </w:pPr>
      <w:r>
        <w:rPr>
          <w:rFonts w:ascii="Consolas" w:hAnsi="Consolas"/>
          <w:sz w:val="17"/>
        </w:rPr>
        <w:t xml:space="preserve">  Date the archive rows so the eighteen-month review rule can apply.</w:t>
      </w:r>
    </w:p>
    <w:p>
      <w:pPr>
        <w:spacing w:after="0"/>
        <w:ind w:left="200"/>
      </w:pPr>
      <w:r>
        <w:rPr>
          <w:rFonts w:ascii="Consolas" w:hAnsi="Consolas"/>
          <w:sz w:val="17"/>
        </w:rPr>
        <w:t xml:space="preserve">  Read Florida archive’s five Verified rows — a Verified row in an archive is</w:t>
      </w:r>
    </w:p>
    <w:p>
      <w:pPr>
        <w:spacing w:after="0"/>
        <w:ind w:left="200"/>
      </w:pPr>
      <w:r>
        <w:rPr>
          <w:rFonts w:ascii="Consolas" w:hAnsi="Consolas"/>
          <w:sz w:val="17"/>
        </w:rPr>
        <w:t xml:space="preserve">  a contradiction standing on the record.</w:t>
      </w:r>
    </w:p>
    <w:p>
      <w:pPr>
        <w:spacing w:after="0"/>
        <w:ind w:left="200"/>
      </w:pPr>
      <w:r>
        <w:rPr>
          <w:rFonts w:ascii="Consolas" w:hAnsi="Consolas"/>
          <w:sz w:val="17"/>
        </w:rPr>
        <w:t xml:space="preserve">  Propagate call-ready and outcome into the index, cockpit and rollup.</w:t>
      </w:r>
    </w:p>
    <w:p>
      <w:pPr>
        <w:spacing w:after="0"/>
        <w:ind w:left="200"/>
      </w:pPr>
      <w:r>
        <w:rPr>
          <w:rFonts w:ascii="Consolas" w:hAnsi="Consolas"/>
          <w:sz w:val="17"/>
        </w:rPr>
        <w:t xml:space="preserve">  State the composer’s ranking in the index: two addresses in ninety-three</w:t>
      </w:r>
    </w:p>
    <w:p>
      <w:pPr>
        <w:spacing w:after="0"/>
        <w:ind w:left="200"/>
      </w:pPr>
      <w:r>
        <w:rPr>
          <w:rFonts w:ascii="Consolas" w:hAnsi="Consolas"/>
          <w:sz w:val="17"/>
        </w:rPr>
        <w:t xml:space="preserve">  reach a person, so the phone opens and the composer follows.</w:t>
      </w:r>
    </w:p>
    <w:p>
      <w:pPr>
        <w:spacing w:after="0"/>
        <w:ind w:left="200"/>
      </w:pPr>
      <w:r>
        <w:rPr>
          <w:rFonts w:ascii="Consolas" w:hAnsi="Consolas"/>
          <w:sz w:val="17"/>
        </w:rPr>
        <w:t xml:space="preserve"/>
      </w:r>
    </w:p>
    <w:p>
      <w:pPr>
        <w:spacing w:after="0"/>
        <w:ind w:left="200"/>
      </w:pPr>
      <w:r>
        <w:rPr>
          <w:rFonts w:ascii="Consolas" w:hAnsi="Consolas"/>
          <w:sz w:val="17"/>
        </w:rPr>
        <w:t xml:space="preserve">REPORT, in this order: Founders 72 on brief and delivery · stale-copy delta ·</w:t>
      </w:r>
    </w:p>
    <w:p>
      <w:pPr>
        <w:spacing w:after="0"/>
        <w:ind w:left="200"/>
      </w:pPr>
      <w:r>
        <w:rPr>
          <w:rFonts w:ascii="Consolas" w:hAnsi="Consolas"/>
          <w:sz w:val="17"/>
        </w:rPr>
        <w:t xml:space="preserve">access class · census · overlap · registry fill · queue · practice split ·</w:t>
      </w:r>
    </w:p>
    <w:p>
      <w:pPr>
        <w:spacing w:after="0"/>
        <w:ind w:left="200"/>
      </w:pPr>
      <w:r>
        <w:rPr>
          <w:rFonts w:ascii="Consolas" w:hAnsi="Consolas"/>
          <w:sz w:val="17"/>
        </w:rPr>
        <w:t xml:space="preserve">discovery by class with the federal layer called out · close table · dial pack ·</w:t>
      </w:r>
    </w:p>
    <w:p>
      <w:pPr>
        <w:spacing w:after="0"/>
        <w:ind w:left="200"/>
      </w:pPr>
      <w:r>
        <w:rPr>
          <w:rFonts w:ascii="Consolas" w:hAnsi="Consolas"/>
          <w:sz w:val="17"/>
        </w:rPr>
        <w:t xml:space="preserve">address split · repo gaps touched · inheritance diff · WHAT WAS NOT DONE.</w:t>
      </w:r>
    </w:p>
    <w:p>
      <w:pPr>
        <w:pageBreakBefore/>
        <w:keepNext/>
        <w:spacing w:after="200"/>
        <w:pBdr>
          <w:bottom w:val="single" w:sz="12" w:space="6" w:color="C81E3C"/>
        </w:pBdr>
      </w:pPr>
      <w:r>
        <w:rPr>
          <w:b/>
          <w:sz w:val="36"/>
          <w:color w:val="1F3864"/>
        </w:rPr>
        <w:t xml:space="preserve">Part Seven · The mirror — what every market after these three inherits</w:t>
      </w:r>
    </w:p>
    <w:p>
      <w:pPr>
        <w:keepNext/>
        <w:spacing w:before="240" w:after="160"/>
      </w:pPr>
      <w:r>
        <w:rPr>
          <w:b/>
          <w:sz w:val="30"/>
          <w:color w:val="1F3864"/>
        </w:rPr>
        <w:t xml:space="preserve">23 · The inheritance, stated once</w:t>
      </w:r>
    </w:p>
    <w:p>
      <w:pPr>
        <w:spacing w:after="120"/>
      </w:pPr>
      <w:r>
        <w:rPr>
          <w:sz w:val="22"/>
        </w:rPr>
        <w:t xml:space="preserve">These three markets are built so the next twenty-four are not re-decided. What follows is what a market inherits without argument, and what it must still establish for itself.</w:t>
      </w:r>
    </w:p>
    <w:p>
      <w:pPr>
        <w:keepNext/>
        <w:spacing w:before="160" w:after="100"/>
      </w:pPr>
      <w:r>
        <w:rPr>
          <w:b/>
          <w:sz w:val="24"/>
          <w:color w:val="C81E3C"/>
        </w:rPr>
        <w:t xml:space="preserve">Inherited without re-deciding</w:t>
      </w:r>
    </w:p>
    <w:p>
      <w:pPr>
        <w:spacing w:after="80"/>
        <w:ind w:left="340" w:hanging="200"/>
      </w:pPr>
      <w:r>
        <w:rPr>
          <w:sz w:val="22"/>
        </w:rPr>
        <w:t xml:space="preserve">• The order of work: access class, census, registry, completion queue, discovery. Reversing it cost Florida five windows.</w:t>
      </w:r>
    </w:p>
    <w:p>
      <w:pPr>
        <w:spacing w:after="80"/>
        <w:ind w:left="340" w:hanging="200"/>
      </w:pPr>
      <w:r>
        <w:rPr>
          <w:sz w:val="22"/>
        </w:rPr>
        <w:t xml:space="preserve">• The call-ready test, and the distinction between Verified as a research state and call-ready as a dialling state.</w:t>
      </w:r>
    </w:p>
    <w:p>
      <w:pPr>
        <w:spacing w:after="80"/>
        <w:ind w:left="340" w:hanging="200"/>
      </w:pPr>
      <w:r>
        <w:rPr>
          <w:sz w:val="22"/>
        </w:rPr>
        <w:t xml:space="preserve">• The practice field and its four values, with the signals that place a row in each.</w:t>
      </w:r>
    </w:p>
    <w:p>
      <w:pPr>
        <w:spacing w:after="80"/>
        <w:ind w:left="340" w:hanging="200"/>
      </w:pPr>
      <w:r>
        <w:rPr>
          <w:sz w:val="22"/>
        </w:rPr>
        <w:t xml:space="preserve">• The five instruments, proved on planted cases at the gate and never rebuilt.</w:t>
      </w:r>
    </w:p>
    <w:p>
      <w:pPr>
        <w:spacing w:after="80"/>
        <w:ind w:left="340" w:hanging="200"/>
      </w:pPr>
      <w:r>
        <w:rPr>
          <w:sz w:val="22"/>
        </w:rPr>
        <w:t xml:space="preserve">• The naming standard: the build names, derived values carry their derivation, disputed binds are held, three stops fire mid-window.</w:t>
      </w:r>
    </w:p>
    <w:p>
      <w:pPr>
        <w:spacing w:after="80"/>
        <w:ind w:left="340" w:hanging="200"/>
      </w:pPr>
      <w:r>
        <w:rPr>
          <w:sz w:val="22"/>
        </w:rPr>
        <w:t xml:space="preserve">• The source classes measured to pay — press feed and sponsor rosters — and those measured at zero, probed once and closed.</w:t>
      </w:r>
    </w:p>
    <w:p>
      <w:pPr>
        <w:spacing w:after="80"/>
        <w:ind w:left="340" w:hanging="200"/>
      </w:pPr>
      <w:r>
        <w:rPr>
          <w:sz w:val="22"/>
        </w:rPr>
        <w:t xml:space="preserve">• The close table, the dial pack with its outcome column, and the Core BD Report.</w:t>
      </w:r>
    </w:p>
    <w:p>
      <w:pPr>
        <w:spacing w:after="80"/>
        <w:ind w:left="340" w:hanging="200"/>
      </w:pPr>
      <w:r>
        <w:rPr>
          <w:sz w:val="22"/>
        </w:rPr>
        <w:t xml:space="preserve">• The register lines, so the faults are recognised rather than rediscovered.</w:t>
      </w:r>
    </w:p>
    <w:p>
      <w:pPr>
        <w:keepNext/>
        <w:spacing w:before="160" w:after="100"/>
      </w:pPr>
      <w:r>
        <w:rPr>
          <w:b/>
          <w:sz w:val="24"/>
          <w:color w:val="C81E3C"/>
        </w:rPr>
        <w:t xml:space="preserve">Established per market, never inherited</w:t>
      </w:r>
    </w:p>
    <w:p>
      <w:pPr>
        <w:spacing w:after="80"/>
        <w:ind w:left="340" w:hanging="200"/>
      </w:pPr>
      <w:r>
        <w:rPr>
          <w:sz w:val="22"/>
        </w:rPr>
        <w:t xml:space="preserve">• The access class. It is read at that jurisdiction’s own Secretary of State page, dated, before any read. A class is never assumed from a neighbouring state.</w:t>
      </w:r>
    </w:p>
    <w:p>
      <w:pPr>
        <w:spacing w:after="80"/>
        <w:ind w:left="340" w:hanging="200"/>
      </w:pPr>
      <w:r>
        <w:rPr>
          <w:sz w:val="22"/>
        </w:rPr>
        <w:t xml:space="preserve">• Whether a zero class behaves differently on this ground. Probe once; do not inherit a refusal as an exhaustion.</w:t>
      </w:r>
    </w:p>
    <w:p>
      <w:pPr>
        <w:spacing w:after="80"/>
        <w:ind w:left="340" w:hanging="200"/>
      </w:pPr>
      <w:r>
        <w:rPr>
          <w:sz w:val="22"/>
        </w:rPr>
        <w:t xml:space="preserve">• The per-row registry cost, where the jurisdiction is lookup-only. Measure on twenty rows before committing a queue.</w:t>
      </w:r>
    </w:p>
    <w:p>
      <w:pPr>
        <w:spacing w:after="80"/>
        <w:ind w:left="340" w:hanging="200"/>
      </w:pPr>
      <w:r>
        <w:rPr>
          <w:sz w:val="22"/>
        </w:rPr>
        <w:t xml:space="preserve">• The overlap with any adjacent metro or state file.</w:t>
      </w:r>
    </w:p>
    <w:p>
      <w:pPr>
        <w:spacing w:before="120" w:after="160"/>
        <w:ind w:left="200"/>
        <w:pBdr>
          <w:left w:val="single" w:sz="18" w:space="10" w:color="C81E3C"/>
        </w:pBdr>
      </w:pPr>
      <w:r>
        <w:rPr>
          <w:b/>
          <w:i/>
          <w:sz w:val="22"/>
          <w:color w:val="1F3864"/>
        </w:rPr>
        <w:t xml:space="preserve">A refusal is a fact about a door, not about a building. A market inherits what was measured, never what was assumed.</w:t>
      </w:r>
    </w:p>
    <w:p>
      <w:pPr>
        <w:pageBreakBefore/>
        <w:keepNext/>
        <w:spacing w:after="160"/>
      </w:pPr>
      <w:r>
        <w:rPr>
          <w:b/>
          <w:sz w:val="30"/>
          <w:color w:val="1F3864"/>
        </w:rPr>
        <w:t xml:space="preserve">24 · The close — what makes this programme best in its class</w:t>
      </w:r>
    </w:p>
    <w:p>
      <w:pPr>
        <w:spacing w:after="120"/>
      </w:pPr>
      <w:r>
        <w:rPr>
          <w:sz w:val="22"/>
        </w:rPr>
        <w:t xml:space="preserve">Not volume. Five discovery windows across roughly one hundred and twenty sources produced seven admissions; one completion pass of eighty-seven reads produced thirteen. Anyone can buy more names. What this programme has that a bought list does not is a record of how every row came to be in the state it is in.</w:t>
      </w:r>
    </w:p>
    <w:p>
      <w:pPr>
        <w:keepNext/>
        <w:spacing w:before="160" w:after="100"/>
      </w:pPr>
      <w:r>
        <w:rPr>
          <w:b/>
          <w:sz w:val="24"/>
          <w:color w:val="C81E3C"/>
        </w:rPr>
        <w:t xml:space="preserve">The four things that make it defensible</w:t>
      </w:r>
    </w:p>
    <w:p>
      <w:pPr>
        <w:spacing w:after="80"/>
        <w:ind w:left="340" w:hanging="200"/>
      </w:pPr>
      <w:r>
        <w:rPr>
          <w:sz w:val="22"/>
        </w:rPr>
        <w:t xml:space="preserve">• Every field traces to a dated source, or it reads Blind. A figure that cannot be traced is not reported as a figure.</w:t>
      </w:r>
    </w:p>
    <w:p>
      <w:pPr>
        <w:spacing w:after="80"/>
        <w:ind w:left="340" w:hanging="200"/>
      </w:pPr>
      <w:r>
        <w:rPr>
          <w:sz w:val="22"/>
        </w:rPr>
        <w:t xml:space="preserve">• Every refusal names the reader that was refused, so a shut door is never recorded as an empty building.</w:t>
      </w:r>
    </w:p>
    <w:p>
      <w:pPr>
        <w:spacing w:after="80"/>
        <w:ind w:left="340" w:hanging="200"/>
      </w:pPr>
      <w:r>
        <w:rPr>
          <w:sz w:val="22"/>
        </w:rPr>
        <w:t xml:space="preserve">• Every judgement — tier, practice, naming — carries its derivation on the row, so it can be re-judged by someone who was not there.</w:t>
      </w:r>
    </w:p>
    <w:p>
      <w:pPr>
        <w:spacing w:after="80"/>
        <w:ind w:left="340" w:hanging="200"/>
      </w:pPr>
      <w:r>
        <w:rPr>
          <w:sz w:val="22"/>
        </w:rPr>
        <w:t xml:space="preserve">• Every market leaves an inheritance record, so the twenty-fifth market opens knowing what the first one learned.</w:t>
      </w:r>
    </w:p>
    <w:p>
      <w:pPr>
        <w:keepNext/>
        <w:spacing w:before="160" w:after="100"/>
      </w:pPr>
      <w:r>
        <w:rPr>
          <w:b/>
          <w:sz w:val="24"/>
          <w:color w:val="C81E3C"/>
        </w:rPr>
        <w:t xml:space="preserve">And the three things still owed</w:t>
      </w:r>
    </w:p>
    <w:p>
      <w:pPr>
        <w:spacing w:after="80"/>
        <w:ind w:left="340" w:hanging="200"/>
      </w:pPr>
      <w:r>
        <w:rPr>
          <w:sz w:val="22"/>
        </w:rPr>
        <w:t xml:space="preserve">• The registry ingest, never run anywhere, which is the largest unclaimed saving in the programme.</w:t>
      </w:r>
    </w:p>
    <w:p>
      <w:pPr>
        <w:spacing w:after="80"/>
        <w:ind w:left="340" w:hanging="200"/>
      </w:pPr>
      <w:r>
        <w:rPr>
          <w:sz w:val="22"/>
        </w:rPr>
        <w:t xml:space="preserve">• The practice field, without which this brief’s own purpose cannot be served.</w:t>
      </w:r>
    </w:p>
    <w:p>
      <w:pPr>
        <w:spacing w:after="80"/>
        <w:ind w:left="340" w:hanging="200"/>
      </w:pPr>
      <w:r>
        <w:rPr>
          <w:sz w:val="22"/>
        </w:rPr>
        <w:t xml:space="preserve">• One working week of outcomes, which converts the whole programme from a measure of effort into a measure of result.</w:t>
      </w:r>
    </w:p>
    <w:p>
      <w:pPr>
        <w:spacing w:before="120" w:after="160"/>
        <w:ind w:left="200"/>
        <w:pBdr>
          <w:left w:val="single" w:sz="18" w:space="10" w:color="C81E3C"/>
        </w:pBdr>
      </w:pPr>
      <w:r>
        <w:rPr>
          <w:b/>
          <w:i/>
          <w:sz w:val="22"/>
          <w:color w:val="1F3864"/>
        </w:rPr>
        <w:t xml:space="preserve">A programme that measures only its own effort is reporting its diligence. The outcome column is the difference between a research archive and a business-development system, and it costs one week.</w:t>
      </w:r>
    </w:p>
    <w:p>
      <w:pPr>
        <w:pageBreakBefore/>
        <w:jc w:val="center"/>
        <w:spacing w:before="3600" w:after="0"/>
      </w:pPr>
      <w:r>
        <w:drawing>
          <wp:inline distT="0" distB="0" distL="0" distR="0">
            <wp:extent cx="1080000" cy="1080000"/>
            <wp:docPr id="99" name="mono"/>
            <a:graphic>
              <a:graphicData uri="http://schemas.openxmlformats.org/drawingml/2006/picture">
                <pic xmlns:pic="http://schemas.openxmlformats.org/drawingml/2006/picture">
                  <pic:nvPicPr>
                    <pic:cNvPr id="99" name="mono"/>
                    <pic:cNvPicPr/>
                  </pic:nvPicPr>
                  <pic:blipFill>
                    <a:blip r:embed="rId9"/>
                    <a:stretch>
                      <a:fillRect/>
                    </a:stretch>
                  </pic:blipFill>
                  <pic:spPr>
                    <a:xfrm>
                      <a:off x="0" y="0"/>
                      <a:ext cx="1080000" cy="1080000"/>
                    </a:xfrm>
                    <a:prstGeom prst="rect">
                      <a:avLst/>
                    </a:prstGeom>
                  </pic:spPr>
                </pic>
              </a:graphicData>
            </a:graphic>
          </wp:inline>
        </w:drawing>
      </w:r>
    </w:p>
    <w:p>
      <w:pPr>
        <w:jc w:val="center"/>
        <w:spacing w:before="200"/>
      </w:pPr>
      <w:r>
        <w:rPr>
          <w:sz w:val="20"/>
          <w:color w:val="1F3864"/>
        </w:rPr>
        <w:t xml:space="preserve">DashRite Advisory LLC · Market Build, Florida · Chicago · Illinois · Version 5 · 31 October 2026</w:t>
      </w:r>
    </w:p>
    <w:sectPr>
      <w:footerReference w:type="default" r:id="rId8"/>
      <w:pgSz w:w="12240" w:h="15840"/>
      <w:pgMar w:top="1200" w:right="1440" w:bottom="1200" w:left="1440" w:header="720" w:footer="576"/>
      <w:pgBorders w:offsetFrom="page">
        <w:top w:val="single" w:sz="6" w:space="24" w:color="C81E3C"/>
        <w:left w:val="single" w:sz="6" w:space="24" w:color="C81E3C"/>
        <w:bottom w:val="single" w:sz="6" w:space="24" w:color="C81E3C"/>
        <w:right w:val="single" w:sz="6" w:space="24" w:color="C81E3C"/>
      </w:pgBorders>
    </w:sectPr>
  </w:body>
</w:document>
</file>

<file path=word/footer1.xml><?xml version="1.0" encoding="utf-8"?>
<w:ftr xmlns:w="http://schemas.openxmlformats.org/wordprocessingml/2006/main">
  <w:p>
    <w:pPr>
      <w:jc w:val="center"/>
      <w:rPr>
        <w:sz w:val="16"/>
        <w:color w:val="7F7F7F"/>
      </w:rPr>
    </w:pPr>
    <w:r>
      <w:rPr>
        <w:sz w:val="16"/>
        <w:color w:val="7F7F7F"/>
      </w:rPr>
      <w:t xml:space="preserve">DRA 2026–2027 Core Build Standard  ·  Page </w:t>
    </w:r>
    <w:r>
      <w:rPr>
        <w:sz w:val="16"/>
        <w:color w:val="7F7F7F"/>
      </w:rPr>
      <w:fldChar w:fldCharType="begin"/>
    </w:r>
    <w:r>
      <w:rPr>
        <w:sz w:val="16"/>
      </w:rPr>
      <w:instrText xml:space="preserve"> PAGE </w:instrText>
    </w:r>
    <w:r>
      <w:rPr>
        <w:sz w:val="16"/>
      </w:rPr>
      <w:fldChar w:fldCharType="separate"/>
    </w:r>
    <w:r>
      <w:rPr>
        <w:sz w:val="16"/>
        <w:color w:val="7F7F7F"/>
      </w:rPr>
      <w:t>1</w:t>
    </w:r>
    <w:r>
      <w:rPr>
        <w:sz w:val="16"/>
      </w:rPr>
      <w:fldChar w:fldCharType="end"/>
    </w:r>
    <w:r>
      <w:rPr>
        <w:sz w:val="16"/>
        <w:color w:val="7F7F7F"/>
      </w:rPr>
      <w:t xml:space="preserve"> of </w:t>
    </w:r>
    <w:r>
      <w:rPr>
        <w:sz w:val="16"/>
      </w:rPr>
      <w:fldChar w:fldCharType="begin"/>
    </w:r>
    <w:r>
      <w:rPr>
        <w:sz w:val="16"/>
      </w:rPr>
      <w:instrText xml:space="preserve"> NUMPAGES </w:instrText>
    </w:r>
    <w:r>
      <w:rPr>
        <w:sz w:val="16"/>
      </w:rPr>
      <w:fldChar w:fldCharType="separate"/>
    </w:r>
    <w:r>
      <w:rPr>
        <w:sz w:val="16"/>
        <w:color w:val="7F7F7F"/>
      </w:rPr>
      <w:t>1</w:t>
    </w:r>
    <w:r>
      <w:rPr>
        <w:sz w:val="16"/>
      </w:rPr>
      <w:fldChar w:fldCharType="end"/>
    </w:r>
  </w:p>
</w:ftr>
</file>

<file path=word/_rels/document.xml.rels><?xml version='1.0' encoding='UTF-8' standalone='yes'?>
<Relationships xmlns="http://schemas.openxmlformats.org/package/2006/relationships"><Relationship Id="rId8" Type="http://schemas.openxmlformats.org/officeDocument/2006/relationships/footer" Target="footer1.xml"/><Relationship Id="rId9" Type="http://schemas.openxmlformats.org/officeDocument/2006/relationships/image" Target="media/mono.png"/></Relationships>
</file>