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2"/>
          <w:szCs w:val="32"/>
        </w:rPr>
        <w:t xml:space="preserve">Core BD Report — Florida</w:t>
      </w:r>
    </w:p>
    <w:p>
      <w:pPr>
        <w:spacing w:after="120"/>
      </w:pPr>
      <w:r>
        <w:rPr>
          <w:rFonts w:ascii="Arial" w:cs="Arial" w:eastAsia="Arial" w:hAnsi="Arial"/>
          <w:color w:val="555555"/>
          <w:sz w:val="18"/>
          <w:szCs w:val="18"/>
        </w:rPr>
        <w:t xml:space="preserve">DashRite Advisory LLC · regenerated from florida.html at head e5bf3fe · 2026-10-30 · every figure read from the file; nothing typed</w:t>
      </w:r>
    </w:p>
    <w:p>
      <w:pPr>
        <w:spacing w:after="120"/>
      </w:pPr>
      <w:r>
        <w:rPr>
          <w:rFonts w:ascii="Arial" w:cs="Arial" w:eastAsia="Arial" w:hAnsi="Arial"/>
          <w:sz w:val="20"/>
          <w:szCs w:val="20"/>
        </w:rPr>
        <w:t xml:space="preserve">Callable today: 25 of 47 Tier A rows — a named person, a sourced phone or address, trading confirmed on the company’s own pages (registry required before engagement; Sunbiz refuses the reader), inside the window. Band 1: 13.</w:t>
      </w:r>
    </w:p>
    <w:p>
      <w:pPr>
        <w:spacing w:after="120"/>
      </w:pPr>
      <w:r>
        <w:rPr>
          <w:rFonts w:ascii="Arial" w:cs="Arial" w:eastAsia="Arial" w:hAnsi="Arial"/>
          <w:b/>
          <w:bCs/>
          <w:sz w:val="24"/>
          <w:szCs w:val="24"/>
        </w:rPr>
        <w:t xml:space="preserve">Acquisitions</w:t>
      </w:r>
    </w:p>
    <w:p>
      <w:pPr>
        <w:spacing w:after="120"/>
      </w:pPr>
      <w:r>
        <w:rPr>
          <w:rFonts w:ascii="Arial" w:cs="Arial" w:eastAsia="Arial" w:hAnsi="Arial"/>
          <w:sz w:val="18"/>
          <w:szCs w:val="18"/>
        </w:rPr>
        <w:t xml:space="preserve">No callable row carries a published Acquisitions signal yet — every row reads “not read” or “no signal found” under the practice standard (0 signals across the 47 is the correct starting number). The practice pipeline (Part 9) is where these are discovered from third-party sources.</w:t>
      </w:r>
    </w:p>
    <w:p>
      <w:pPr>
        <w:spacing w:after="120"/>
      </w:pPr>
      <w:r>
        <w:rPr>
          <w:rFonts w:ascii="Arial" w:cs="Arial" w:eastAsia="Arial" w:hAnsi="Arial"/>
          <w:b/>
          <w:bCs/>
          <w:sz w:val="24"/>
          <w:szCs w:val="24"/>
        </w:rPr>
        <w:t xml:space="preserve">Fractionals</w:t>
      </w:r>
    </w:p>
    <w:p>
      <w:pPr>
        <w:spacing w:after="120"/>
      </w:pPr>
      <w:r>
        <w:rPr>
          <w:rFonts w:ascii="Arial" w:cs="Arial" w:eastAsia="Arial" w:hAnsi="Arial"/>
          <w:sz w:val="18"/>
          <w:szCs w:val="18"/>
        </w:rPr>
        <w:t xml:space="preserve">No callable row carries a published Fractionals signal yet — every row reads “not read” or “no signal found” under the practice standard (0 signals across the 47 is the correct starting number). The practice pipeline (Part 9) is where these are discovered from third-party sources.</w:t>
      </w:r>
    </w:p>
    <w:p>
      <w:pPr>
        <w:spacing w:after="120"/>
      </w:pPr>
      <w:r>
        <w:rPr>
          <w:rFonts w:ascii="Arial" w:cs="Arial" w:eastAsia="Arial" w:hAnsi="Arial"/>
          <w:b/>
          <w:bCs/>
          <w:sz w:val="24"/>
          <w:szCs w:val="24"/>
        </w:rPr>
        <w:t xml:space="preserve">Private Equity</w:t>
      </w:r>
    </w:p>
    <w:p>
      <w:pPr>
        <w:spacing w:after="120"/>
      </w:pPr>
      <w:r>
        <w:rPr>
          <w:rFonts w:ascii="Arial" w:cs="Arial" w:eastAsia="Arial" w:hAnsi="Arial"/>
          <w:sz w:val="18"/>
          <w:szCs w:val="18"/>
        </w:rPr>
        <w:t xml:space="preserve">No callable row carries a published Private Equity signal yet — every row reads “not read” or “no signal found” under the practice standard (0 signals across the 47 is the correct starting number). The practice pipeline (Part 9) is where these are discovered from third-party sources.</w:t>
      </w:r>
    </w:p>
    <w:p>
      <w:pPr>
        <w:spacing w:after="120"/>
      </w:pPr>
      <w:r>
        <w:rPr>
          <w:rFonts w:ascii="Arial" w:cs="Arial" w:eastAsia="Arial" w:hAnsi="Arial"/>
          <w:b/>
          <w:bCs/>
          <w:sz w:val="24"/>
          <w:szCs w:val="24"/>
        </w:rPr>
        <w:t xml:space="preserve">All callable rows, by band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700"/>
        <w:gridCol w:w="1900"/>
        <w:gridCol w:w="2000"/>
        <w:gridCol w:w="1900"/>
      </w:tblGrid>
      <w:tr>
        <w:trPr>
          <w:tblHeader/>
        </w:trPr>
        <w:tc>
          <w:tcPr>
            <w:tcW w:type="dxa" w:w="500"/>
            <w:tcMar>
              <w:top w:type="dxa" w:w="60"/>
              <w:left w:type="dxa" w:w="80"/>
              <w:bottom w:type="dxa" w:w="60"/>
              <w:right w:type="dxa" w:w="80"/>
            </w:tcMar>
          </w:tcPr>
          <w:p>
            <w:r>
              <w:rPr>
                <w:rFonts w:ascii="Arial" w:cs="Arial" w:eastAsia="Arial" w:hAnsi="Arial"/>
                <w:b/>
                <w:bCs/>
                <w:sz w:val="17"/>
                <w:szCs w:val="17"/>
              </w:rPr>
              <w:t xml:space="preserve">#</w:t>
            </w:r>
          </w:p>
        </w:tc>
        <w:tc>
          <w:tcPr>
            <w:tcW w:type="dxa" w:w="2200"/>
            <w:tcMar>
              <w:top w:type="dxa" w:w="60"/>
              <w:left w:type="dxa" w:w="80"/>
              <w:bottom w:type="dxa" w:w="60"/>
              <w:right w:type="dxa" w:w="80"/>
            </w:tcMar>
          </w:tcPr>
          <w:p>
            <w:r>
              <w:rPr>
                <w:rFonts w:ascii="Arial" w:cs="Arial" w:eastAsia="Arial" w:hAnsi="Arial"/>
                <w:b/>
                <w:bCs/>
                <w:sz w:val="17"/>
                <w:szCs w:val="17"/>
              </w:rPr>
              <w:t xml:space="preserve">Company</w:t>
            </w:r>
          </w:p>
        </w:tc>
        <w:tc>
          <w:tcPr>
            <w:tcW w:type="dxa" w:w="1200"/>
            <w:tcMar>
              <w:top w:type="dxa" w:w="60"/>
              <w:left w:type="dxa" w:w="80"/>
              <w:bottom w:type="dxa" w:w="60"/>
              <w:right w:type="dxa" w:w="80"/>
            </w:tcMar>
          </w:tcPr>
          <w:p>
            <w:r>
              <w:rPr>
                <w:rFonts w:ascii="Arial" w:cs="Arial" w:eastAsia="Arial" w:hAnsi="Arial"/>
                <w:b/>
                <w:bCs/>
                <w:sz w:val="17"/>
                <w:szCs w:val="17"/>
              </w:rPr>
              <w:t xml:space="preserve">City</w:t>
            </w:r>
          </w:p>
        </w:tc>
        <w:tc>
          <w:tcPr>
            <w:tcW w:type="dxa" w:w="700"/>
            <w:tcMar>
              <w:top w:type="dxa" w:w="60"/>
              <w:left w:type="dxa" w:w="80"/>
              <w:bottom w:type="dxa" w:w="60"/>
              <w:right w:type="dxa" w:w="80"/>
            </w:tcMar>
          </w:tcPr>
          <w:p>
            <w:r>
              <w:rPr>
                <w:rFonts w:ascii="Arial" w:cs="Arial" w:eastAsia="Arial" w:hAnsi="Arial"/>
                <w:b/>
                <w:bCs/>
                <w:sz w:val="17"/>
                <w:szCs w:val="17"/>
              </w:rPr>
              <w:t xml:space="preserve">Band</w:t>
            </w:r>
          </w:p>
        </w:tc>
        <w:tc>
          <w:tcPr>
            <w:tcW w:type="dxa" w:w="1900"/>
            <w:tcMar>
              <w:top w:type="dxa" w:w="60"/>
              <w:left w:type="dxa" w:w="80"/>
              <w:bottom w:type="dxa" w:w="60"/>
              <w:right w:type="dxa" w:w="80"/>
            </w:tcMar>
          </w:tcPr>
          <w:p>
            <w:r>
              <w:rPr>
                <w:rFonts w:ascii="Arial" w:cs="Arial" w:eastAsia="Arial" w:hAnsi="Arial"/>
                <w:b/>
                <w:bCs/>
                <w:sz w:val="17"/>
                <w:szCs w:val="17"/>
              </w:rPr>
              <w:t xml:space="preserve">Named person</w:t>
            </w:r>
          </w:p>
        </w:tc>
        <w:tc>
          <w:tcPr>
            <w:tcW w:type="dxa" w:w="2000"/>
            <w:tcMar>
              <w:top w:type="dxa" w:w="60"/>
              <w:left w:type="dxa" w:w="80"/>
              <w:bottom w:type="dxa" w:w="60"/>
              <w:right w:type="dxa" w:w="80"/>
            </w:tcMar>
          </w:tcPr>
          <w:p>
            <w:r>
              <w:rPr>
                <w:rFonts w:ascii="Arial" w:cs="Arial" w:eastAsia="Arial" w:hAnsi="Arial"/>
                <w:b/>
                <w:bCs/>
                <w:sz w:val="17"/>
                <w:szCs w:val="17"/>
              </w:rPr>
              <w:t xml:space="preserve">Sourced address · Src date</w:t>
            </w:r>
          </w:p>
        </w:tc>
        <w:tc>
          <w:tcPr>
            <w:tcW w:type="dxa" w:w="1900"/>
            <w:tcMar>
              <w:top w:type="dxa" w:w="60"/>
              <w:left w:type="dxa" w:w="80"/>
              <w:bottom w:type="dxa" w:w="60"/>
              <w:right w:type="dxa" w:w="80"/>
            </w:tcMar>
          </w:tcPr>
          <w:p>
            <w:r>
              <w:rPr>
                <w:rFonts w:ascii="Arial" w:cs="Arial" w:eastAsia="Arial" w:hAnsi="Arial"/>
                <w:b/>
                <w:bCs/>
                <w:sz w:val="17"/>
                <w:szCs w:val="17"/>
              </w:rPr>
              <w:t xml:space="preserve">Phone on file</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2</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Badia Spices</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Doral</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1</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Joseph “Pepe” Badia — President / majority owner</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poconfirm@badiaspices.com · badiaspices.com/contact-us/ · read 2026-10-29</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(305) 629-8000</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9</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Riverdale Farms</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Doral</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1</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Luis H. Balcazar — President (Sunbiz officer P); Emilio Borrero, Chairman</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sales@riverdalefarms.com · riverdalefarms.com · read 2026-10-29</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(305) 592-5760</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19</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Refricenter</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Miami</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1</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Jose Hernandez — President (CEO: Cirilo Hernandez — family)</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brian@refricenter.net · refricenter.net · read 2026-10-29</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(305) 477-8880</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34</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Cigarette Racing Team</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Opa-locka</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1</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Alexander “Alex” Ruiz — CEO (Ruiz family / Lionheart ownership); Kurt Bender, President (appt. Nov 2025)</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contact@cigaretteracing.com · cigaretteracing.com · read 2026-10-29</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(305) 931-4564</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35</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WTDC Logistics</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Miami</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1</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Sean P. Gazitua — President &amp; CEO (3rd-gen family); Ralph L. Gazitua, Chairman</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rgazitua@wtdc.com · wtdc.com/contact-us · read 2026-10-29</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(305) 594-2195</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37</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Fulfillment Hub USA</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Doral</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1</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Abel Horvath — CEO / Owner (Sunbiz RA titled CEO, upd. 04/2026; BBB)</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info@fulfillmenthubusa.com · fulfillmenthubusa.com · read 2026-10-29</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(786) 622-1102</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59</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Barney's Pumps</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Lakeland</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1</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Robbie Pearce — President &amp; Director; Johnnie Mack Curls Jr., CEO &amp; Director (Sunbiz current)</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info@barneyspumps.com · barneyspumps.com · read 2026-10-29</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(863) 665-8500</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64</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Florida Paints</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Orlando</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1</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Rick Strube &amp; Don Strube Jr. — Co-Founders &amp; Co-CEOs (Strube family, 2nd gen; Jeff Grasty, President/ops)</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info@floridapaints.com · floridapaints.com · read 2026-10-29</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(407) 293-4175</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75</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Rulon International</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St. Augustine</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1</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Caleb Diffell — CEO (succeeded founder Wayne Robison, d. 2025-02-17); Matthew Robison, VP Business Ops (family)</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info@rulonco.com · rulonco.com · read 2026-10-29</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(800) 227-8566</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79</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Reid Transportation Group</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Jacksonville</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1</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Junior Anthony Reid — Manager/Principal (Sunbiz; with Krystal Alexandra Reid, Manager)</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info@reidtransportationgroup.com · reidtransportationgroup.com · read 2026-10-29</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(904) 270-9387</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100</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Arthrex</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Naples</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1</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Reinhold D. Schmieding — Founder, President &amp; CEO, majority owner</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softwaresupport@arthrex.com · arthrex.com:443/support · read 2026-10-29</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(239) 643-5553</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133</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Sally Dark Rides</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Jacksonville</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1</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John Wood — Chairman &amp; President (co-founder, 1977); Rolf Paegert, CEO</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lweaver@sallydarkrides.com · sallydarkrides.com/dream-team · read 2026-10-29</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(904) 355-7100</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135</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American Coolair</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Jacksonville</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1</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Harry Graves — President (Graves family, 4th generation since 1928)</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none published</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(904) 389-3646</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82</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El Dorado Furniture</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Miami Gardens</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2</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Luis E. Capó — CEO (board = the six Capó brothers)</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customercare@eldoradofurniture.com · eldoradofurniture.com · read 2026-10-29</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none sourced</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86</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Miami Beef Company</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Hialeah</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2</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Michael Young — President &amp; Owner (Sunbiz officers all Young family: Elizabeth VP, Daniel CFO, Robert Dir.)</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sales@miamibeef.com · miamibeef.com · read 2026-10-29</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none sourced</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6</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Eagle Brands Sales</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Miami</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4</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Susan B. McCollum — President &amp; CEO / owner</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ghoyos@eaglebrands.com · eaglebrands.com/contact · read 2026-10-29</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305-599-2337</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20</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TruckMax</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Miami</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4</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Joseph A. DeMaria — President &amp; owner (Sunbiz current, also RA; LinkedIn: Owner/CEO)</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none published</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(305) 777-9000</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36</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SkyPostal</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Miami</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4</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A.J. Hernandez — President &amp; CEO (2nd-gen; father Albert P. Hernandez founded)</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none published</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(305) 599-1812</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42</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Pepin Distributing</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Tampa</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4</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Tom Pepin — Chairman &amp; CEO (3rd gen)</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info@teampepin.com · pepindistributing.com · read 2026-10-29</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813-628-4400</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54</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Bealls Inc.</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Bradenton</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4</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Matt Beall — CEO (Chairman: Robert M. Beall II; CFO: Dan Love)</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beallsinc-guests@beallsinc.com · beallsinc.com · read 2026-10-29</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(941) 747-2355</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57</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Teakdecking Systems</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Sarasota</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4</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Richard J. Strauss — CEO (Sunbiz: President; board-promoted to CEO)</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products@teakdecking.com · teakdecking.com/contact · read 2026-10-29</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(941) 756-0600</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70</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Cone Distributors</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Ocala</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4</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Douglas P. Cone Jr. — Founder &amp; President/CEO (Sunbiz: P; son Douglas Cone III, VP — succession in place)</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none published</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(352) 732-4111</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115</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Wish Farms</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Plant City</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4</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James Peterson — CEO (eff. 2026-06-01; family by marriage); Gary Wishnatzki → Chairman</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info@wishfarms.com · wishfarms.com · read 2026-10-29</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(813) 752-5111</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118</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S.R. Perrott</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Ormond Beach</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4</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Michele P. Connors — Owner &amp; President (2nd gen; founders’ daughter)</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info@srperrott.com · srperrott.com/contact · read 2026-10-29</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(386) 672-2275</w:t>
            </w:r>
          </w:p>
        </w:tc>
      </w:tr>
      <w:tr>
        <w:tc>
          <w:tcPr>
            <w:tcW w:type="dxa" w:w="500"/>
            <w:tcMar>
              <w:top w:type="dxa" w:w="60"/>
              <w:left w:type="dxa" w:w="80"/>
              <w:bottom w:type="dxa" w:w="60"/>
              <w:right w:type="dxa" w:w="80"/>
            </w:tcMar>
          </w:tcPr>
          <w:p>
            <w:r>
              <w:rPr>
                <w:rFonts w:ascii="Arial" w:cs="Arial" w:eastAsia="Arial" w:hAnsi="Arial"/>
                <w:b w:val="false"/>
                <w:bCs w:val="false"/>
                <w:sz w:val="17"/>
                <w:szCs w:val="17"/>
              </w:rPr>
              <w:t xml:space="preserve">153</w:t>
            </w:r>
          </w:p>
        </w:tc>
        <w:tc>
          <w:tcPr>
            <w:tcW w:type="dxa" w:w="2200"/>
            <w:tcMar>
              <w:top w:type="dxa" w:w="60"/>
              <w:left w:type="dxa" w:w="80"/>
              <w:bottom w:type="dxa" w:w="60"/>
              <w:right w:type="dxa" w:w="80"/>
            </w:tcMar>
          </w:tcPr>
          <w:p>
            <w:r>
              <w:rPr>
                <w:rFonts w:ascii="Arial" w:cs="Arial" w:eastAsia="Arial" w:hAnsi="Arial"/>
                <w:b w:val="false"/>
                <w:bCs w:val="false"/>
                <w:sz w:val="17"/>
                <w:szCs w:val="17"/>
              </w:rPr>
              <w:t xml:space="preserve">Kelly Tractor Co.</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Miami</w:t>
            </w:r>
          </w:p>
        </w:tc>
        <w:tc>
          <w:tcPr>
            <w:tcW w:type="dxa" w:w="700"/>
            <w:tcMar>
              <w:top w:type="dxa" w:w="60"/>
              <w:left w:type="dxa" w:w="80"/>
              <w:bottom w:type="dxa" w:w="60"/>
              <w:right w:type="dxa" w:w="80"/>
            </w:tcMar>
          </w:tcPr>
          <w:p>
            <w:r>
              <w:rPr>
                <w:rFonts w:ascii="Arial" w:cs="Arial" w:eastAsia="Arial" w:hAnsi="Arial"/>
                <w:b w:val="false"/>
                <w:bCs w:val="false"/>
                <w:sz w:val="17"/>
                <w:szCs w:val="17"/>
              </w:rPr>
              <w:t xml:space="preserve">4</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Chris Kelly — President (named 2022, per company site read 2026-10-29)</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dino_riggio@kellytractor.com · kellytractor.com/eng/contactus.aspx · read 2026-10-29</w:t>
            </w:r>
          </w:p>
        </w:tc>
        <w:tc>
          <w:tcPr>
            <w:tcW w:type="dxa" w:w="1900"/>
            <w:tcMar>
              <w:top w:type="dxa" w:w="60"/>
              <w:left w:type="dxa" w:w="80"/>
              <w:bottom w:type="dxa" w:w="60"/>
              <w:right w:type="dxa" w:w="80"/>
            </w:tcMar>
          </w:tcPr>
          <w:p>
            <w:r>
              <w:rPr>
                <w:rFonts w:ascii="Arial" w:cs="Arial" w:eastAsia="Arial" w:hAnsi="Arial"/>
                <w:b w:val="false"/>
                <w:bCs w:val="false"/>
                <w:sz w:val="17"/>
                <w:szCs w:val="17"/>
              </w:rPr>
              <w:t xml:space="preserve">(305) 592-5360</w:t>
            </w:r>
          </w:p>
        </w:tc>
      </w:tr>
    </w:tbl>
    <w:p>
      <w:pPr>
        <w:spacing w:after="120"/>
      </w:pPr>
      <w:r>
        <w:rPr>
          <w:rFonts w:ascii="Arial" w:cs="Arial" w:eastAsia="Arial" w:hAnsi="Arial"/>
          <w:b/>
          <w:bCs/>
          <w:sz w:val="22"/>
          <w:szCs w:val="22"/>
        </w:rPr>
        <w:t xml:space="preserve">Reading the sheet</w:t>
      </w:r>
    </w:p>
    <w:p>
      <w:pPr>
        <w:spacing w:after="120"/>
      </w:pPr>
      <w:r>
        <w:rPr>
          <w:rFonts w:ascii="Arial" w:cs="Arial" w:eastAsia="Arial" w:hAnsi="Arial"/>
          <w:sz w:val="18"/>
          <w:szCs w:val="18"/>
        </w:rPr>
        <w:t xml:space="preserve">Call the named person. “None published” for an address means the company does not publish one; the phone on file is listed only where a page read on 2026-10-29 carried it or the row’s note says otherwise. A row’s next repair, if any, is on the console (“what would move this”). Every date is the date we read it.</w:t>
      </w:r>
    </w:p>
    <w:sectPr>
      <w:footerReference w:type="default" r:id="rId7"/>
      <w:pgSz w:w="12240" w:h="15840" w:orient="portrait"/>
      <w:pgMar w:top="1000" w:right="900" w:bottom="1000" w:left="900" w:header="708" w:footer="708" w:gutter="0"/>
      <w:pgBorders>
        <w:top w:val="single" w:color="1F3A5F" w:sz="6" w:space="20"/>
        <w:left w:val="single" w:color="1F3A5F" w:sz="6" w:space="20"/>
        <w:bottom w:val="single" w:color="1F3A5F" w:sz="6" w:space="20"/>
        <w:right w:val="single" w:color="1F3A5F" w:sz="6"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DashRite Advisory LLC · Core BD Report — Florida ·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2026-10-30T11:28:57.314Z</dcterms:created>
  <dcterms:modified xsi:type="dcterms:W3CDTF">2026-10-30T11:28:57.324Z</dcterms:modified>
</cp:coreProperties>
</file>

<file path=docProps/custom.xml><?xml version="1.0" encoding="utf-8"?>
<Properties xmlns="http://schemas.openxmlformats.org/officeDocument/2006/custom-properties" xmlns:vt="http://schemas.openxmlformats.org/officeDocument/2006/docPropsVTypes"/>
</file>