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Open To-Do — Item 321b additions</w:t>
      </w:r>
    </w:p>
    <w:p>
      <w:r>
        <w:t>31 October 2026 · to be merged into the Master Open To-Do. The project holds the To-Do only as text, not as the Word original, so these items are delivered as an addendum rather than edited into the file.</w:t>
      </w:r>
    </w:p>
    <w:p>
      <w:pPr>
        <w:pStyle w:val="Heading2"/>
      </w:pPr>
      <w:r>
        <w:t>Texas — contact sourcing first</w:t>
      </w:r>
    </w:p>
    <w:p>
      <w:r>
        <w:t>All 58 call-ready rows fell to 0 on the fixed contact rule: no source line on them names a contact. Texas’s first work is sourcing the published numbers for rows that already have decision makers, not finding new rows. Measure: each row’s contact carried on a dated source line.</w:t>
      </w:r>
    </w:p>
    <w:p>
      <w:pPr>
        <w:pStyle w:val="Heading2"/>
      </w:pPr>
      <w:r>
        <w:t>South Carolina, Georgia, North Carolina — the same first work</w:t>
      </w:r>
    </w:p>
    <w:p>
      <w:r>
        <w:t>South Carolina 15 → 0, Georgia 16 → 0, North Carolina 11 → 0 call-ready rows. Contact sourcing for rows already holding decision makers comes before any discovery.</w:t>
      </w:r>
    </w:p>
    <w:p>
      <w:pPr>
        <w:pStyle w:val="Heading2"/>
      </w:pPr>
      <w:r>
        <w:t>The acquisition backlog</w:t>
      </w:r>
    </w:p>
    <w:p>
      <w:r>
        <w:t>203 rows across the programme carry no source line at all for their contact: Texas 52, Chicago 48, Georgia 16, South Carolina 14, Florida 13, North Carolina 11, Wisconsin 8, New Jersey 7, Tennessee 6, New York 5, Virginia 4, and fewer elsewhere. It is the single largest body of work the programme holds. It needs reads, which are not authorised.</w:t>
      </w:r>
    </w:p>
    <w:sectPr w:rsidR="00FC693F" w:rsidRPr="0006063C" w:rsidSect="00034616">
      <w:footerReference w:type="default" r:id="rId9"/>
      <w:pgSz w:w="12240" w:h="15840"/>
      <w:pgMar w:top="1440" w:right="1800" w:bottom="1440" w:left="1800" w:header="720" w:footer="720" w:gutter="0"/>
      <w:cols w:space="720"/>
      <w:docGrid w:linePitch="360"/>
      <w:pgBorders w:offsetFrom="page">
        <w:top w:val="single" w:sz="8" w:space="24" w:color="1F2A44"/>
        <w:left w:val="single" w:sz="8" w:space="24" w:color="1F2A44"/>
        <w:bottom w:val="single" w:sz="8" w:space="24" w:color="1F2A44"/>
        <w:right w:val="single" w:sz="8" w:space="24" w:color="1F2A4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DashRite Advisory LLC · Master Open To-Do · Item 321b additions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