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</w:pPr>
      <w:r>
        <w:rPr>
          <w:rFonts w:ascii="Arial" w:cs="Arial" w:eastAsia="Arial" w:hAnsi="Arial"/>
          <w:b/>
          <w:bCs/>
          <w:color w:val="1A1A1A"/>
          <w:sz w:val="32"/>
          <w:szCs w:val="32"/>
        </w:rPr>
        <w:t xml:space="preserve">Core BD Report — Florida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color w:val="555555"/>
          <w:sz w:val="18"/>
          <w:szCs w:val="18"/>
        </w:rPr>
        <w:t xml:space="preserve">DashRite Advisory LLC · regenerated on the final bytes of the Florida 100 close · 2026-10-31 · every figure read from the files; nothing typed</w:t>
      </w:r>
    </w:p>
    <w:p>
      <w:pPr>
        <w:spacing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Florida in all: 200 rows across 197 companies (self-overlap checked 2026-10-31). Call-ready: 40 rows across 40 companies. Lineage: closed at 98 rows / 97 companies on 31 October under the old contact rule; re-closed at 40 rows / 40 companies on the fixed rule, the 58 rows falling because no source line on them named the contact. A market that re-closes lower on a better instrument is the instrument working. Item 322 (2026-10-31): 57 rows holding a phone were worked at 117 reads of a 171 ceiling; 0 sourced, because no page that showed the number displayed a date of its own. Call-ready unchanged at 40 rows / 40 companies. Verified-callable: 14 rows (25 on the old rule; 11 fell because their contacts carry no dated source). Every count states rows or companies.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Callable today from the existing Florida rows (rows): 14 of 47 Tier A (unchanged by the Florida 100 run — florida.html was not edited). Band 1: 9.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The Florida 100, closed at its measured count: 7 admitted (Unverified, size Blind under the Chair’s ruling, awaiting the Chair’s tests 3 and 4) and 3 complete with the contact outstanding. The target closed as a route tested and found absent, not as a shortfall.</w:t>
      </w:r>
    </w:p>
    <w:p>
      <w:pPr>
        <w:spacing w:after="120"/>
      </w:pPr>
      <w:r>
        <w:rPr>
          <w:rFonts w:ascii="Arial" w:cs="Arial" w:eastAsia="Arial" w:hAnsi="Arial"/>
          <w:b/>
          <w:bCs/>
          <w:color w:val="1A1A1A"/>
          <w:sz w:val="24"/>
          <w:szCs w:val="24"/>
        </w:rPr>
        <w:t xml:space="preserve">Acquisitions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color w:val="1A1A1A"/>
          <w:sz w:val="18"/>
          <w:szCs w:val="18"/>
        </w:rPr>
        <w:t xml:space="preserve">3 admitted row(s), each with a proved site, a dated third-party signal, tests 1, 2 and 5 passed, and a named executive with a source.</w:t>
      </w:r>
    </w:p>
    <w:tbl>
      <w:tblPr>
        <w:tblW w:type="dxa" w:w="104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500"/>
        <w:gridCol w:w="2700"/>
        <w:gridCol w:w="1900"/>
        <w:gridCol w:w="1740"/>
      </w:tblGrid>
      <w:tr>
        <w:trPr>
          <w:tblHeader/>
        </w:trPr>
        <w:tc>
          <w:tcPr>
            <w:tcW w:type="dxa" w:w="2600"/>
            <w:shd w:fill="1F3A5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Company</w:t>
            </w:r>
          </w:p>
        </w:tc>
        <w:tc>
          <w:tcPr>
            <w:tcW w:type="dxa" w:w="1500"/>
            <w:shd w:fill="1F3A5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Practice</w:t>
            </w:r>
          </w:p>
        </w:tc>
        <w:tc>
          <w:tcPr>
            <w:tcW w:type="dxa" w:w="2700"/>
            <w:shd w:fill="1F3A5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Decision maker</w:t>
            </w:r>
          </w:p>
        </w:tc>
        <w:tc>
          <w:tcPr>
            <w:tcW w:type="dxa" w:w="1900"/>
            <w:shd w:fill="1F3A5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Phone</w:t>
            </w:r>
          </w:p>
        </w:tc>
        <w:tc>
          <w:tcPr>
            <w:tcW w:type="dxa" w:w="1740"/>
            <w:shd w:fill="1F3A5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Executive read</w:t>
            </w:r>
          </w:p>
        </w:tc>
      </w:tr>
      <w:tr>
        <w:tc>
          <w:tcPr>
            <w:tcW w:type="dxa" w:w="2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Alpha Foundations</w:t>
            </w:r>
          </w:p>
        </w:tc>
        <w:tc>
          <w:tcPr>
            <w:tcW w:type="dxa" w:w="15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Acquisitions</w:t>
            </w:r>
          </w:p>
        </w:tc>
        <w:tc>
          <w:tcPr>
            <w:tcW w:type="dxa" w:w="2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Nick Blasco, General Manager</w:t>
            </w:r>
          </w:p>
        </w:tc>
        <w:tc>
          <w:tcPr>
            <w:tcW w:type="dxa" w:w="19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877-322-3446</w:t>
            </w:r>
          </w:p>
        </w:tc>
        <w:tc>
          <w:tcPr>
            <w:tcW w:type="dxa" w:w="174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2026-10-31</w:t>
            </w:r>
          </w:p>
        </w:tc>
      </w:tr>
      <w:tr>
        <w:tc>
          <w:tcPr>
            <w:tcW w:type="dxa" w:w="2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American Fasteners</w:t>
            </w:r>
          </w:p>
        </w:tc>
        <w:tc>
          <w:tcPr>
            <w:tcW w:type="dxa" w:w="15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Acquisitions</w:t>
            </w:r>
          </w:p>
        </w:tc>
        <w:tc>
          <w:tcPr>
            <w:tcW w:type="dxa" w:w="2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Manuel Benitez, Founder</w:t>
            </w:r>
          </w:p>
        </w:tc>
        <w:tc>
          <w:tcPr>
            <w:tcW w:type="dxa" w:w="19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305-885-1717</w:t>
            </w:r>
          </w:p>
        </w:tc>
        <w:tc>
          <w:tcPr>
            <w:tcW w:type="dxa" w:w="174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2026-10-31</w:t>
            </w:r>
          </w:p>
        </w:tc>
      </w:tr>
      <w:tr>
        <w:tc>
          <w:tcPr>
            <w:tcW w:type="dxa" w:w="2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FreightCenter</w:t>
            </w:r>
          </w:p>
        </w:tc>
        <w:tc>
          <w:tcPr>
            <w:tcW w:type="dxa" w:w="15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Acquisitions</w:t>
            </w:r>
          </w:p>
        </w:tc>
        <w:tc>
          <w:tcPr>
            <w:tcW w:type="dxa" w:w="2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Matthew Brosious, President</w:t>
            </w:r>
          </w:p>
        </w:tc>
        <w:tc>
          <w:tcPr>
            <w:tcW w:type="dxa" w:w="19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Blind</w:t>
            </w:r>
          </w:p>
        </w:tc>
        <w:tc>
          <w:tcPr>
            <w:tcW w:type="dxa" w:w="174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2026-10-31</w:t>
            </w:r>
          </w:p>
        </w:tc>
      </w:tr>
    </w:tbl>
    <w:p>
      <w:pPr>
        <w:spacing w:after="120"/>
      </w:pPr>
      <w:r>
        <w:rPr>
          <w:rFonts w:ascii="Arial" w:cs="Arial" w:eastAsia="Arial" w:hAnsi="Arial"/>
          <w:b/>
          <w:bCs/>
          <w:color w:val="1A1A1A"/>
          <w:sz w:val="24"/>
          <w:szCs w:val="24"/>
        </w:rPr>
        <w:t xml:space="preserve">Fractionals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color w:val="1A1A1A"/>
          <w:sz w:val="18"/>
          <w:szCs w:val="18"/>
        </w:rPr>
        <w:t xml:space="preserve">2 admitted row(s), each with a proved site, a dated third-party signal, tests 1, 2 and 5 passed, and a named executive with a source.</w:t>
      </w:r>
    </w:p>
    <w:tbl>
      <w:tblPr>
        <w:tblW w:type="dxa" w:w="104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500"/>
        <w:gridCol w:w="2700"/>
        <w:gridCol w:w="1900"/>
        <w:gridCol w:w="1740"/>
      </w:tblGrid>
      <w:tr>
        <w:trPr>
          <w:tblHeader/>
        </w:trPr>
        <w:tc>
          <w:tcPr>
            <w:tcW w:type="dxa" w:w="2600"/>
            <w:shd w:fill="1F3A5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Company</w:t>
            </w:r>
          </w:p>
        </w:tc>
        <w:tc>
          <w:tcPr>
            <w:tcW w:type="dxa" w:w="1500"/>
            <w:shd w:fill="1F3A5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Practice</w:t>
            </w:r>
          </w:p>
        </w:tc>
        <w:tc>
          <w:tcPr>
            <w:tcW w:type="dxa" w:w="2700"/>
            <w:shd w:fill="1F3A5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Decision maker</w:t>
            </w:r>
          </w:p>
        </w:tc>
        <w:tc>
          <w:tcPr>
            <w:tcW w:type="dxa" w:w="1900"/>
            <w:shd w:fill="1F3A5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Phone</w:t>
            </w:r>
          </w:p>
        </w:tc>
        <w:tc>
          <w:tcPr>
            <w:tcW w:type="dxa" w:w="1740"/>
            <w:shd w:fill="1F3A5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Executive read</w:t>
            </w:r>
          </w:p>
        </w:tc>
      </w:tr>
      <w:tr>
        <w:tc>
          <w:tcPr>
            <w:tcW w:type="dxa" w:w="2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Palm Medical Centers</w:t>
            </w:r>
          </w:p>
        </w:tc>
        <w:tc>
          <w:tcPr>
            <w:tcW w:type="dxa" w:w="15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Fractionals</w:t>
            </w:r>
          </w:p>
        </w:tc>
        <w:tc>
          <w:tcPr>
            <w:tcW w:type="dxa" w:w="2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Jim McHugh, Chief Financial Officer</w:t>
            </w:r>
          </w:p>
        </w:tc>
        <w:tc>
          <w:tcPr>
            <w:tcW w:type="dxa" w:w="19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Blind</w:t>
            </w:r>
          </w:p>
        </w:tc>
        <w:tc>
          <w:tcPr>
            <w:tcW w:type="dxa" w:w="174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2026-10-30</w:t>
            </w:r>
          </w:p>
        </w:tc>
      </w:tr>
      <w:tr>
        <w:tc>
          <w:tcPr>
            <w:tcW w:type="dxa" w:w="2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Altitude Water</w:t>
            </w:r>
          </w:p>
        </w:tc>
        <w:tc>
          <w:tcPr>
            <w:tcW w:type="dxa" w:w="15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Fractionals</w:t>
            </w:r>
          </w:p>
        </w:tc>
        <w:tc>
          <w:tcPr>
            <w:tcW w:type="dxa" w:w="2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Branden Riley, COO</w:t>
            </w:r>
          </w:p>
        </w:tc>
        <w:tc>
          <w:tcPr>
            <w:tcW w:type="dxa" w:w="19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Blind</w:t>
            </w:r>
          </w:p>
        </w:tc>
        <w:tc>
          <w:tcPr>
            <w:tcW w:type="dxa" w:w="174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2026-10-31</w:t>
            </w:r>
          </w:p>
        </w:tc>
      </w:tr>
    </w:tbl>
    <w:p>
      <w:pPr>
        <w:spacing w:after="120"/>
      </w:pPr>
      <w:r>
        <w:rPr>
          <w:rFonts w:ascii="Arial" w:cs="Arial" w:eastAsia="Arial" w:hAnsi="Arial"/>
          <w:b/>
          <w:bCs/>
          <w:color w:val="1A1A1A"/>
          <w:sz w:val="24"/>
          <w:szCs w:val="24"/>
        </w:rPr>
        <w:t xml:space="preserve">Private Equity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color w:val="1A1A1A"/>
          <w:sz w:val="18"/>
          <w:szCs w:val="18"/>
        </w:rPr>
        <w:t xml:space="preserve">2 admitted row(s), each with a proved site, a dated third-party signal, tests 1, 2 and 5 passed, and a named executive with a source.</w:t>
      </w:r>
    </w:p>
    <w:tbl>
      <w:tblPr>
        <w:tblW w:type="dxa" w:w="104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500"/>
        <w:gridCol w:w="2700"/>
        <w:gridCol w:w="1900"/>
        <w:gridCol w:w="1740"/>
      </w:tblGrid>
      <w:tr>
        <w:trPr>
          <w:tblHeader/>
        </w:trPr>
        <w:tc>
          <w:tcPr>
            <w:tcW w:type="dxa" w:w="2600"/>
            <w:shd w:fill="1F3A5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Company</w:t>
            </w:r>
          </w:p>
        </w:tc>
        <w:tc>
          <w:tcPr>
            <w:tcW w:type="dxa" w:w="1500"/>
            <w:shd w:fill="1F3A5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Practice</w:t>
            </w:r>
          </w:p>
        </w:tc>
        <w:tc>
          <w:tcPr>
            <w:tcW w:type="dxa" w:w="2700"/>
            <w:shd w:fill="1F3A5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Decision maker</w:t>
            </w:r>
          </w:p>
        </w:tc>
        <w:tc>
          <w:tcPr>
            <w:tcW w:type="dxa" w:w="1900"/>
            <w:shd w:fill="1F3A5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Phone</w:t>
            </w:r>
          </w:p>
        </w:tc>
        <w:tc>
          <w:tcPr>
            <w:tcW w:type="dxa" w:w="1740"/>
            <w:shd w:fill="1F3A5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Executive read</w:t>
            </w:r>
          </w:p>
        </w:tc>
      </w:tr>
      <w:tr>
        <w:tc>
          <w:tcPr>
            <w:tcW w:type="dxa" w:w="2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Health Network One</w:t>
            </w:r>
          </w:p>
        </w:tc>
        <w:tc>
          <w:tcPr>
            <w:tcW w:type="dxa" w:w="15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Private Equity</w:t>
            </w:r>
          </w:p>
        </w:tc>
        <w:tc>
          <w:tcPr>
            <w:tcW w:type="dxa" w:w="2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Heyward Donigan, CEO</w:t>
            </w:r>
          </w:p>
        </w:tc>
        <w:tc>
          <w:tcPr>
            <w:tcW w:type="dxa" w:w="19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Blind</w:t>
            </w:r>
          </w:p>
        </w:tc>
        <w:tc>
          <w:tcPr>
            <w:tcW w:type="dxa" w:w="174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2026-10-31</w:t>
            </w:r>
          </w:p>
        </w:tc>
      </w:tr>
      <w:tr>
        <w:tc>
          <w:tcPr>
            <w:tcW w:type="dxa" w:w="2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Sts Aviation Group</w:t>
            </w:r>
          </w:p>
        </w:tc>
        <w:tc>
          <w:tcPr>
            <w:tcW w:type="dxa" w:w="15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Private Equity</w:t>
            </w:r>
          </w:p>
        </w:tc>
        <w:tc>
          <w:tcPr>
            <w:tcW w:type="dxa" w:w="2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Mark Smith, President</w:t>
            </w:r>
          </w:p>
        </w:tc>
        <w:tc>
          <w:tcPr>
            <w:tcW w:type="dxa" w:w="19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Blind</w:t>
            </w:r>
          </w:p>
        </w:tc>
        <w:tc>
          <w:tcPr>
            <w:tcW w:type="dxa" w:w="174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2026-10-31</w:t>
            </w:r>
          </w:p>
        </w:tc>
      </w:tr>
    </w:tbl>
    <w:p>
      <w:pPr>
        <w:spacing w:after="120"/>
      </w:pPr>
      <w:r>
        <w:rPr>
          <w:rFonts w:ascii="Arial" w:cs="Arial" w:eastAsia="Arial" w:hAnsi="Arial"/>
          <w:b/>
          <w:bCs/>
          <w:color w:val="1A1A1A"/>
          <w:sz w:val="24"/>
          <w:szCs w:val="24"/>
        </w:rPr>
        <w:t xml:space="preserve">Complete, contact outstanding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color w:val="1A1A1A"/>
          <w:sz w:val="18"/>
          <w:szCs w:val="18"/>
        </w:rPr>
        <w:t xml:space="preserve">Every test passed and size Blind; not admitted and never counted as admitted, because no named executive with a title was found on the routes spent (recorded on each row).</w:t>
      </w:r>
    </w:p>
    <w:tbl>
      <w:tblPr>
        <w:tblW w:type="dxa" w:w="104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500"/>
        <w:gridCol w:w="2700"/>
        <w:gridCol w:w="1900"/>
        <w:gridCol w:w="1740"/>
      </w:tblGrid>
      <w:tr>
        <w:trPr>
          <w:tblHeader/>
        </w:trPr>
        <w:tc>
          <w:tcPr>
            <w:tcW w:type="dxa" w:w="2600"/>
            <w:shd w:fill="1F3A5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Company</w:t>
            </w:r>
          </w:p>
        </w:tc>
        <w:tc>
          <w:tcPr>
            <w:tcW w:type="dxa" w:w="1500"/>
            <w:shd w:fill="1F3A5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Practice</w:t>
            </w:r>
          </w:p>
        </w:tc>
        <w:tc>
          <w:tcPr>
            <w:tcW w:type="dxa" w:w="2700"/>
            <w:shd w:fill="1F3A5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Own site</w:t>
            </w:r>
          </w:p>
        </w:tc>
        <w:tc>
          <w:tcPr>
            <w:tcW w:type="dxa" w:w="1900"/>
            <w:shd w:fill="1F3A5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/>
            </w:r>
          </w:p>
        </w:tc>
        <w:tc>
          <w:tcPr>
            <w:tcW w:type="dxa" w:w="1740"/>
            <w:shd w:fill="1F3A5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2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Moneysolver</w:t>
            </w:r>
          </w:p>
        </w:tc>
        <w:tc>
          <w:tcPr>
            <w:tcW w:type="dxa" w:w="15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Private Equity</w:t>
            </w:r>
          </w:p>
        </w:tc>
        <w:tc>
          <w:tcPr>
            <w:tcW w:type="dxa" w:w="2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https://www.moneysolver.org</w:t>
            </w:r>
          </w:p>
        </w:tc>
        <w:tc>
          <w:tcPr>
            <w:tcW w:type="dxa" w:w="19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74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2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Trakamerica</w:t>
            </w:r>
          </w:p>
        </w:tc>
        <w:tc>
          <w:tcPr>
            <w:tcW w:type="dxa" w:w="15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Private Equity</w:t>
            </w:r>
          </w:p>
        </w:tc>
        <w:tc>
          <w:tcPr>
            <w:tcW w:type="dxa" w:w="2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https://trakamerica.com/</w:t>
            </w:r>
          </w:p>
        </w:tc>
        <w:tc>
          <w:tcPr>
            <w:tcW w:type="dxa" w:w="19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74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2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Marino Performance Motors</w:t>
            </w:r>
          </w:p>
        </w:tc>
        <w:tc>
          <w:tcPr>
            <w:tcW w:type="dxa" w:w="15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Acquisitions</w:t>
            </w:r>
          </w:p>
        </w:tc>
        <w:tc>
          <w:tcPr>
            <w:tcW w:type="dxa" w:w="2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https://www.marinoperformancemotors.com/</w:t>
            </w:r>
          </w:p>
        </w:tc>
        <w:tc>
          <w:tcPr>
            <w:tcW w:type="dxa" w:w="19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174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/>
            </w:r>
          </w:p>
        </w:tc>
      </w:tr>
    </w:tbl>
    <w:p>
      <w:pPr>
        <w:spacing w:after="120"/>
      </w:pPr>
      <w:r>
        <w:rPr>
          <w:rFonts w:ascii="Arial" w:cs="Arial" w:eastAsia="Arial" w:hAnsi="Arial"/>
          <w:b/>
          <w:bCs/>
          <w:color w:val="1A1A1A"/>
          <w:sz w:val="24"/>
          <w:szCs w:val="24"/>
        </w:rPr>
        <w:t xml:space="preserve">Existing callable rows</w:t>
      </w:r>
    </w:p>
    <w:tbl>
      <w:tblPr>
        <w:tblW w:type="dxa" w:w="104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500"/>
        <w:gridCol w:w="2700"/>
        <w:gridCol w:w="1900"/>
        <w:gridCol w:w="1740"/>
      </w:tblGrid>
      <w:tr>
        <w:trPr>
          <w:tblHeader/>
        </w:trPr>
        <w:tc>
          <w:tcPr>
            <w:tcW w:type="dxa" w:w="2600"/>
            <w:shd w:fill="1F3A5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Company</w:t>
            </w:r>
          </w:p>
        </w:tc>
        <w:tc>
          <w:tcPr>
            <w:tcW w:type="dxa" w:w="1500"/>
            <w:shd w:fill="1F3A5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City</w:t>
            </w:r>
          </w:p>
        </w:tc>
        <w:tc>
          <w:tcPr>
            <w:tcW w:type="dxa" w:w="2700"/>
            <w:shd w:fill="1F3A5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Band</w:t>
            </w:r>
          </w:p>
        </w:tc>
        <w:tc>
          <w:tcPr>
            <w:tcW w:type="dxa" w:w="1900"/>
            <w:shd w:fill="1F3A5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Named person</w:t>
            </w:r>
          </w:p>
        </w:tc>
        <w:tc>
          <w:tcPr>
            <w:tcW w:type="dxa" w:w="1740"/>
            <w:shd w:fill="1F3A5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Phone on file</w:t>
            </w:r>
          </w:p>
        </w:tc>
      </w:tr>
      <w:tr>
        <w:tc>
          <w:tcPr>
            <w:tcW w:type="dxa" w:w="2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Riverdale Farms</w:t>
            </w:r>
          </w:p>
        </w:tc>
        <w:tc>
          <w:tcPr>
            <w:tcW w:type="dxa" w:w="15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Doral</w:t>
            </w:r>
          </w:p>
        </w:tc>
        <w:tc>
          <w:tcPr>
            <w:tcW w:type="dxa" w:w="2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1</w:t>
            </w:r>
          </w:p>
        </w:tc>
        <w:tc>
          <w:tcPr>
            <w:tcW w:type="dxa" w:w="19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Luis H. Balcazar — President (Sunbiz officer P); Emilio Borrero, Chairman</w:t>
            </w:r>
          </w:p>
        </w:tc>
        <w:tc>
          <w:tcPr>
            <w:tcW w:type="dxa" w:w="174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(305) 592-5760</w:t>
            </w:r>
          </w:p>
        </w:tc>
      </w:tr>
      <w:tr>
        <w:tc>
          <w:tcPr>
            <w:tcW w:type="dxa" w:w="2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Cigarette Racing Team</w:t>
            </w:r>
          </w:p>
        </w:tc>
        <w:tc>
          <w:tcPr>
            <w:tcW w:type="dxa" w:w="15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Opa-locka</w:t>
            </w:r>
          </w:p>
        </w:tc>
        <w:tc>
          <w:tcPr>
            <w:tcW w:type="dxa" w:w="2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1</w:t>
            </w:r>
          </w:p>
        </w:tc>
        <w:tc>
          <w:tcPr>
            <w:tcW w:type="dxa" w:w="19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Alexander “Alex” Ruiz — CEO (Ruiz family / Lionheart ownership); Kurt Bender, President (appt. Nov 2025)</w:t>
            </w:r>
          </w:p>
        </w:tc>
        <w:tc>
          <w:tcPr>
            <w:tcW w:type="dxa" w:w="174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(305) 931-4564</w:t>
            </w:r>
          </w:p>
        </w:tc>
      </w:tr>
      <w:tr>
        <w:tc>
          <w:tcPr>
            <w:tcW w:type="dxa" w:w="2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WTDC Logistics</w:t>
            </w:r>
          </w:p>
        </w:tc>
        <w:tc>
          <w:tcPr>
            <w:tcW w:type="dxa" w:w="15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Miami</w:t>
            </w:r>
          </w:p>
        </w:tc>
        <w:tc>
          <w:tcPr>
            <w:tcW w:type="dxa" w:w="2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1</w:t>
            </w:r>
          </w:p>
        </w:tc>
        <w:tc>
          <w:tcPr>
            <w:tcW w:type="dxa" w:w="19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Sean P. Gazitua — President &amp; CEO (3rd-gen family); Ralph L. Gazitua, Chairman</w:t>
            </w:r>
          </w:p>
        </w:tc>
        <w:tc>
          <w:tcPr>
            <w:tcW w:type="dxa" w:w="174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(305) 594-2195</w:t>
            </w:r>
          </w:p>
        </w:tc>
      </w:tr>
      <w:tr>
        <w:tc>
          <w:tcPr>
            <w:tcW w:type="dxa" w:w="2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Fulfillment Hub USA</w:t>
            </w:r>
          </w:p>
        </w:tc>
        <w:tc>
          <w:tcPr>
            <w:tcW w:type="dxa" w:w="15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Doral</w:t>
            </w:r>
          </w:p>
        </w:tc>
        <w:tc>
          <w:tcPr>
            <w:tcW w:type="dxa" w:w="2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1</w:t>
            </w:r>
          </w:p>
        </w:tc>
        <w:tc>
          <w:tcPr>
            <w:tcW w:type="dxa" w:w="19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Abel Horvath — CEO / Owner (Sunbiz RA titled CEO, upd. 04/2026; BBB)</w:t>
            </w:r>
          </w:p>
        </w:tc>
        <w:tc>
          <w:tcPr>
            <w:tcW w:type="dxa" w:w="174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(786) 622-1102</w:t>
            </w:r>
          </w:p>
        </w:tc>
      </w:tr>
      <w:tr>
        <w:tc>
          <w:tcPr>
            <w:tcW w:type="dxa" w:w="2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Pepin Distributing</w:t>
            </w:r>
          </w:p>
        </w:tc>
        <w:tc>
          <w:tcPr>
            <w:tcW w:type="dxa" w:w="15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Tampa</w:t>
            </w:r>
          </w:p>
        </w:tc>
        <w:tc>
          <w:tcPr>
            <w:tcW w:type="dxa" w:w="2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4</w:t>
            </w:r>
          </w:p>
        </w:tc>
        <w:tc>
          <w:tcPr>
            <w:tcW w:type="dxa" w:w="19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Tom Pepin — Chairman &amp; CEO (3rd gen)</w:t>
            </w:r>
          </w:p>
        </w:tc>
        <w:tc>
          <w:tcPr>
            <w:tcW w:type="dxa" w:w="174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813-628-4400</w:t>
            </w:r>
          </w:p>
        </w:tc>
      </w:tr>
      <w:tr>
        <w:tc>
          <w:tcPr>
            <w:tcW w:type="dxa" w:w="2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Teakdecking Systems</w:t>
            </w:r>
          </w:p>
        </w:tc>
        <w:tc>
          <w:tcPr>
            <w:tcW w:type="dxa" w:w="15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Sarasota</w:t>
            </w:r>
          </w:p>
        </w:tc>
        <w:tc>
          <w:tcPr>
            <w:tcW w:type="dxa" w:w="2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4</w:t>
            </w:r>
          </w:p>
        </w:tc>
        <w:tc>
          <w:tcPr>
            <w:tcW w:type="dxa" w:w="19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Richard J. Strauss — CEO (Sunbiz: President; board-promoted to CEO)</w:t>
            </w:r>
          </w:p>
        </w:tc>
        <w:tc>
          <w:tcPr>
            <w:tcW w:type="dxa" w:w="174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(941) 756-0600</w:t>
            </w:r>
          </w:p>
        </w:tc>
      </w:tr>
      <w:tr>
        <w:tc>
          <w:tcPr>
            <w:tcW w:type="dxa" w:w="2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Barney's Pumps</w:t>
            </w:r>
          </w:p>
        </w:tc>
        <w:tc>
          <w:tcPr>
            <w:tcW w:type="dxa" w:w="15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Lakeland</w:t>
            </w:r>
          </w:p>
        </w:tc>
        <w:tc>
          <w:tcPr>
            <w:tcW w:type="dxa" w:w="2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1</w:t>
            </w:r>
          </w:p>
        </w:tc>
        <w:tc>
          <w:tcPr>
            <w:tcW w:type="dxa" w:w="19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Robbie Pearce — President &amp; Director; Johnnie Mack Curls Jr., CEO &amp; Director (Sunbiz current)</w:t>
            </w:r>
          </w:p>
        </w:tc>
        <w:tc>
          <w:tcPr>
            <w:tcW w:type="dxa" w:w="174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(863) 665-8500</w:t>
            </w:r>
          </w:p>
        </w:tc>
      </w:tr>
      <w:tr>
        <w:tc>
          <w:tcPr>
            <w:tcW w:type="dxa" w:w="2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Florida Paints</w:t>
            </w:r>
          </w:p>
        </w:tc>
        <w:tc>
          <w:tcPr>
            <w:tcW w:type="dxa" w:w="15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Orlando</w:t>
            </w:r>
          </w:p>
        </w:tc>
        <w:tc>
          <w:tcPr>
            <w:tcW w:type="dxa" w:w="2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1</w:t>
            </w:r>
          </w:p>
        </w:tc>
        <w:tc>
          <w:tcPr>
            <w:tcW w:type="dxa" w:w="19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Rick Strube &amp; Don Strube Jr. — Co-Founders &amp; Co-CEOs (Strube family, 2nd gen; Jeff Grasty, President/ops)</w:t>
            </w:r>
          </w:p>
        </w:tc>
        <w:tc>
          <w:tcPr>
            <w:tcW w:type="dxa" w:w="174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(407) 293-4175</w:t>
            </w:r>
          </w:p>
        </w:tc>
      </w:tr>
      <w:tr>
        <w:tc>
          <w:tcPr>
            <w:tcW w:type="dxa" w:w="2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Rulon International</w:t>
            </w:r>
          </w:p>
        </w:tc>
        <w:tc>
          <w:tcPr>
            <w:tcW w:type="dxa" w:w="15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St. Augustine</w:t>
            </w:r>
          </w:p>
        </w:tc>
        <w:tc>
          <w:tcPr>
            <w:tcW w:type="dxa" w:w="2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1</w:t>
            </w:r>
          </w:p>
        </w:tc>
        <w:tc>
          <w:tcPr>
            <w:tcW w:type="dxa" w:w="19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Caleb Diffell — CEO (succeeded founder Wayne Robison, d. 2025-02-17); Matthew Robison, VP Business Ops (family)</w:t>
            </w:r>
          </w:p>
        </w:tc>
        <w:tc>
          <w:tcPr>
            <w:tcW w:type="dxa" w:w="174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(800) 227-8566</w:t>
            </w:r>
          </w:p>
        </w:tc>
      </w:tr>
      <w:tr>
        <w:tc>
          <w:tcPr>
            <w:tcW w:type="dxa" w:w="2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Reid Transportation Group</w:t>
            </w:r>
          </w:p>
        </w:tc>
        <w:tc>
          <w:tcPr>
            <w:tcW w:type="dxa" w:w="15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Jacksonville</w:t>
            </w:r>
          </w:p>
        </w:tc>
        <w:tc>
          <w:tcPr>
            <w:tcW w:type="dxa" w:w="2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1</w:t>
            </w:r>
          </w:p>
        </w:tc>
        <w:tc>
          <w:tcPr>
            <w:tcW w:type="dxa" w:w="19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Junior Anthony Reid — Manager/Principal (Sunbiz; with Krystal Alexandra Reid, Manager)</w:t>
            </w:r>
          </w:p>
        </w:tc>
        <w:tc>
          <w:tcPr>
            <w:tcW w:type="dxa" w:w="174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(904) 270-9387</w:t>
            </w:r>
          </w:p>
        </w:tc>
      </w:tr>
      <w:tr>
        <w:tc>
          <w:tcPr>
            <w:tcW w:type="dxa" w:w="2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El Dorado Furniture</w:t>
            </w:r>
          </w:p>
        </w:tc>
        <w:tc>
          <w:tcPr>
            <w:tcW w:type="dxa" w:w="15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Miami Gardens</w:t>
            </w:r>
          </w:p>
        </w:tc>
        <w:tc>
          <w:tcPr>
            <w:tcW w:type="dxa" w:w="2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2</w:t>
            </w:r>
          </w:p>
        </w:tc>
        <w:tc>
          <w:tcPr>
            <w:tcW w:type="dxa" w:w="19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Luis E. Capó — CEO (board = the six Capó brothers)</w:t>
            </w:r>
          </w:p>
        </w:tc>
        <w:tc>
          <w:tcPr>
            <w:tcW w:type="dxa" w:w="174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2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Miami Beef Company</w:t>
            </w:r>
          </w:p>
        </w:tc>
        <w:tc>
          <w:tcPr>
            <w:tcW w:type="dxa" w:w="15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Hialeah</w:t>
            </w:r>
          </w:p>
        </w:tc>
        <w:tc>
          <w:tcPr>
            <w:tcW w:type="dxa" w:w="2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2</w:t>
            </w:r>
          </w:p>
        </w:tc>
        <w:tc>
          <w:tcPr>
            <w:tcW w:type="dxa" w:w="19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Michael Young — President &amp; Owner (Sunbiz officers all Young family: Elizabeth VP, Daniel CFO, Robert Dir.)</w:t>
            </w:r>
          </w:p>
        </w:tc>
        <w:tc>
          <w:tcPr>
            <w:tcW w:type="dxa" w:w="174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2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Sally Dark Rides</w:t>
            </w:r>
          </w:p>
        </w:tc>
        <w:tc>
          <w:tcPr>
            <w:tcW w:type="dxa" w:w="15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Jacksonville</w:t>
            </w:r>
          </w:p>
        </w:tc>
        <w:tc>
          <w:tcPr>
            <w:tcW w:type="dxa" w:w="2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1</w:t>
            </w:r>
          </w:p>
        </w:tc>
        <w:tc>
          <w:tcPr>
            <w:tcW w:type="dxa" w:w="19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John Wood — Chairman &amp; President (co-founder, 1977); Rolf Paegert, CEO</w:t>
            </w:r>
          </w:p>
        </w:tc>
        <w:tc>
          <w:tcPr>
            <w:tcW w:type="dxa" w:w="174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(904) 355-7100</w:t>
            </w:r>
          </w:p>
        </w:tc>
      </w:tr>
      <w:tr>
        <w:tc>
          <w:tcPr>
            <w:tcW w:type="dxa" w:w="2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Kelly Tractor Co.</w:t>
            </w:r>
          </w:p>
        </w:tc>
        <w:tc>
          <w:tcPr>
            <w:tcW w:type="dxa" w:w="15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Miami</w:t>
            </w:r>
          </w:p>
        </w:tc>
        <w:tc>
          <w:tcPr>
            <w:tcW w:type="dxa" w:w="2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4</w:t>
            </w:r>
          </w:p>
        </w:tc>
        <w:tc>
          <w:tcPr>
            <w:tcW w:type="dxa" w:w="19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Chris Kelly — President (named 2022, per company site read 2026-10-29)</w:t>
            </w:r>
          </w:p>
        </w:tc>
        <w:tc>
          <w:tcPr>
            <w:tcW w:type="dxa" w:w="174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6"/>
                <w:szCs w:val="16"/>
              </w:rPr>
              <w:t xml:space="preserve">(305) 592-5360</w:t>
            </w:r>
          </w:p>
        </w:tc>
      </w:tr>
    </w:tbl>
    <w:sectPr>
      <w:footerReference w:type="default" r:id="rId7"/>
      <w:pgSz w:w="12240" w:h="15840" w:orient="portrait"/>
      <w:pgMar w:top="1000" w:right="900" w:bottom="1000" w:left="900" w:header="708" w:footer="708" w:gutter="0"/>
      <w:pgBorders>
        <w:top w:val="single" w:color="1F3A5F" w:sz="6" w:space="20"/>
        <w:left w:val="single" w:color="1F3A5F" w:sz="6" w:space="20"/>
        <w:bottom w:val="single" w:color="1F3A5F" w:sz="6" w:space="20"/>
        <w:right w:val="single" w:color="1F3A5F" w:sz="6" w:space="20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sz w:val="16"/>
        <w:szCs w:val="16"/>
      </w:rPr>
      <w:t xml:space="preserve">DashRite Advisory LLC · Core BD Report — Florida · page </w:t>
    </w:r>
    <w:r>
      <w:rPr>
        <w:rFonts w:ascii="Arial" w:cs="Arial" w:eastAsia="Arial" w:hAnsi="Arial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2026-10-31T17:42:51.096Z</dcterms:created>
  <dcterms:modified xsi:type="dcterms:W3CDTF">2026-10-31T17:42:51.096Z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