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Everlast</w:t>
      </w:r>
      <w:r>
        <w:t xml:space="preserve"> </w:t>
      </w:r>
      <w:r>
        <w:t xml:space="preserve">Welders</w:t>
      </w:r>
      <w:r>
        <w:t xml:space="preserve"> </w:t>
      </w:r>
      <w:r>
        <w:t xml:space="preserve">—</w:t>
      </w:r>
      <w:r>
        <w:t xml:space="preserve"> </w:t>
      </w:r>
      <w:r>
        <w:t xml:space="preserve">Sample</w:t>
      </w:r>
      <w:r>
        <w:t xml:space="preserve"> </w:t>
      </w:r>
      <w:r>
        <w:t xml:space="preserve">Bookkeeping</w:t>
      </w:r>
      <w:r>
        <w:t xml:space="preserve"> </w:t>
      </w:r>
      <w:r>
        <w:t xml:space="preserve">Plan</w:t>
      </w:r>
    </w:p>
    <w:p>
      <w:pPr>
        <w:pStyle w:val="Subtitle"/>
      </w:pPr>
      <w:r>
        <w:t xml:space="preserve">Prepared</w:t>
      </w:r>
      <w:r>
        <w:t xml:space="preserve"> </w:t>
      </w:r>
      <w:r>
        <w:t xml:space="preserve">October</w:t>
      </w:r>
      <w:r>
        <w:t xml:space="preserve"> </w:t>
      </w:r>
      <w:r>
        <w:t xml:space="preserve">16,</w:t>
      </w:r>
      <w:r>
        <w:t xml:space="preserve"> </w:t>
      </w:r>
      <w:r>
        <w:t xml:space="preserve">2026</w:t>
      </w:r>
      <w:r>
        <w:t xml:space="preserve"> </w:t>
      </w:r>
      <w:r>
        <w:t xml:space="preserve">·</w:t>
      </w:r>
      <w:r>
        <w:t xml:space="preserve"> </w:t>
      </w:r>
      <w:r>
        <w:t xml:space="preserve">Sample</w:t>
      </w:r>
      <w:r>
        <w:t xml:space="preserve"> </w:t>
      </w:r>
      <w:r>
        <w:t xml:space="preserve">for</w:t>
      </w:r>
      <w:r>
        <w:t xml:space="preserve"> </w:t>
      </w:r>
      <w:r>
        <w:t xml:space="preserve">review</w:t>
      </w:r>
    </w:p>
    <w:bookmarkStart w:id="20" w:name="purpose-and-scope"/>
    <w:p>
      <w:pPr>
        <w:pStyle w:val="Heading1"/>
      </w:pPr>
      <w:r>
        <w:t xml:space="preserve">Purpose and scope</w:t>
      </w:r>
    </w:p>
    <w:p>
      <w:pPr>
        <w:pStyle w:val="FirstParagraph"/>
      </w:pPr>
      <w:r>
        <w:t xml:space="preserve">This plan keeps Everlast Welders’ books closed within 10 business days of month-end, so inventory, margin and cash numbers are reliable for quarterly reports and the new-year order. It is a sample for review; details marked as open questions will be confirmed with Everlast before it is finalized.</w:t>
      </w:r>
    </w:p>
    <w:p>
      <w:pPr>
        <w:pStyle w:val="BodyText"/>
      </w:pPr>
      <w:r>
        <w:t xml:space="preserve">The plan covers:</w:t>
      </w:r>
    </w:p>
    <w:p>
      <w:pPr>
        <w:numPr>
          <w:ilvl w:val="0"/>
          <w:numId w:val="1001"/>
        </w:numPr>
        <w:pStyle w:val="Compact"/>
      </w:pPr>
      <w:r>
        <w:t xml:space="preserve">Recording sales across every channel and reconciling them to bank deposits</w:t>
      </w:r>
    </w:p>
    <w:p>
      <w:pPr>
        <w:numPr>
          <w:ilvl w:val="0"/>
          <w:numId w:val="1001"/>
        </w:numPr>
        <w:pStyle w:val="Compact"/>
      </w:pPr>
      <w:r>
        <w:t xml:space="preserve">Inventory, landed cost and cost of goods sold (COGS) by product line</w:t>
      </w:r>
    </w:p>
    <w:p>
      <w:pPr>
        <w:numPr>
          <w:ilvl w:val="0"/>
          <w:numId w:val="1001"/>
        </w:numPr>
        <w:pStyle w:val="Compact"/>
      </w:pPr>
      <w:r>
        <w:t xml:space="preserve">Bills, receivables, payroll and sales tax</w:t>
      </w:r>
    </w:p>
    <w:p>
      <w:pPr>
        <w:numPr>
          <w:ilvl w:val="0"/>
          <w:numId w:val="1001"/>
        </w:numPr>
        <w:pStyle w:val="Compact"/>
      </w:pPr>
      <w:r>
        <w:t xml:space="preserve">A standard monthly close and the reports delivered after it</w:t>
      </w:r>
    </w:p>
    <w:p>
      <w:pPr>
        <w:pStyle w:val="FirstParagraph"/>
      </w:pPr>
      <w:r>
        <w:t xml:space="preserve">Assumed ledger: QuickBooks Online. Assumed basis: accrual, calendar year. Both to be confirmed.</w:t>
      </w:r>
    </w:p>
    <w:bookmarkEnd w:id="20"/>
    <w:bookmarkStart w:id="21" w:name="chart-of-accounts"/>
    <w:p>
      <w:pPr>
        <w:pStyle w:val="Heading1"/>
        <w:pageBreakBefore/>
      </w:pPr>
      <w:r>
        <w:t xml:space="preserve">Chart of accounts</w:t>
      </w:r>
    </w:p>
    <w:p>
      <w:pPr>
        <w:pStyle w:val="FirstParagraph"/>
      </w:pPr>
      <w:r>
        <w:t xml:space="preserve">Revenue and COGS are split by product line and sales channel, so margin can be read for each without spreadsheet work. Classes (or locations) in QuickBooks carry the channel; accounts carry the product line.</w:t>
      </w:r>
    </w:p>
    <w:tbl>
      <w:tblPr>
        <w:tblW w:type="pct" w:w="5000"/>
        <w:tblLook w:firstRow="1" w:lastRow="0" w:firstColumn="0" w:lastColumn="0" w:noHBand="0" w:noVBand="0" w:val="0020"/>
        <w:jc w:val="start"/>
        <w:tblBorders>
          <w:top w:val="single" w:sz="4" w:color="C9C3B6"/>
          <w:left w:val="single" w:sz="4" w:color="C9C3B6"/>
          <w:bottom w:val="single" w:sz="4" w:color="C9C3B6"/>
          <w:right w:val="single" w:sz="4" w:color="C9C3B6"/>
          <w:insideH w:val="single" w:sz="4" w:color="C9C3B6"/>
          <w:insideV w:val="single" w:sz="4" w:color="C9C3B6"/>
        </w:tblBorders>
      </w:tblPr>
      <w:tblGrid>
        <w:gridCol w:w="2640"/>
        <w:gridCol w:w="2640"/>
        <w:gridCol w:w="2640"/>
      </w:tblGrid>
      <w:tr>
        <w:trPr>
          <w:tblHeader w:val="true"/>
        </w:trPr>
        <w:tc>
          <w:tcPr>
            <w:shd w:val="clear" w:fill="15191F"/>
          </w:tcPr>
          <w:p>
            <w:pPr>
              <w:pStyle w:val="Compact"/>
              <w:jc w:val="left"/>
            </w:pPr>
            <w:r>
              <w:rPr>
                <w:b/>
                <w:color w:val="F3F0E8"/>
                <w:sz w:val="19"/>
              </w:rPr>
              <w:t xml:space="preserve">Area</w:t>
            </w:r>
          </w:p>
        </w:tc>
        <w:tc>
          <w:tcPr>
            <w:shd w:val="clear" w:fill="15191F"/>
          </w:tcPr>
          <w:p>
            <w:pPr>
              <w:pStyle w:val="Compact"/>
              <w:jc w:val="left"/>
            </w:pPr>
            <w:r>
              <w:rPr>
                <w:b/>
                <w:color w:val="F3F0E8"/>
                <w:sz w:val="19"/>
              </w:rPr>
              <w:t xml:space="preserve">Accounts</w:t>
            </w:r>
          </w:p>
        </w:tc>
        <w:tc>
          <w:tcPr>
            <w:shd w:val="clear" w:fill="15191F"/>
          </w:tcPr>
          <w:p>
            <w:pPr>
              <w:pStyle w:val="Compact"/>
              <w:jc w:val="left"/>
            </w:pPr>
            <w:r>
              <w:rPr>
                <w:b/>
                <w:color w:val="F3F0E8"/>
                <w:sz w:val="19"/>
              </w:rPr>
              <w:t xml:space="preserve">Why it matters</w:t>
            </w:r>
          </w:p>
        </w:tc>
      </w:tr>
      <w:tr>
        <w:tc>
          <w:tcPr/>
          <w:p>
            <w:pPr>
              <w:pStyle w:val="Compact"/>
              <w:jc w:val="left"/>
            </w:pPr>
            <w:r>
              <w:rPr>
                <w:sz w:val="19"/>
              </w:rPr>
              <w:t xml:space="preserve">Revenue by product line</w:t>
            </w:r>
          </w:p>
        </w:tc>
        <w:tc>
          <w:tcPr/>
          <w:p>
            <w:pPr>
              <w:pStyle w:val="Compact"/>
              <w:jc w:val="left"/>
            </w:pPr>
            <w:r>
              <w:rPr>
                <w:sz w:val="19"/>
              </w:rPr>
              <w:t xml:space="preserve">MIG welders · TIG welders · Stick welders · Multi-process · Plasma cutters · Accessories and consumables · Parts and repairs</w:t>
            </w:r>
          </w:p>
        </w:tc>
        <w:tc>
          <w:tcPr/>
          <w:p>
            <w:pPr>
              <w:pStyle w:val="Compact"/>
              <w:jc w:val="left"/>
            </w:pPr>
            <w:r>
              <w:rPr>
                <w:sz w:val="19"/>
              </w:rPr>
              <w:t xml:space="preserve">Shows which lines drive sales and margin</w:t>
            </w:r>
          </w:p>
        </w:tc>
      </w:tr>
      <w:tr>
        <w:tc>
          <w:tcPr/>
          <w:p>
            <w:pPr>
              <w:pStyle w:val="Compact"/>
              <w:jc w:val="left"/>
            </w:pPr>
            <w:r>
              <w:rPr>
                <w:sz w:val="19"/>
              </w:rPr>
              <w:t xml:space="preserve">Sales channels (classes)</w:t>
            </w:r>
          </w:p>
        </w:tc>
        <w:tc>
          <w:tcPr/>
          <w:p>
            <w:pPr>
              <w:pStyle w:val="Compact"/>
              <w:jc w:val="left"/>
            </w:pPr>
            <w:r>
              <w:rPr>
                <w:sz w:val="19"/>
              </w:rPr>
              <w:t xml:space="preserve">Website · Amazon/marketplaces · Dealers and distributors · Phone/direct</w:t>
            </w:r>
          </w:p>
        </w:tc>
        <w:tc>
          <w:tcPr/>
          <w:p>
            <w:pPr>
              <w:pStyle w:val="Compact"/>
              <w:jc w:val="left"/>
            </w:pPr>
            <w:r>
              <w:rPr>
                <w:sz w:val="19"/>
              </w:rPr>
              <w:t xml:space="preserve">Compares profitability by channel</w:t>
            </w:r>
          </w:p>
        </w:tc>
      </w:tr>
      <w:tr>
        <w:tc>
          <w:tcPr/>
          <w:p>
            <w:pPr>
              <w:pStyle w:val="Compact"/>
              <w:jc w:val="left"/>
            </w:pPr>
            <w:r>
              <w:rPr>
                <w:sz w:val="19"/>
              </w:rPr>
              <w:t xml:space="preserve">Contra revenue</w:t>
            </w:r>
          </w:p>
        </w:tc>
        <w:tc>
          <w:tcPr/>
          <w:p>
            <w:pPr>
              <w:pStyle w:val="Compact"/>
              <w:jc w:val="left"/>
            </w:pPr>
            <w:r>
              <w:rPr>
                <w:sz w:val="19"/>
              </w:rPr>
              <w:t xml:space="preserve">Returns and refunds · Discounts and promotions · Marketplace fees</w:t>
            </w:r>
          </w:p>
        </w:tc>
        <w:tc>
          <w:tcPr/>
          <w:p>
            <w:pPr>
              <w:pStyle w:val="Compact"/>
              <w:jc w:val="left"/>
            </w:pPr>
            <w:r>
              <w:rPr>
                <w:sz w:val="19"/>
              </w:rPr>
              <w:t xml:space="preserve">Keeps gross sales clean</w:t>
            </w:r>
          </w:p>
        </w:tc>
      </w:tr>
      <w:tr>
        <w:tc>
          <w:tcPr/>
          <w:p>
            <w:pPr>
              <w:pStyle w:val="Compact"/>
              <w:jc w:val="left"/>
            </w:pPr>
            <w:r>
              <w:rPr>
                <w:sz w:val="19"/>
              </w:rPr>
              <w:t xml:space="preserve">COGS</w:t>
            </w:r>
          </w:p>
        </w:tc>
        <w:tc>
          <w:tcPr/>
          <w:p>
            <w:pPr>
              <w:pStyle w:val="Compact"/>
              <w:jc w:val="left"/>
            </w:pPr>
            <w:r>
              <w:rPr>
                <w:sz w:val="19"/>
              </w:rPr>
              <w:t xml:space="preserve">Product cost by line · Inbound freight and duties · Outbound shipping · Inventory adjustments and shrink</w:t>
            </w:r>
          </w:p>
        </w:tc>
        <w:tc>
          <w:tcPr/>
          <w:p>
            <w:pPr>
              <w:pStyle w:val="Compact"/>
              <w:jc w:val="left"/>
            </w:pPr>
            <w:r>
              <w:rPr>
                <w:sz w:val="19"/>
              </w:rPr>
              <w:t xml:space="preserve">True landed margin per unit</w:t>
            </w:r>
          </w:p>
        </w:tc>
      </w:tr>
      <w:tr>
        <w:tc>
          <w:tcPr/>
          <w:p>
            <w:pPr>
              <w:pStyle w:val="Compact"/>
              <w:jc w:val="left"/>
            </w:pPr>
            <w:r>
              <w:rPr>
                <w:sz w:val="19"/>
              </w:rPr>
              <w:t xml:space="preserve">Warranty</w:t>
            </w:r>
          </w:p>
        </w:tc>
        <w:tc>
          <w:tcPr/>
          <w:p>
            <w:pPr>
              <w:pStyle w:val="Compact"/>
              <w:jc w:val="left"/>
            </w:pPr>
            <w:r>
              <w:rPr>
                <w:sz w:val="19"/>
              </w:rPr>
              <w:t xml:space="preserve">Warranty expense · Warranty reserve (liability)</w:t>
            </w:r>
          </w:p>
        </w:tc>
        <w:tc>
          <w:tcPr/>
          <w:p>
            <w:pPr>
              <w:pStyle w:val="Compact"/>
              <w:jc w:val="left"/>
            </w:pPr>
            <w:r>
              <w:rPr>
                <w:sz w:val="19"/>
              </w:rPr>
              <w:t xml:space="preserve">Welders carry multi-year warranties; reserve smooths claims</w:t>
            </w:r>
          </w:p>
        </w:tc>
      </w:tr>
      <w:tr>
        <w:tc>
          <w:tcPr/>
          <w:p>
            <w:pPr>
              <w:pStyle w:val="Compact"/>
              <w:jc w:val="left"/>
            </w:pPr>
            <w:r>
              <w:rPr>
                <w:sz w:val="19"/>
              </w:rPr>
              <w:t xml:space="preserve">Operating expenses</w:t>
            </w:r>
          </w:p>
        </w:tc>
        <w:tc>
          <w:tcPr/>
          <w:p>
            <w:pPr>
              <w:pStyle w:val="Compact"/>
              <w:jc w:val="left"/>
            </w:pPr>
            <w:r>
              <w:rPr>
                <w:sz w:val="19"/>
              </w:rPr>
              <w:t xml:space="preserve">Advertising (digital, social) · Merchant fees · Payroll · Rent/warehouse · Software · Professional fees</w:t>
            </w:r>
          </w:p>
        </w:tc>
        <w:tc>
          <w:tcPr/>
          <w:p>
            <w:pPr>
              <w:pStyle w:val="Compact"/>
              <w:jc w:val="left"/>
            </w:pPr>
            <w:r>
              <w:rPr>
                <w:sz w:val="19"/>
              </w:rPr>
              <w:t xml:space="preserve">Ties to the Social Media and Financial reports</w:t>
            </w:r>
          </w:p>
        </w:tc>
      </w:tr>
      <w:tr>
        <w:tc>
          <w:tcPr/>
          <w:p>
            <w:pPr>
              <w:pStyle w:val="Compact"/>
              <w:jc w:val="left"/>
            </w:pPr>
            <w:r>
              <w:rPr>
                <w:sz w:val="19"/>
              </w:rPr>
              <w:t xml:space="preserve">Balance sheet</w:t>
            </w:r>
          </w:p>
        </w:tc>
        <w:tc>
          <w:tcPr/>
          <w:p>
            <w:pPr>
              <w:pStyle w:val="Compact"/>
              <w:jc w:val="left"/>
            </w:pPr>
            <w:r>
              <w:rPr>
                <w:sz w:val="19"/>
              </w:rPr>
              <w:t xml:space="preserve">Inventory asset · Inventory in transit · Customer deposits · Sales tax payable · Clearing accounts per processor</w:t>
            </w:r>
          </w:p>
        </w:tc>
        <w:tc>
          <w:tcPr/>
          <w:p>
            <w:pPr>
              <w:pStyle w:val="Compact"/>
              <w:jc w:val="left"/>
            </w:pPr>
            <w:r>
              <w:rPr>
                <w:sz w:val="19"/>
              </w:rPr>
              <w:t xml:space="preserve">Reconciles cleanly each month</w:t>
            </w:r>
          </w:p>
        </w:tc>
      </w:tr>
    </w:tbl>
    <w:p>
      <w:pPr>
        <w:pStyle w:val="BodyText"/>
      </w:pPr>
      <w:r>
        <w:t xml:space="preserve">Open question: Does Everlast sell to dealers on credit terms, and does it track inventory in QuickBooks or a separate system?</w:t>
      </w:r>
    </w:p>
    <w:bookmarkEnd w:id="21"/>
    <w:bookmarkStart w:id="22" w:name="task-schedule"/>
    <w:p>
      <w:pPr>
        <w:pStyle w:val="Heading1"/>
        <w:pageBreakBefore/>
      </w:pPr>
      <w:r>
        <w:t xml:space="preserve">Task schedule</w:t>
      </w:r>
    </w:p>
    <w:p>
      <w:pPr>
        <w:pStyle w:val="FirstParagraph"/>
      </w:pPr>
      <w:r>
        <w:t xml:space="preserve">Most work happens weekly so month-end is a review, not a catch-up.</w:t>
      </w:r>
    </w:p>
    <w:tbl>
      <w:tblPr>
        <w:tblW w:type="pct" w:w="5000"/>
        <w:tblLook w:firstRow="1" w:lastRow="0" w:firstColumn="0" w:lastColumn="0" w:noHBand="0" w:noVBand="0" w:val="0020"/>
        <w:jc w:val="start"/>
        <w:tblBorders>
          <w:top w:val="single" w:sz="4" w:color="C9C3B6"/>
          <w:left w:val="single" w:sz="4" w:color="C9C3B6"/>
          <w:bottom w:val="single" w:sz="4" w:color="C9C3B6"/>
          <w:right w:val="single" w:sz="4" w:color="C9C3B6"/>
          <w:insideH w:val="single" w:sz="4" w:color="C9C3B6"/>
          <w:insideV w:val="single" w:sz="4" w:color="C9C3B6"/>
        </w:tblBorders>
      </w:tblPr>
      <w:tblGrid>
        <w:gridCol w:w="3960"/>
        <w:gridCol w:w="3960"/>
      </w:tblGrid>
      <w:tr>
        <w:trPr>
          <w:tblHeader w:val="true"/>
        </w:trPr>
        <w:tc>
          <w:tcPr>
            <w:shd w:val="clear" w:fill="15191F"/>
          </w:tcPr>
          <w:p>
            <w:pPr>
              <w:pStyle w:val="Compact"/>
              <w:jc w:val="left"/>
            </w:pPr>
            <w:r>
              <w:rPr>
                <w:b/>
                <w:color w:val="F3F0E8"/>
                <w:sz w:val="19"/>
              </w:rPr>
              <w:t xml:space="preserve">Frequency</w:t>
            </w:r>
          </w:p>
        </w:tc>
        <w:tc>
          <w:tcPr>
            <w:shd w:val="clear" w:fill="15191F"/>
          </w:tcPr>
          <w:p>
            <w:pPr>
              <w:pStyle w:val="Compact"/>
              <w:jc w:val="left"/>
            </w:pPr>
            <w:r>
              <w:rPr>
                <w:b/>
                <w:color w:val="F3F0E8"/>
                <w:sz w:val="19"/>
              </w:rPr>
              <w:t xml:space="preserve">Tasks</w:t>
            </w:r>
          </w:p>
        </w:tc>
      </w:tr>
      <w:tr>
        <w:tc>
          <w:tcPr/>
          <w:p>
            <w:pPr>
              <w:pStyle w:val="Compact"/>
              <w:jc w:val="left"/>
            </w:pPr>
            <w:r>
              <w:rPr>
                <w:sz w:val="19"/>
              </w:rPr>
              <w:t xml:space="preserve">Daily (15 min)</w:t>
            </w:r>
          </w:p>
        </w:tc>
        <w:tc>
          <w:tcPr/>
          <w:p>
            <w:pPr>
              <w:pStyle w:val="Compact"/>
              <w:jc w:val="left"/>
            </w:pPr>
            <w:r>
              <w:rPr>
                <w:sz w:val="19"/>
              </w:rPr>
              <w:t xml:space="preserve">Categorize bank and card feeds · Record customer deposits · Flag large or unusual transactions</w:t>
            </w:r>
          </w:p>
        </w:tc>
      </w:tr>
      <w:tr>
        <w:tc>
          <w:tcPr/>
          <w:p>
            <w:pPr>
              <w:pStyle w:val="Compact"/>
              <w:jc w:val="left"/>
            </w:pPr>
            <w:r>
              <w:rPr>
                <w:sz w:val="19"/>
              </w:rPr>
              <w:t xml:space="preserve">Weekly</w:t>
            </w:r>
          </w:p>
        </w:tc>
        <w:tc>
          <w:tcPr/>
          <w:p>
            <w:pPr>
              <w:pStyle w:val="Compact"/>
              <w:jc w:val="left"/>
            </w:pPr>
            <w:r>
              <w:rPr>
                <w:sz w:val="19"/>
              </w:rPr>
              <w:t xml:space="preserve">Import sales summaries from each channel · Enter and code vendor bills · Send dealer invoices and follow up on past-due · Match processor payouts to deposits</w:t>
            </w:r>
          </w:p>
        </w:tc>
      </w:tr>
      <w:tr>
        <w:tc>
          <w:tcPr/>
          <w:p>
            <w:pPr>
              <w:pStyle w:val="Compact"/>
              <w:jc w:val="left"/>
            </w:pPr>
            <w:r>
              <w:rPr>
                <w:sz w:val="19"/>
              </w:rPr>
              <w:t xml:space="preserve">Monthly</w:t>
            </w:r>
          </w:p>
        </w:tc>
        <w:tc>
          <w:tcPr/>
          <w:p>
            <w:pPr>
              <w:pStyle w:val="Compact"/>
              <w:jc w:val="left"/>
            </w:pPr>
            <w:r>
              <w:rPr>
                <w:sz w:val="19"/>
              </w:rPr>
              <w:t xml:space="preserve">Reconcile all bank, card and processor accounts · Post inventory and COGS adjustments · Accrue warranty reserve · Record payroll · File sales tax returns as due · Close the books and deliver monthly reports</w:t>
            </w:r>
          </w:p>
        </w:tc>
      </w:tr>
      <w:tr>
        <w:tc>
          <w:tcPr/>
          <w:p>
            <w:pPr>
              <w:pStyle w:val="Compact"/>
              <w:jc w:val="left"/>
            </w:pPr>
            <w:r>
              <w:rPr>
                <w:sz w:val="19"/>
              </w:rPr>
              <w:t xml:space="preserve">Quarterly</w:t>
            </w:r>
          </w:p>
        </w:tc>
        <w:tc>
          <w:tcPr/>
          <w:p>
            <w:pPr>
              <w:pStyle w:val="Compact"/>
              <w:jc w:val="left"/>
            </w:pPr>
            <w:r>
              <w:rPr>
                <w:sz w:val="19"/>
              </w:rPr>
              <w:t xml:space="preserve">Physical cycle count of top-selling SKUs · Review inventory aging and slow movers · Estimated tax figures for the CPA · Financial &amp; Cost Intelligence and Sales &amp; Pricing reports</w:t>
            </w:r>
          </w:p>
        </w:tc>
      </w:tr>
      <w:tr>
        <w:tc>
          <w:tcPr/>
          <w:p>
            <w:pPr>
              <w:pStyle w:val="Compact"/>
              <w:jc w:val="left"/>
            </w:pPr>
            <w:r>
              <w:rPr>
                <w:sz w:val="19"/>
              </w:rPr>
              <w:t xml:space="preserve">Annually</w:t>
            </w:r>
          </w:p>
        </w:tc>
        <w:tc>
          <w:tcPr/>
          <w:p>
            <w:pPr>
              <w:pStyle w:val="Compact"/>
              <w:jc w:val="left"/>
            </w:pPr>
            <w:r>
              <w:rPr>
                <w:sz w:val="19"/>
              </w:rPr>
              <w:t xml:space="preserve">Full physical inventory count (Dec 31) · 1099 contractor list and W-9 check · Fixed asset and depreciation review · Year-end packet for the CPA · Full-year 2026 report</w:t>
            </w:r>
          </w:p>
        </w:tc>
      </w:tr>
    </w:tbl>
    <w:bookmarkEnd w:id="22"/>
    <w:bookmarkStart w:id="23" w:name="sales-channel-and-payment-reconciliation"/>
    <w:p>
      <w:pPr>
        <w:pStyle w:val="Heading1"/>
        <w:pageBreakBefore/>
      </w:pPr>
      <w:r>
        <w:t xml:space="preserve">Sales channel and payment reconciliation</w:t>
      </w:r>
    </w:p>
    <w:p>
      <w:pPr>
        <w:pStyle w:val="FirstParagraph"/>
      </w:pPr>
      <w:r>
        <w:t xml:space="preserve">Each channel’s sales are booked gross, with fees and refunds recorded separately, then matched to the actual bank deposit through a clearing account.</w:t>
      </w:r>
    </w:p>
    <w:p>
      <w:pPr>
        <w:numPr>
          <w:ilvl w:val="0"/>
          <w:numId w:val="1002"/>
        </w:numPr>
        <w:pStyle w:val="Compact"/>
      </w:pPr>
      <w:r>
        <w:t xml:space="preserve">Record gross sales by product line from the channel’s sales report.</w:t>
      </w:r>
    </w:p>
    <w:p>
      <w:pPr>
        <w:numPr>
          <w:ilvl w:val="0"/>
          <w:numId w:val="1002"/>
        </w:numPr>
        <w:pStyle w:val="Compact"/>
      </w:pPr>
      <w:r>
        <w:t xml:space="preserve">Record fees, refunds, chargebacks and shipping charged to the customer as separate lines.</w:t>
      </w:r>
    </w:p>
    <w:p>
      <w:pPr>
        <w:numPr>
          <w:ilvl w:val="0"/>
          <w:numId w:val="1002"/>
        </w:numPr>
        <w:pStyle w:val="Compact"/>
      </w:pPr>
      <w:r>
        <w:t xml:space="preserve">Post the net payout from the clearing account to the bank deposit.</w:t>
      </w:r>
    </w:p>
    <w:p>
      <w:pPr>
        <w:numPr>
          <w:ilvl w:val="0"/>
          <w:numId w:val="1002"/>
        </w:numPr>
        <w:pStyle w:val="Compact"/>
      </w:pPr>
      <w:r>
        <w:t xml:space="preserve">Confirm the clearing account balance returns to zero (or to known in-transit payouts) at month-end.</w:t>
      </w:r>
    </w:p>
    <w:p>
      <w:pPr>
        <w:numPr>
          <w:ilvl w:val="0"/>
          <w:numId w:val="1002"/>
        </w:numPr>
        <w:pStyle w:val="Compact"/>
      </w:pPr>
      <w:r>
        <w:t xml:space="preserve">Match returned units to restocked inventory or a write-off.</w:t>
      </w:r>
    </w:p>
    <w:tbl>
      <w:tblPr>
        <w:tblW w:type="pct" w:w="5000"/>
        <w:tblLook w:firstRow="1" w:lastRow="0" w:firstColumn="0" w:lastColumn="0" w:noHBand="0" w:noVBand="0" w:val="0020"/>
        <w:jc w:val="start"/>
        <w:tblBorders>
          <w:top w:val="single" w:sz="4" w:color="C9C3B6"/>
          <w:left w:val="single" w:sz="4" w:color="C9C3B6"/>
          <w:bottom w:val="single" w:sz="4" w:color="C9C3B6"/>
          <w:right w:val="single" w:sz="4" w:color="C9C3B6"/>
          <w:insideH w:val="single" w:sz="4" w:color="C9C3B6"/>
          <w:insideV w:val="single" w:sz="4" w:color="C9C3B6"/>
        </w:tblBorders>
      </w:tblPr>
      <w:tblGrid>
        <w:gridCol w:w="1980"/>
        <w:gridCol w:w="1980"/>
        <w:gridCol w:w="1980"/>
        <w:gridCol w:w="1980"/>
      </w:tblGrid>
      <w:tr>
        <w:trPr>
          <w:tblHeader w:val="true"/>
        </w:trPr>
        <w:tc>
          <w:tcPr>
            <w:shd w:val="clear" w:fill="15191F"/>
          </w:tcPr>
          <w:p>
            <w:pPr>
              <w:pStyle w:val="Compact"/>
              <w:jc w:val="left"/>
            </w:pPr>
            <w:r>
              <w:rPr>
                <w:b/>
                <w:color w:val="F3F0E8"/>
                <w:sz w:val="19"/>
              </w:rPr>
              <w:t xml:space="preserve">Channel</w:t>
            </w:r>
          </w:p>
        </w:tc>
        <w:tc>
          <w:tcPr>
            <w:shd w:val="clear" w:fill="15191F"/>
          </w:tcPr>
          <w:p>
            <w:pPr>
              <w:pStyle w:val="Compact"/>
              <w:jc w:val="left"/>
            </w:pPr>
            <w:r>
              <w:rPr>
                <w:b/>
                <w:color w:val="F3F0E8"/>
                <w:sz w:val="19"/>
              </w:rPr>
              <w:t xml:space="preserve">Source report</w:t>
            </w:r>
          </w:p>
        </w:tc>
        <w:tc>
          <w:tcPr>
            <w:shd w:val="clear" w:fill="15191F"/>
          </w:tcPr>
          <w:p>
            <w:pPr>
              <w:pStyle w:val="Compact"/>
              <w:jc w:val="left"/>
            </w:pPr>
            <w:r>
              <w:rPr>
                <w:b/>
                <w:color w:val="F3F0E8"/>
                <w:sz w:val="19"/>
              </w:rPr>
              <w:t xml:space="preserve">Typical payout timing</w:t>
            </w:r>
          </w:p>
        </w:tc>
        <w:tc>
          <w:tcPr>
            <w:shd w:val="clear" w:fill="15191F"/>
          </w:tcPr>
          <w:p>
            <w:pPr>
              <w:pStyle w:val="Compact"/>
              <w:jc w:val="left"/>
            </w:pPr>
            <w:r>
              <w:rPr>
                <w:b/>
                <w:color w:val="F3F0E8"/>
                <w:sz w:val="19"/>
              </w:rPr>
              <w:t xml:space="preserve">Watch for</w:t>
            </w:r>
          </w:p>
        </w:tc>
      </w:tr>
      <w:tr>
        <w:tc>
          <w:tcPr/>
          <w:p>
            <w:pPr>
              <w:pStyle w:val="Compact"/>
              <w:jc w:val="left"/>
            </w:pPr>
            <w:r>
              <w:rPr>
                <w:sz w:val="19"/>
              </w:rPr>
              <w:t xml:space="preserve">Website store</w:t>
            </w:r>
          </w:p>
        </w:tc>
        <w:tc>
          <w:tcPr/>
          <w:p>
            <w:pPr>
              <w:pStyle w:val="Compact"/>
              <w:jc w:val="left"/>
            </w:pPr>
            <w:r>
              <w:rPr>
                <w:sz w:val="19"/>
              </w:rPr>
              <w:t xml:space="preserve">Platform sales and payout reports</w:t>
            </w:r>
          </w:p>
        </w:tc>
        <w:tc>
          <w:tcPr/>
          <w:p>
            <w:pPr>
              <w:pStyle w:val="Compact"/>
              <w:jc w:val="left"/>
            </w:pPr>
            <w:r>
              <w:rPr>
                <w:sz w:val="19"/>
              </w:rPr>
              <w:t xml:space="preserve">2–3 business days</w:t>
            </w:r>
          </w:p>
        </w:tc>
        <w:tc>
          <w:tcPr/>
          <w:p>
            <w:pPr>
              <w:pStyle w:val="Compact"/>
              <w:jc w:val="left"/>
            </w:pPr>
            <w:r>
              <w:rPr>
                <w:sz w:val="19"/>
              </w:rPr>
              <w:t xml:space="preserve">Card processing fees, refunds</w:t>
            </w:r>
          </w:p>
        </w:tc>
      </w:tr>
      <w:tr>
        <w:tc>
          <w:tcPr/>
          <w:p>
            <w:pPr>
              <w:pStyle w:val="Compact"/>
              <w:jc w:val="left"/>
            </w:pPr>
            <w:r>
              <w:rPr>
                <w:sz w:val="19"/>
              </w:rPr>
              <w:t xml:space="preserve">Amazon/marketplaces</w:t>
            </w:r>
          </w:p>
        </w:tc>
        <w:tc>
          <w:tcPr/>
          <w:p>
            <w:pPr>
              <w:pStyle w:val="Compact"/>
              <w:jc w:val="left"/>
            </w:pPr>
            <w:r>
              <w:rPr>
                <w:sz w:val="19"/>
              </w:rPr>
              <w:t xml:space="preserve">Settlement reports</w:t>
            </w:r>
          </w:p>
        </w:tc>
        <w:tc>
          <w:tcPr/>
          <w:p>
            <w:pPr>
              <w:pStyle w:val="Compact"/>
              <w:jc w:val="left"/>
            </w:pPr>
            <w:r>
              <w:rPr>
                <w:sz w:val="19"/>
              </w:rPr>
              <w:t xml:space="preserve">About every 14 days</w:t>
            </w:r>
          </w:p>
        </w:tc>
        <w:tc>
          <w:tcPr/>
          <w:p>
            <w:pPr>
              <w:pStyle w:val="Compact"/>
              <w:jc w:val="left"/>
            </w:pPr>
            <w:r>
              <w:rPr>
                <w:sz w:val="19"/>
              </w:rPr>
              <w:t xml:space="preserve">Referral and fulfillment fees, reserves, returns</w:t>
            </w:r>
          </w:p>
        </w:tc>
      </w:tr>
      <w:tr>
        <w:tc>
          <w:tcPr/>
          <w:p>
            <w:pPr>
              <w:pStyle w:val="Compact"/>
              <w:jc w:val="left"/>
            </w:pPr>
            <w:r>
              <w:rPr>
                <w:sz w:val="19"/>
              </w:rPr>
              <w:t xml:space="preserve">Dealers/distributors</w:t>
            </w:r>
          </w:p>
        </w:tc>
        <w:tc>
          <w:tcPr/>
          <w:p>
            <w:pPr>
              <w:pStyle w:val="Compact"/>
              <w:jc w:val="left"/>
            </w:pPr>
            <w:r>
              <w:rPr>
                <w:sz w:val="19"/>
              </w:rPr>
              <w:t xml:space="preserve">QuickBooks invoices</w:t>
            </w:r>
          </w:p>
        </w:tc>
        <w:tc>
          <w:tcPr/>
          <w:p>
            <w:pPr>
              <w:pStyle w:val="Compact"/>
              <w:jc w:val="left"/>
            </w:pPr>
            <w:r>
              <w:rPr>
                <w:sz w:val="19"/>
              </w:rPr>
              <w:t xml:space="preserve">Per credit terms (e.g. Net 30)</w:t>
            </w:r>
          </w:p>
        </w:tc>
        <w:tc>
          <w:tcPr/>
          <w:p>
            <w:pPr>
              <w:pStyle w:val="Compact"/>
              <w:jc w:val="left"/>
            </w:pPr>
            <w:r>
              <w:rPr>
                <w:sz w:val="19"/>
              </w:rPr>
              <w:t xml:space="preserve">Past-due balances, volume discounts</w:t>
            </w:r>
          </w:p>
        </w:tc>
      </w:tr>
      <w:tr>
        <w:tc>
          <w:tcPr/>
          <w:p>
            <w:pPr>
              <w:pStyle w:val="Compact"/>
              <w:jc w:val="left"/>
            </w:pPr>
            <w:r>
              <w:rPr>
                <w:sz w:val="19"/>
              </w:rPr>
              <w:t xml:space="preserve">Phone/direct</w:t>
            </w:r>
          </w:p>
        </w:tc>
        <w:tc>
          <w:tcPr/>
          <w:p>
            <w:pPr>
              <w:pStyle w:val="Compact"/>
              <w:jc w:val="left"/>
            </w:pPr>
            <w:r>
              <w:rPr>
                <w:sz w:val="19"/>
              </w:rPr>
              <w:t xml:space="preserve">Card terminal or invoice</w:t>
            </w:r>
          </w:p>
        </w:tc>
        <w:tc>
          <w:tcPr/>
          <w:p>
            <w:pPr>
              <w:pStyle w:val="Compact"/>
              <w:jc w:val="left"/>
            </w:pPr>
            <w:r>
              <w:rPr>
                <w:sz w:val="19"/>
              </w:rPr>
              <w:t xml:space="preserve">1–3 business days</w:t>
            </w:r>
          </w:p>
        </w:tc>
        <w:tc>
          <w:tcPr/>
          <w:p>
            <w:pPr>
              <w:pStyle w:val="Compact"/>
              <w:jc w:val="left"/>
            </w:pPr>
            <w:r>
              <w:rPr>
                <w:sz w:val="19"/>
              </w:rPr>
              <w:t xml:space="preserve">Deposits on backordered units</w:t>
            </w:r>
          </w:p>
        </w:tc>
      </w:tr>
    </w:tbl>
    <w:p>
      <w:pPr>
        <w:pStyle w:val="BodyText"/>
      </w:pPr>
      <w:r>
        <w:t xml:space="preserve">Payout timings are typical industry figures, to be confirmed against Everlast’s actual processors.</w:t>
      </w:r>
    </w:p>
    <w:bookmarkEnd w:id="23"/>
    <w:bookmarkStart w:id="24" w:name="inventory-and-cogs"/>
    <w:p>
      <w:pPr>
        <w:pStyle w:val="Heading1"/>
        <w:pageBreakBefore/>
      </w:pPr>
      <w:r>
        <w:t xml:space="preserve">Inventory and COGS</w:t>
      </w:r>
    </w:p>
    <w:p>
      <w:pPr>
        <w:pStyle w:val="FirstParagraph"/>
      </w:pPr>
      <w:r>
        <w:t xml:space="preserve">Inventory is valued at landed cost, so every unit’s cost includes freight, duties and fees, not just the factory price.</w:t>
      </w:r>
    </w:p>
    <w:p>
      <w:pPr>
        <w:numPr>
          <w:ilvl w:val="0"/>
          <w:numId w:val="1003"/>
        </w:numPr>
        <w:pStyle w:val="Compact"/>
      </w:pPr>
      <w:r>
        <w:rPr>
          <w:bCs/>
          <w:b/>
        </w:rPr>
        <w:t xml:space="preserve">Valuation method:</w:t>
      </w:r>
      <w:r>
        <w:t xml:space="preserve"> </w:t>
      </w:r>
      <w:r>
        <w:t xml:space="preserve">FIFO (first in, first out), which QuickBooks Online uses for tracked inventory.</w:t>
      </w:r>
    </w:p>
    <w:p>
      <w:pPr>
        <w:numPr>
          <w:ilvl w:val="0"/>
          <w:numId w:val="1003"/>
        </w:numPr>
        <w:pStyle w:val="Compact"/>
      </w:pPr>
      <w:r>
        <w:rPr>
          <w:bCs/>
          <w:b/>
        </w:rPr>
        <w:t xml:space="preserve">Landed cost:</w:t>
      </w:r>
      <w:r>
        <w:t xml:space="preserve"> </w:t>
      </w:r>
      <w:r>
        <w:t xml:space="preserve">When an import shipment arrives, spread ocean freight, customs duties, brokerage and drayage across its units by value or weight. Hold the shipment in Inventory in transit until it is received.</w:t>
      </w:r>
    </w:p>
    <w:p>
      <w:pPr>
        <w:numPr>
          <w:ilvl w:val="0"/>
          <w:numId w:val="1003"/>
        </w:numPr>
        <w:pStyle w:val="Compact"/>
      </w:pPr>
      <w:r>
        <w:rPr>
          <w:bCs/>
          <w:b/>
        </w:rPr>
        <w:t xml:space="preserve">Purchase orders:</w:t>
      </w:r>
      <w:r>
        <w:t xml:space="preserve"> </w:t>
      </w:r>
      <w:r>
        <w:t xml:space="preserve">Every supplier order starts as a PO; the bill is matched to the PO and the receiving count before payment.</w:t>
      </w:r>
    </w:p>
    <w:p>
      <w:pPr>
        <w:numPr>
          <w:ilvl w:val="0"/>
          <w:numId w:val="1003"/>
        </w:numPr>
        <w:pStyle w:val="Compact"/>
      </w:pPr>
      <w:r>
        <w:rPr>
          <w:bCs/>
          <w:b/>
        </w:rPr>
        <w:t xml:space="preserve">Counts:</w:t>
      </w:r>
      <w:r>
        <w:t xml:space="preserve"> </w:t>
      </w:r>
      <w:r>
        <w:t xml:space="preserve">Cycle-count the top 20% of SKUs quarterly; full count on December 31. Post differences to Inventory adjustments and shrink.</w:t>
      </w:r>
    </w:p>
    <w:p>
      <w:pPr>
        <w:numPr>
          <w:ilvl w:val="0"/>
          <w:numId w:val="1003"/>
        </w:numPr>
        <w:pStyle w:val="Compact"/>
      </w:pPr>
      <w:r>
        <w:rPr>
          <w:bCs/>
          <w:b/>
        </w:rPr>
        <w:t xml:space="preserve">Returns and refurbished units:</w:t>
      </w:r>
      <w:r>
        <w:t xml:space="preserve"> </w:t>
      </w:r>
      <w:r>
        <w:t xml:space="preserve">Restock sellable returns at original cost; move damaged units to a refurbished or write-off account.</w:t>
      </w:r>
    </w:p>
    <w:p>
      <w:pPr>
        <w:numPr>
          <w:ilvl w:val="0"/>
          <w:numId w:val="1003"/>
        </w:numPr>
        <w:pStyle w:val="Compact"/>
      </w:pPr>
      <w:r>
        <w:rPr>
          <w:bCs/>
          <w:b/>
        </w:rPr>
        <w:t xml:space="preserve">Seasonal stock:</w:t>
      </w:r>
      <w:r>
        <w:t xml:space="preserve"> </w:t>
      </w:r>
      <w:r>
        <w:t xml:space="preserve">Before the holiday season, compare stock on hand to last year’s November–December sales by SKU. This feeds the Seasonal Inventory and Forecasting reports.</w:t>
      </w:r>
    </w:p>
    <w:p>
      <w:pPr>
        <w:pStyle w:val="FirstParagraph"/>
      </w:pPr>
      <w:r>
        <w:t xml:space="preserve">Open question: Are suppliers paid in USD or another currency, and are deposits paid before shipment?</w:t>
      </w:r>
    </w:p>
    <w:bookmarkEnd w:id="24"/>
    <w:bookmarkStart w:id="25" w:name="X3caf7a55418ffb8a64d1bfbf13fe0fc5c5989dc"/>
    <w:p>
      <w:pPr>
        <w:pStyle w:val="Heading1"/>
        <w:pageBreakBefore/>
      </w:pPr>
      <w:r>
        <w:t xml:space="preserve">Payables, receivables, payroll, sales tax and month-end close</w:t>
      </w:r>
    </w:p>
    <w:p>
      <w:pPr>
        <w:pStyle w:val="FirstParagraph"/>
      </w:pPr>
      <w:r>
        <w:rPr>
          <w:bCs/>
          <w:b/>
        </w:rPr>
        <w:t xml:space="preserve">Payables:</w:t>
      </w:r>
      <w:r>
        <w:t xml:space="preserve"> </w:t>
      </w:r>
      <w:r>
        <w:t xml:space="preserve">Bills are entered weekly and paid in one scheduled run, with owner approval before release. Supplier statements are compared to the ledger monthly.</w:t>
      </w:r>
    </w:p>
    <w:p>
      <w:pPr>
        <w:pStyle w:val="BodyText"/>
      </w:pPr>
      <w:r>
        <w:rPr>
          <w:bCs/>
          <w:b/>
        </w:rPr>
        <w:t xml:space="preserve">Receivables:</w:t>
      </w:r>
      <w:r>
        <w:t xml:space="preserve"> </w:t>
      </w:r>
      <w:r>
        <w:t xml:space="preserve">Dealer invoices go out at shipment. Reminders go out at 7, 30 and 45 days past due, and the aging report is reviewed weekly.</w:t>
      </w:r>
    </w:p>
    <w:p>
      <w:pPr>
        <w:pStyle w:val="BodyText"/>
      </w:pPr>
      <w:r>
        <w:rPr>
          <w:bCs/>
          <w:b/>
        </w:rPr>
        <w:t xml:space="preserve">Payroll:</w:t>
      </w:r>
      <w:r>
        <w:t xml:space="preserve"> </w:t>
      </w:r>
      <w:r>
        <w:t xml:space="preserve">Payroll journal entries post each pay period, split between warehouse, customer service and admin so labor cost can be compared to revenue.</w:t>
      </w:r>
    </w:p>
    <w:p>
      <w:pPr>
        <w:pStyle w:val="BodyText"/>
      </w:pPr>
      <w:r>
        <w:rPr>
          <w:bCs/>
          <w:b/>
        </w:rPr>
        <w:t xml:space="preserve">Sales tax:</w:t>
      </w:r>
      <w:r>
        <w:t xml:space="preserve"> </w:t>
      </w:r>
      <w:r>
        <w:t xml:space="preserve">Track where Everlast has sales tax nexus (physical presence or economic thresholds) and file on each state’s schedule. Marketplace sales are usually collected and remitted by the marketplace, so they are recorded but not double-remitted. Confirm nexus states with the CPA.</w:t>
      </w:r>
    </w:p>
    <w:p>
      <w:pPr>
        <w:pStyle w:val="BodyText"/>
      </w:pPr>
      <w:r>
        <w:rPr>
          <w:bCs/>
          <w:b/>
        </w:rPr>
        <w:t xml:space="preserve">Month-end close checklist (target: done by business day 10)</w:t>
      </w:r>
    </w:p>
    <w:p>
      <w:pPr>
        <w:numPr>
          <w:ilvl w:val="0"/>
          <w:numId w:val="1004"/>
        </w:numPr>
        <w:pStyle w:val="Compact"/>
      </w:pPr>
      <w:r>
        <w:t xml:space="preserve">☐ Reconcile every bank, credit card and loan account</w:t>
      </w:r>
    </w:p>
    <w:p>
      <w:pPr>
        <w:numPr>
          <w:ilvl w:val="0"/>
          <w:numId w:val="1004"/>
        </w:numPr>
        <w:pStyle w:val="Compact"/>
      </w:pPr>
      <w:r>
        <w:t xml:space="preserve">☐ Clear each payment processor and marketplace clearing account</w:t>
      </w:r>
    </w:p>
    <w:p>
      <w:pPr>
        <w:numPr>
          <w:ilvl w:val="0"/>
          <w:numId w:val="1004"/>
        </w:numPr>
        <w:pStyle w:val="Compact"/>
      </w:pPr>
      <w:r>
        <w:t xml:space="preserve">☐ Receive all inventory shipments and post landed costs</w:t>
      </w:r>
    </w:p>
    <w:p>
      <w:pPr>
        <w:numPr>
          <w:ilvl w:val="0"/>
          <w:numId w:val="1004"/>
        </w:numPr>
        <w:pStyle w:val="Compact"/>
      </w:pPr>
      <w:r>
        <w:t xml:space="preserve">☐ Post inventory adjustments from counts or returns</w:t>
      </w:r>
    </w:p>
    <w:p>
      <w:pPr>
        <w:numPr>
          <w:ilvl w:val="0"/>
          <w:numId w:val="1004"/>
        </w:numPr>
        <w:pStyle w:val="Compact"/>
      </w:pPr>
      <w:r>
        <w:t xml:space="preserve">☐ Accrue warranty reserve and any unpaid bills</w:t>
      </w:r>
    </w:p>
    <w:p>
      <w:pPr>
        <w:numPr>
          <w:ilvl w:val="0"/>
          <w:numId w:val="1004"/>
        </w:numPr>
        <w:pStyle w:val="Compact"/>
      </w:pPr>
      <w:r>
        <w:t xml:space="preserve">☐ Review AR and AP aging for errors and stale items</w:t>
      </w:r>
    </w:p>
    <w:p>
      <w:pPr>
        <w:numPr>
          <w:ilvl w:val="0"/>
          <w:numId w:val="1004"/>
        </w:numPr>
        <w:pStyle w:val="Compact"/>
      </w:pPr>
      <w:r>
        <w:t xml:space="preserve">☐ Confirm sales tax liability matches filed returns</w:t>
      </w:r>
    </w:p>
    <w:p>
      <w:pPr>
        <w:numPr>
          <w:ilvl w:val="0"/>
          <w:numId w:val="1004"/>
        </w:numPr>
        <w:pStyle w:val="Compact"/>
      </w:pPr>
      <w:r>
        <w:t xml:space="preserve">☐ Review P&amp;L and balance sheet against last month and last year</w:t>
      </w:r>
    </w:p>
    <w:p>
      <w:pPr>
        <w:numPr>
          <w:ilvl w:val="0"/>
          <w:numId w:val="1004"/>
        </w:numPr>
        <w:pStyle w:val="Compact"/>
      </w:pPr>
      <w:r>
        <w:t xml:space="preserve">☐ Lock the period in QuickBooks</w:t>
      </w:r>
    </w:p>
    <w:p>
      <w:pPr>
        <w:numPr>
          <w:ilvl w:val="0"/>
          <w:numId w:val="1004"/>
        </w:numPr>
        <w:pStyle w:val="Compact"/>
      </w:pPr>
      <w:r>
        <w:t xml:space="preserve">☐ Deliver the monthly reporting packet</w:t>
      </w:r>
    </w:p>
    <w:bookmarkEnd w:id="25"/>
    <w:bookmarkStart w:id="26" w:name="controls-reporting-and-next-steps"/>
    <w:p>
      <w:pPr>
        <w:pStyle w:val="Heading1"/>
        <w:pageBreakBefore/>
      </w:pPr>
      <w:r>
        <w:t xml:space="preserve">Controls, reporting and next steps</w:t>
      </w:r>
    </w:p>
    <w:p>
      <w:pPr>
        <w:pStyle w:val="FirstParagraph"/>
      </w:pPr>
      <w:r>
        <w:rPr>
          <w:bCs/>
          <w:b/>
        </w:rPr>
        <w:t xml:space="preserve">Controls</w:t>
      </w:r>
    </w:p>
    <w:p>
      <w:pPr>
        <w:numPr>
          <w:ilvl w:val="0"/>
          <w:numId w:val="1005"/>
        </w:numPr>
        <w:pStyle w:val="Compact"/>
      </w:pPr>
      <w:r>
        <w:t xml:space="preserve">The owner approves every payment run and any bill over an agreed limit.</w:t>
      </w:r>
    </w:p>
    <w:p>
      <w:pPr>
        <w:numPr>
          <w:ilvl w:val="0"/>
          <w:numId w:val="1005"/>
        </w:numPr>
        <w:pStyle w:val="Compact"/>
      </w:pPr>
      <w:r>
        <w:t xml:space="preserve">Receipts and bills are attached to their transaction in QuickBooks.</w:t>
      </w:r>
    </w:p>
    <w:p>
      <w:pPr>
        <w:numPr>
          <w:ilvl w:val="0"/>
          <w:numId w:val="1005"/>
        </w:numPr>
        <w:pStyle w:val="Compact"/>
      </w:pPr>
      <w:r>
        <w:t xml:space="preserve">Closed months are locked; changes after close need owner sign-off.</w:t>
      </w:r>
    </w:p>
    <w:p>
      <w:pPr>
        <w:numPr>
          <w:ilvl w:val="0"/>
          <w:numId w:val="1005"/>
        </w:numPr>
        <w:pStyle w:val="Compact"/>
      </w:pPr>
      <w:r>
        <w:t xml:space="preserve">Users get only the QuickBooks access their role needs.</w:t>
      </w:r>
    </w:p>
    <w:p>
      <w:pPr>
        <w:pStyle w:val="FirstParagraph"/>
      </w:pPr>
      <w:r>
        <w:rPr>
          <w:bCs/>
          <w:b/>
        </w:rPr>
        <w:t xml:space="preserve">Monthly reporting packet</w:t>
      </w:r>
    </w:p>
    <w:tbl>
      <w:tblPr>
        <w:tblW w:type="pct" w:w="5000"/>
        <w:tblLook w:firstRow="1" w:lastRow="0" w:firstColumn="0" w:lastColumn="0" w:noHBand="0" w:noVBand="0" w:val="0020"/>
        <w:jc w:val="start"/>
        <w:tblBorders>
          <w:top w:val="single" w:sz="4" w:color="C9C3B6"/>
          <w:left w:val="single" w:sz="4" w:color="C9C3B6"/>
          <w:bottom w:val="single" w:sz="4" w:color="C9C3B6"/>
          <w:right w:val="single" w:sz="4" w:color="C9C3B6"/>
          <w:insideH w:val="single" w:sz="4" w:color="C9C3B6"/>
          <w:insideV w:val="single" w:sz="4" w:color="C9C3B6"/>
        </w:tblBorders>
      </w:tblPr>
      <w:tblGrid>
        <w:gridCol w:w="3960"/>
        <w:gridCol w:w="3960"/>
      </w:tblGrid>
      <w:tr>
        <w:trPr>
          <w:tblHeader w:val="true"/>
        </w:trPr>
        <w:tc>
          <w:tcPr>
            <w:shd w:val="clear" w:fill="15191F"/>
          </w:tcPr>
          <w:p>
            <w:pPr>
              <w:pStyle w:val="Compact"/>
              <w:jc w:val="left"/>
            </w:pPr>
            <w:r>
              <w:rPr>
                <w:b/>
                <w:color w:val="F3F0E8"/>
                <w:sz w:val="19"/>
              </w:rPr>
              <w:t xml:space="preserve">Report</w:t>
            </w:r>
          </w:p>
        </w:tc>
        <w:tc>
          <w:tcPr>
            <w:shd w:val="clear" w:fill="15191F"/>
          </w:tcPr>
          <w:p>
            <w:pPr>
              <w:pStyle w:val="Compact"/>
              <w:jc w:val="left"/>
            </w:pPr>
            <w:r>
              <w:rPr>
                <w:b/>
                <w:color w:val="F3F0E8"/>
                <w:sz w:val="19"/>
              </w:rPr>
              <w:t xml:space="preserve">Shows</w:t>
            </w:r>
          </w:p>
        </w:tc>
      </w:tr>
      <w:tr>
        <w:tc>
          <w:tcPr/>
          <w:p>
            <w:pPr>
              <w:pStyle w:val="Compact"/>
              <w:jc w:val="left"/>
            </w:pPr>
            <w:r>
              <w:rPr>
                <w:sz w:val="19"/>
              </w:rPr>
              <w:t xml:space="preserve">Profit and loss</w:t>
            </w:r>
          </w:p>
        </w:tc>
        <w:tc>
          <w:tcPr/>
          <w:p>
            <w:pPr>
              <w:pStyle w:val="Compact"/>
              <w:jc w:val="left"/>
            </w:pPr>
            <w:r>
              <w:rPr>
                <w:sz w:val="19"/>
              </w:rPr>
              <w:t xml:space="preserve">Revenue and margin by product line and channel, vs. last month and last year</w:t>
            </w:r>
          </w:p>
        </w:tc>
      </w:tr>
      <w:tr>
        <w:tc>
          <w:tcPr/>
          <w:p>
            <w:pPr>
              <w:pStyle w:val="Compact"/>
              <w:jc w:val="left"/>
            </w:pPr>
            <w:r>
              <w:rPr>
                <w:sz w:val="19"/>
              </w:rPr>
              <w:t xml:space="preserve">Balance sheet</w:t>
            </w:r>
          </w:p>
        </w:tc>
        <w:tc>
          <w:tcPr/>
          <w:p>
            <w:pPr>
              <w:pStyle w:val="Compact"/>
              <w:jc w:val="left"/>
            </w:pPr>
            <w:r>
              <w:rPr>
                <w:sz w:val="19"/>
              </w:rPr>
              <w:t xml:space="preserve">Cash, inventory, payables, receivables, sales tax owed</w:t>
            </w:r>
          </w:p>
        </w:tc>
      </w:tr>
      <w:tr>
        <w:tc>
          <w:tcPr/>
          <w:p>
            <w:pPr>
              <w:pStyle w:val="Compact"/>
              <w:jc w:val="left"/>
            </w:pPr>
            <w:r>
              <w:rPr>
                <w:sz w:val="19"/>
              </w:rPr>
              <w:t xml:space="preserve">Cash flow summary</w:t>
            </w:r>
          </w:p>
        </w:tc>
        <w:tc>
          <w:tcPr/>
          <w:p>
            <w:pPr>
              <w:pStyle w:val="Compact"/>
              <w:jc w:val="left"/>
            </w:pPr>
            <w:r>
              <w:rPr>
                <w:sz w:val="19"/>
              </w:rPr>
              <w:t xml:space="preserve">Where cash came from and went, plus a 30-day outlook</w:t>
            </w:r>
          </w:p>
        </w:tc>
      </w:tr>
      <w:tr>
        <w:tc>
          <w:tcPr/>
          <w:p>
            <w:pPr>
              <w:pStyle w:val="Compact"/>
              <w:jc w:val="left"/>
            </w:pPr>
            <w:r>
              <w:rPr>
                <w:sz w:val="19"/>
              </w:rPr>
              <w:t xml:space="preserve">AR and AP aging</w:t>
            </w:r>
          </w:p>
        </w:tc>
        <w:tc>
          <w:tcPr/>
          <w:p>
            <w:pPr>
              <w:pStyle w:val="Compact"/>
              <w:jc w:val="left"/>
            </w:pPr>
            <w:r>
              <w:rPr>
                <w:sz w:val="19"/>
              </w:rPr>
              <w:t xml:space="preserve">Who owes Everlast and whom Everlast owes</w:t>
            </w:r>
          </w:p>
        </w:tc>
      </w:tr>
      <w:tr>
        <w:tc>
          <w:tcPr/>
          <w:p>
            <w:pPr>
              <w:pStyle w:val="Compact"/>
              <w:jc w:val="left"/>
            </w:pPr>
            <w:r>
              <w:rPr>
                <w:sz w:val="19"/>
              </w:rPr>
              <w:t xml:space="preserve">Inventory snapshot</w:t>
            </w:r>
          </w:p>
        </w:tc>
        <w:tc>
          <w:tcPr/>
          <w:p>
            <w:pPr>
              <w:pStyle w:val="Compact"/>
              <w:jc w:val="left"/>
            </w:pPr>
            <w:r>
              <w:rPr>
                <w:sz w:val="19"/>
              </w:rPr>
              <w:t xml:space="preserve">Stock value, top movers, slow movers, open POs</w:t>
            </w:r>
          </w:p>
        </w:tc>
      </w:tr>
    </w:tbl>
    <w:p>
      <w:pPr>
        <w:pStyle w:val="BodyText"/>
      </w:pPr>
      <w:r>
        <w:rPr>
          <w:bCs/>
          <w:b/>
        </w:rPr>
        <w:t xml:space="preserve">Roles</w:t>
      </w:r>
    </w:p>
    <w:tbl>
      <w:tblPr>
        <w:tblW w:type="pct" w:w="5000"/>
        <w:tblLook w:firstRow="1" w:lastRow="0" w:firstColumn="0" w:lastColumn="0" w:noHBand="0" w:noVBand="0" w:val="0020"/>
        <w:jc w:val="start"/>
        <w:tblBorders>
          <w:top w:val="single" w:sz="4" w:color="C9C3B6"/>
          <w:left w:val="single" w:sz="4" w:color="C9C3B6"/>
          <w:bottom w:val="single" w:sz="4" w:color="C9C3B6"/>
          <w:right w:val="single" w:sz="4" w:color="C9C3B6"/>
          <w:insideH w:val="single" w:sz="4" w:color="C9C3B6"/>
          <w:insideV w:val="single" w:sz="4" w:color="C9C3B6"/>
        </w:tblBorders>
      </w:tblPr>
      <w:tblGrid>
        <w:gridCol w:w="3960"/>
        <w:gridCol w:w="3960"/>
      </w:tblGrid>
      <w:tr>
        <w:trPr>
          <w:tblHeader w:val="true"/>
        </w:trPr>
        <w:tc>
          <w:tcPr>
            <w:shd w:val="clear" w:fill="15191F"/>
          </w:tcPr>
          <w:p>
            <w:pPr>
              <w:pStyle w:val="Compact"/>
              <w:jc w:val="left"/>
            </w:pPr>
            <w:r>
              <w:rPr>
                <w:b/>
                <w:color w:val="F3F0E8"/>
                <w:sz w:val="19"/>
              </w:rPr>
              <w:t xml:space="preserve">Role</w:t>
            </w:r>
          </w:p>
        </w:tc>
        <w:tc>
          <w:tcPr>
            <w:shd w:val="clear" w:fill="15191F"/>
          </w:tcPr>
          <w:p>
            <w:pPr>
              <w:pStyle w:val="Compact"/>
              <w:jc w:val="left"/>
            </w:pPr>
            <w:r>
              <w:rPr>
                <w:b/>
                <w:color w:val="F3F0E8"/>
                <w:sz w:val="19"/>
              </w:rPr>
              <w:t xml:space="preserve">Responsibility</w:t>
            </w:r>
          </w:p>
        </w:tc>
      </w:tr>
      <w:tr>
        <w:tc>
          <w:tcPr/>
          <w:p>
            <w:pPr>
              <w:pStyle w:val="Compact"/>
              <w:jc w:val="left"/>
            </w:pPr>
            <w:r>
              <w:rPr>
                <w:sz w:val="19"/>
              </w:rPr>
              <w:t xml:space="preserve">Bookkeeper</w:t>
            </w:r>
          </w:p>
        </w:tc>
        <w:tc>
          <w:tcPr/>
          <w:p>
            <w:pPr>
              <w:pStyle w:val="Compact"/>
              <w:jc w:val="left"/>
            </w:pPr>
            <w:r>
              <w:rPr>
                <w:sz w:val="19"/>
              </w:rPr>
              <w:t xml:space="preserve">Daily and weekly entries, reconciliations, close, reporting packet</w:t>
            </w:r>
          </w:p>
        </w:tc>
      </w:tr>
      <w:tr>
        <w:tc>
          <w:tcPr/>
          <w:p>
            <w:pPr>
              <w:pStyle w:val="Compact"/>
              <w:jc w:val="left"/>
            </w:pPr>
            <w:r>
              <w:rPr>
                <w:sz w:val="19"/>
              </w:rPr>
              <w:t xml:space="preserve">Everlast owner/manager</w:t>
            </w:r>
          </w:p>
        </w:tc>
        <w:tc>
          <w:tcPr/>
          <w:p>
            <w:pPr>
              <w:pStyle w:val="Compact"/>
              <w:jc w:val="left"/>
            </w:pPr>
            <w:r>
              <w:rPr>
                <w:sz w:val="19"/>
              </w:rPr>
              <w:t xml:space="preserve">Approvals, answers to flagged items, receiving counts</w:t>
            </w:r>
          </w:p>
        </w:tc>
      </w:tr>
      <w:tr>
        <w:tc>
          <w:tcPr/>
          <w:p>
            <w:pPr>
              <w:pStyle w:val="Compact"/>
              <w:jc w:val="left"/>
            </w:pPr>
            <w:r>
              <w:rPr>
                <w:sz w:val="19"/>
              </w:rPr>
              <w:t xml:space="preserve">CPA</w:t>
            </w:r>
          </w:p>
        </w:tc>
        <w:tc>
          <w:tcPr/>
          <w:p>
            <w:pPr>
              <w:pStyle w:val="Compact"/>
              <w:jc w:val="left"/>
            </w:pPr>
            <w:r>
              <w:rPr>
                <w:sz w:val="19"/>
              </w:rPr>
              <w:t xml:space="preserve">Tax filings, year-end adjustments, sales tax nexus review</w:t>
            </w:r>
          </w:p>
        </w:tc>
      </w:tr>
    </w:tbl>
    <w:p>
      <w:pPr>
        <w:pStyle w:val="BodyText"/>
      </w:pPr>
      <w:r>
        <w:rPr>
          <w:bCs/>
          <w:b/>
        </w:rPr>
        <w:t xml:space="preserve">Next steps if approved</w:t>
      </w:r>
    </w:p>
    <w:p>
      <w:pPr>
        <w:numPr>
          <w:ilvl w:val="0"/>
          <w:numId w:val="1006"/>
        </w:numPr>
        <w:pStyle w:val="Compact"/>
      </w:pPr>
      <w:r>
        <w:t xml:space="preserve">☐ Confirm the open questions in this plan</w:t>
      </w:r>
    </w:p>
    <w:p>
      <w:pPr>
        <w:numPr>
          <w:ilvl w:val="0"/>
          <w:numId w:val="1006"/>
        </w:numPr>
        <w:pStyle w:val="Compact"/>
      </w:pPr>
      <w:r>
        <w:t xml:space="preserve">☐ Get QuickBooks and sales channel access</w:t>
      </w:r>
    </w:p>
    <w:p>
      <w:pPr>
        <w:numPr>
          <w:ilvl w:val="0"/>
          <w:numId w:val="1006"/>
        </w:numPr>
        <w:pStyle w:val="Compact"/>
      </w:pPr>
      <w:r>
        <w:t xml:space="preserve">☐ Review the current chart of accounts and map it to this structure</w:t>
      </w:r>
    </w:p>
    <w:p>
      <w:pPr>
        <w:numPr>
          <w:ilvl w:val="0"/>
          <w:numId w:val="1006"/>
        </w:numPr>
        <w:pStyle w:val="Compact"/>
      </w:pPr>
      <w:r>
        <w:t xml:space="preserve">☐ Reconcile Q3 2026 (July–September) as the starting point</w:t>
      </w:r>
    </w:p>
    <w:p>
      <w:pPr>
        <w:pStyle w:val="FirstParagraph"/>
      </w:pPr>
      <w:r>
        <w:t xml:space="preserve">The full action list, playbooks and close checklist are in the Action Tracker workbook in this package.</w:t>
      </w:r>
    </w:p>
    <w:bookmarkEnd w:id="26"/>
    <w:p>
      <w:pPr>
        <w:spacing w:before="360"/>
        <w:jc w:val="center"/>
      </w:pPr>
      <w:r>
        <w:drawing>
          <wp:inline xmlns:wp="http://schemas.openxmlformats.org/drawingml/2006/wordprocessingDrawing" distT="0" distB="0" distL="0" distR="0">
            <wp:extent cx="365760" cy="365760"/>
            <wp:docPr id="990" name="DRMonogram"/>
            <a:graphic xmlns:a="http://schemas.openxmlformats.org/drawingml/2006/main">
              <a:graphicData uri="http://schemas.openxmlformats.org/drawingml/2006/picture">
                <pic:pic xmlns:pic="http://schemas.openxmlformats.org/drawingml/2006/picture">
                  <pic:nvPicPr>
                    <pic:cNvPr id="990" name="mono.png"/>
                    <pic:cNvPicPr/>
                  </pic:nvPicPr>
                  <pic:blipFill>
                    <a:blip xmlns:r="http://schemas.openxmlformats.org/officeDocument/2006/relationships" r:embed="ridDRMono"/>
                    <a:stretch>
                      <a:fillRect/>
                    </a:stretch>
                  </pic:blipFill>
                  <pic:spPr>
                    <a:xfrm>
                      <a:off x="0" y="0"/>
                      <a:ext cx="365760" cy="365760"/>
                    </a:xfrm>
                    <a:prstGeom prst="rect">
                      <a:avLst/>
                    </a:prstGeom>
                  </pic:spPr>
                </pic:pic>
              </a:graphicData>
            </a:graphic>
          </wp:inline>
        </w:drawing>
      </w:r>
    </w:p>
    <w:sectPr/>
    <w:footerReference w:type="default" r:id="ridDRFt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color w:val="6B7280"/>
        <w:sz w:val="18"/>
      </w:rPr>
    </w:pPr>
    <w:r>
      <w:rPr>
        <w:color w:val="6B7280"/>
        <w:sz w:val="18"/>
      </w:rPr>
      <w:t xml:space="preserve">Page </w:t>
    </w:r>
    <w:fldSimple w:instr=" PAGE ">
      <w:r>
        <w:rPr>
          <w:color w:val="6B7280"/>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5191F"/>
      <w:sz w:val="48"/>
      <w:szCs w:val="36"/>
    </w:rPr>
  </w:style>
  <w:style w:styleId="Subtitle" w:type="paragraph">
    <w:name w:val="Subtitle"/>
    <w:basedOn w:val="Title"/>
    <w:next w:val="BodyText"/>
    <w:qFormat/>
    <w:pPr>
      <w:keepNext/>
      <w:keepLines/>
      <w:spacing w:after="240" w:before="240"/>
      <w:jc w:val="center"/>
    </w:pPr>
    <w:rPr>
      <w:rFonts w:ascii="Arial" w:hAnsi="Arial" w:eastAsia="Arial"/>
      <w:color w:val="5A6170"/>
      <w:sz w:val="24"/>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DRFtr" Type="http://schemas.openxmlformats.org/officeDocument/2006/relationships/footer" Target="footer1.xml"/><Relationship Id="ridDRMono" Type="http://schemas.openxmlformats.org/officeDocument/2006/relationships/image" Target="media/mon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Everlast Welders — Sample Bookkeeping Plan</dc:title>
  <dc:creator/>
  <cp:keywords/>
  <dcterms:created xsi:type="dcterms:W3CDTF">2026-10-16T18:04:18Z</dcterms:created>
  <dcterms:modified xsi:type="dcterms:W3CDTF">2026-10-16T18:04:18Z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Prepared October 16, 2026 · Sample for review</vt:lpwstr>
  </property>
</Properties>
</file>