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C74" w:rsidRDefault="00BF5C74" w:rsidP="00BF5C74">
      <w:pPr>
        <w:pBdr>
          <w:bottom w:val="single" w:sz="12" w:space="1" w:color="auto"/>
        </w:pBdr>
        <w:shd w:val="clear" w:color="auto" w:fill="FFFFFF"/>
        <w:spacing w:before="180"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AAPL 10-K 2011</w:t>
      </w:r>
    </w:p>
    <w:p w:rsidR="00BF5C74" w:rsidRDefault="00BF5C74" w:rsidP="00BF5C74">
      <w:pPr>
        <w:shd w:val="clear" w:color="auto" w:fill="FFFFFF"/>
        <w:spacing w:before="180" w:after="0" w:line="240" w:lineRule="auto"/>
        <w:rPr>
          <w:rFonts w:ascii="Times New Roman" w:eastAsia="Times New Roman" w:hAnsi="Times New Roman" w:cs="Times New Roman"/>
          <w:b/>
          <w:bCs/>
          <w:color w:val="000000"/>
          <w:sz w:val="20"/>
          <w:szCs w:val="20"/>
        </w:rPr>
      </w:pP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Note 1</w:t>
      </w:r>
      <w:r w:rsidRPr="00BF5C74">
        <w:rPr>
          <w:rFonts w:ascii="Times New Roman" w:eastAsia="Times New Roman" w:hAnsi="Times New Roman" w:cs="Times New Roman"/>
          <w:color w:val="000000"/>
          <w:sz w:val="20"/>
          <w:szCs w:val="20"/>
        </w:rPr>
        <w:t> </w:t>
      </w:r>
      <w:r w:rsidRPr="00BF5C74">
        <w:rPr>
          <w:rFonts w:ascii="Times New Roman" w:eastAsia="Times New Roman" w:hAnsi="Times New Roman" w:cs="Times New Roman"/>
          <w:b/>
          <w:bCs/>
          <w:color w:val="000000"/>
          <w:sz w:val="20"/>
          <w:szCs w:val="20"/>
        </w:rPr>
        <w:t>–</w:t>
      </w:r>
      <w:r w:rsidRPr="00BF5C74">
        <w:rPr>
          <w:rFonts w:ascii="Times New Roman" w:eastAsia="Times New Roman" w:hAnsi="Times New Roman" w:cs="Times New Roman"/>
          <w:color w:val="000000"/>
          <w:sz w:val="20"/>
          <w:szCs w:val="20"/>
        </w:rPr>
        <w:t> </w:t>
      </w:r>
      <w:r w:rsidRPr="00BF5C74">
        <w:rPr>
          <w:rFonts w:ascii="Times New Roman" w:eastAsia="Times New Roman" w:hAnsi="Times New Roman" w:cs="Times New Roman"/>
          <w:b/>
          <w:bCs/>
          <w:color w:val="000000"/>
          <w:sz w:val="20"/>
          <w:szCs w:val="20"/>
        </w:rPr>
        <w:t>Summary of Significant Accounting Policies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Apple Inc. and its wholly-owned subsidiaries (collectively “Apple” or the “Company”) designs, manufactures, and markets mobile communication and media devices, personal computers, and portable digital music players, and sells a variety of related software, services, peripherals, networking solutions, and third-party digital content and applications. The Company sells its products worldwide through its retail stores, online stores, and direct sales force, as well as through third-party cellular network carriers, wholesalers, retailers and value-added resellers. In addition, the Company sells a variety of third-party iPhone, iPad, Mac, and iPod compatible products including application software, printers, storage devices, speakers, headphones, and various other accessories and supplies through its online and retail stores. The Company sells to consumers, small and mid-sized businesses, education, enterprise and government customers.</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Basis of Presentation and Preparation</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accompanying consolidated financial statements include the accounts of the Company. Intercompany accounts and transactions have been eliminated. The preparation of these consolidated financial statements in conformity with U.S. generally accepted accounting principles (“GAAP”) requires management to make estimates and assumptions that affect the amounts reported in these consolidated financial statements and accompanying notes. Actual results could differ materially from those estimates. Certain prior year amounts in the consolidated financial statements and notes thereto have been reclassified to conform to the current year’s presentation.</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Company’s fiscal year is the 52 or 53-week period that ends on the last Saturday of September. The Company’s fiscal years 2011, 2010 and 2009 ended on September 24, 2011, September 25, 2010 and September 26, 2009, respectively, and included 52 weeks each. An additional week is included in the first fiscal quarter approximately every six years to realign fiscal quarters with calendar quarters. Fiscal year 2012 will end on September 29, 2012, and will span 53 weeks, with a 14th week added to the first quarter of 2012. Unless otherwise stated, references to particular years or quarters refer to the Company’s fiscal years ended in September and the associated quarters of those fiscal years.</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During the first quarter of 2011, the Company adopted the Financial Accounting Standard Board’s (“FASB”) new accounting standard on consolidation of variable interest entities. This new accounting standard eliminates the mandatory quantitative approach in determining control for evaluating whether variable interest entities need to be consolidated in favor of a qualitative analysis, and requires an ongoing reassessment of control over such entities. The adoption of this new accounting standard did not impact the Company’s consolidated financial statements.</w:t>
      </w:r>
    </w:p>
    <w:p w:rsidR="002908E1" w:rsidRDefault="002908E1">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br w:type="page"/>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lastRenderedPageBreak/>
        <w:t>Revenue Recognition</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Net sales consist primarily of revenue from the sale of hardware, software, digital content and applications, peripherals, and service and support contracts. The Company recognizes revenue when persuasive evidence of an arrangement exists, delivery has occurred, the sales price is fixed or determinable, and collection is probable. Product is considered delivered to the customer once it has been shipped and title and risk of loss have been transferred. For most of the Company’s product sales, these criteria are met at the time the product is shipped. For online sales to individuals, for some sales to education customers in the U.S., and for certain other sales, the Company defers revenue until the customer receives the product because the Company legally retains a portion of the risk of loss on these sales during transit. The Company recognizes revenue from the sale of hardware products, software bundled with hardware that is essential to the functionality of the hardware, and third-party digital content sold on the iTunes Store in accordance with general revenue recognition accounting guidance. The Company recognizes revenue in accordance with industry specific software accounting guidance for the following types of sales transactions: (</w:t>
      </w:r>
      <w:proofErr w:type="spellStart"/>
      <w:r w:rsidRPr="00BF5C74">
        <w:rPr>
          <w:rFonts w:ascii="Times New Roman" w:eastAsia="Times New Roman" w:hAnsi="Times New Roman" w:cs="Times New Roman"/>
          <w:color w:val="000000"/>
          <w:sz w:val="20"/>
          <w:szCs w:val="20"/>
        </w:rPr>
        <w:t>i</w:t>
      </w:r>
      <w:proofErr w:type="spellEnd"/>
      <w:r w:rsidRPr="00BF5C74">
        <w:rPr>
          <w:rFonts w:ascii="Times New Roman" w:eastAsia="Times New Roman" w:hAnsi="Times New Roman" w:cs="Times New Roman"/>
          <w:color w:val="000000"/>
          <w:sz w:val="20"/>
          <w:szCs w:val="20"/>
        </w:rPr>
        <w:t>) standalone sales of software products, (ii) sales of software upgrades and (iii) sales of software bundled with hardware not essential to the functionality of the hardware.</w:t>
      </w:r>
    </w:p>
    <w:p w:rsidR="00BF5C74" w:rsidRPr="00BF5C74" w:rsidRDefault="00BF5C74" w:rsidP="00BF5C74">
      <w:pPr>
        <w:spacing w:after="0" w:line="240" w:lineRule="auto"/>
        <w:rPr>
          <w:rFonts w:ascii="Times New Roman" w:eastAsia="Times New Roman" w:hAnsi="Times New Roman" w:cs="Times New Roman"/>
          <w:sz w:val="24"/>
          <w:szCs w:val="24"/>
        </w:rPr>
      </w:pP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sells software and peripheral products obtained from other companies. The Company generally establishes its own pricing and retains related inventory risk, is the primary obligor in sales transactions with its customers, and assumes the credit risk for amounts billed to its customers. Accordingly, the Company generally recognizes revenue for the sale of products obtained from other companies based on the gross amount billed. For sales of third-party software applications for iPhone, iPad and iPod touch (“iOS devices”) and Macs made through the App Store and the Mac App Store, the Company is not the primary obligor to users of the software, and third- party developers determine the selling price of their software. Therefore, the Company accounts for such sales on a net basis by recognizing only the commission it retains from each sale and including that commission in net sales in the Consolidated Statements of Operations. The portion of the sales price paid by users that is remitted by the Company to third-party developers is not reflected in the Company’s Consolidated Statements of Operations.</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records deferred revenue when it receives payments in advance of the delivery of products or the performance of services. This includes amounts that have been deferred for unspecified and specified software upgrade rights and non-software services that are attached to hardware and software products. The Company sells gift cards redeemable at its retail and online stores, and also sells gift cards redeemable on the iTunes Store for the purchase of content and software. The Company records deferred revenue upon the sale of the card, which is relieved upon redemption of the card by the customer. Revenue from AppleCare service and support contracts is deferred and recognized over the service coverage periods. AppleCare service and support contracts typically include extended phone support, repair services, web-based support resources and diagnostic tools offered under the Company’s standard limited warranty.</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records reductions to revenue for estimated commitments related to price protection and for customer incentive programs, including reseller and end-user rebates, and other sales programs and volume-based incentives. The estimated cost of these programs is recognized in the period the Company has sold the product and committed to a plan. The Company also records reductions to revenue for expected future product returns based on the Company’s historical experience. Revenue is recorded net of taxes collected from customers that are remitted to governmental authorities, with the collected taxes recorded as current liabilities until remitted to the relevant government authority.</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i/>
          <w:iCs/>
          <w:color w:val="000000"/>
          <w:sz w:val="20"/>
          <w:szCs w:val="20"/>
        </w:rPr>
        <w:t>Revenue Recognition for Arrangements with Multiple Deliverables</w:t>
      </w:r>
    </w:p>
    <w:p w:rsidR="00BF5C74" w:rsidRPr="0069293B" w:rsidRDefault="00BF5C74" w:rsidP="00BF5C74">
      <w:pPr>
        <w:shd w:val="clear" w:color="auto" w:fill="FFFFFF"/>
        <w:spacing w:before="90" w:after="0" w:line="240" w:lineRule="auto"/>
        <w:rPr>
          <w:rFonts w:ascii="Times New Roman" w:eastAsia="Times New Roman" w:hAnsi="Times New Roman" w:cs="Times New Roman"/>
          <w:color w:val="000000"/>
          <w:sz w:val="27"/>
          <w:szCs w:val="27"/>
          <w:highlight w:val="yellow"/>
        </w:rPr>
      </w:pPr>
      <w:r w:rsidRPr="0069293B">
        <w:rPr>
          <w:rFonts w:ascii="Times New Roman" w:eastAsia="Times New Roman" w:hAnsi="Times New Roman" w:cs="Times New Roman"/>
          <w:color w:val="000000"/>
          <w:sz w:val="20"/>
          <w:szCs w:val="20"/>
          <w:highlight w:val="yellow"/>
        </w:rPr>
        <w:t>For multi-element arrangements that include hardware products containing software essential to the hardware product’s functionality, undelivered software elements that relate to the hardware product’s essential software, and undelivered non-software services, the Company allocates revenue to all deliverables based on their relative selling prices. In such circumstances, the Company uses a hierarchy to determine the selling price to be used for allocating revenue to deliverables: (</w:t>
      </w:r>
      <w:proofErr w:type="spellStart"/>
      <w:r w:rsidRPr="0069293B">
        <w:rPr>
          <w:rFonts w:ascii="Times New Roman" w:eastAsia="Times New Roman" w:hAnsi="Times New Roman" w:cs="Times New Roman"/>
          <w:color w:val="000000"/>
          <w:sz w:val="20"/>
          <w:szCs w:val="20"/>
          <w:highlight w:val="yellow"/>
        </w:rPr>
        <w:t>i</w:t>
      </w:r>
      <w:proofErr w:type="spellEnd"/>
      <w:r w:rsidRPr="0069293B">
        <w:rPr>
          <w:rFonts w:ascii="Times New Roman" w:eastAsia="Times New Roman" w:hAnsi="Times New Roman" w:cs="Times New Roman"/>
          <w:color w:val="000000"/>
          <w:sz w:val="20"/>
          <w:szCs w:val="20"/>
          <w:highlight w:val="yellow"/>
        </w:rPr>
        <w:t>) vendor-specific objective evidence of fair value (“VSOE”), (ii) third-party evidence of selling price (“TPE”), and (iii) best estimate of the selling price (“ESP”). VSOE generally exists only when the Company sells the deliverable separately and is the price actually charged by the Company for that deliverable. ESPs reflect the Company’s best estimates of what the selling prices of elements would be if they were sold regularly on a stand-alone basis.</w:t>
      </w:r>
    </w:p>
    <w:p w:rsidR="00BF5C74" w:rsidRPr="002908E1" w:rsidRDefault="00BF5C74" w:rsidP="002908E1">
      <w:pPr>
        <w:shd w:val="clear" w:color="auto" w:fill="FFFFFF"/>
        <w:spacing w:before="180" w:after="0" w:line="240" w:lineRule="auto"/>
        <w:rPr>
          <w:rFonts w:ascii="Times New Roman" w:eastAsia="Times New Roman" w:hAnsi="Times New Roman" w:cs="Times New Roman"/>
          <w:color w:val="000000"/>
          <w:sz w:val="27"/>
          <w:szCs w:val="27"/>
        </w:rPr>
      </w:pPr>
      <w:r w:rsidRPr="0069293B">
        <w:rPr>
          <w:rFonts w:ascii="Times New Roman" w:eastAsia="Times New Roman" w:hAnsi="Times New Roman" w:cs="Times New Roman"/>
          <w:color w:val="000000"/>
          <w:sz w:val="20"/>
          <w:szCs w:val="20"/>
          <w:highlight w:val="yellow"/>
        </w:rPr>
        <w:lastRenderedPageBreak/>
        <w:t xml:space="preserve">For sales of iPhone, iPad, Apple TV, for sales of iPod touch beginning in June 2010, and for sales of Mac beginning in June 2011, the Company has indicated it may from time-to-time provide future unspecified software upgrades and features to the essential software bundled with each of these hardware products free of charge to customers. Essential software for iOS devices includes iOS and related applications and for Mac includes Mac OS X and </w:t>
      </w:r>
      <w:proofErr w:type="spellStart"/>
      <w:r w:rsidRPr="0069293B">
        <w:rPr>
          <w:rFonts w:ascii="Times New Roman" w:eastAsia="Times New Roman" w:hAnsi="Times New Roman" w:cs="Times New Roman"/>
          <w:color w:val="000000"/>
          <w:sz w:val="20"/>
          <w:szCs w:val="20"/>
          <w:highlight w:val="yellow"/>
        </w:rPr>
        <w:t>iLife</w:t>
      </w:r>
      <w:proofErr w:type="spellEnd"/>
      <w:r w:rsidRPr="0069293B">
        <w:rPr>
          <w:rFonts w:ascii="Times New Roman" w:eastAsia="Times New Roman" w:hAnsi="Times New Roman" w:cs="Times New Roman"/>
          <w:color w:val="000000"/>
          <w:sz w:val="20"/>
          <w:szCs w:val="20"/>
          <w:highlight w:val="yellow"/>
        </w:rPr>
        <w:t xml:space="preserve">. In June 2011, the Company announced it would provide various non-software services to owners of qualifying versions of iOS devices and Mac. The Company has identified up to three deliverables in arrangements involving the sale of these devices. The first deliverable is the hardware and software essential to the functionality of the hardware device delivered at the time of sale. The second deliverable is the embedded right included with the purchase of iOS devices, Mac and Apple TV to receive on a when-and-if-available basis, future unspecified software upgrades and features relating to the product’s essential software. The </w:t>
      </w:r>
      <w:r w:rsidRPr="002908E1">
        <w:rPr>
          <w:rFonts w:ascii="Times New Roman" w:eastAsia="Times New Roman" w:hAnsi="Times New Roman" w:cs="Times New Roman"/>
          <w:color w:val="000000"/>
          <w:sz w:val="20"/>
          <w:szCs w:val="20"/>
          <w:highlight w:val="yellow"/>
        </w:rPr>
        <w:t>third</w:t>
      </w:r>
      <w:r w:rsidR="002908E1" w:rsidRPr="002908E1">
        <w:rPr>
          <w:rFonts w:ascii="Times New Roman" w:eastAsia="Times New Roman" w:hAnsi="Times New Roman" w:cs="Times New Roman"/>
          <w:color w:val="000000"/>
          <w:sz w:val="27"/>
          <w:szCs w:val="27"/>
          <w:highlight w:val="yellow"/>
        </w:rPr>
        <w:t xml:space="preserve"> </w:t>
      </w:r>
      <w:r w:rsidRPr="002908E1">
        <w:rPr>
          <w:rFonts w:ascii="Times New Roman" w:eastAsia="Times New Roman" w:hAnsi="Times New Roman" w:cs="Times New Roman"/>
          <w:color w:val="000000"/>
          <w:sz w:val="20"/>
          <w:szCs w:val="20"/>
          <w:highlight w:val="yellow"/>
        </w:rPr>
        <w:t>deliverable is the non-software services to be provided to qualifying versions of iOS devices and Mac. The Company allocates revenue between these deliverables using the relative selling price method. Because the Company has neither VSOE nor TPE for these deliverables, the allocation of revenue has been based on the Company’s E</w:t>
      </w:r>
      <w:r w:rsidRPr="0069293B">
        <w:rPr>
          <w:rFonts w:ascii="Times New Roman" w:eastAsia="Times New Roman" w:hAnsi="Times New Roman" w:cs="Times New Roman"/>
          <w:color w:val="000000"/>
          <w:sz w:val="20"/>
          <w:szCs w:val="20"/>
          <w:highlight w:val="yellow"/>
        </w:rPr>
        <w:t xml:space="preserve">SPs. Amounts allocated to the delivered hardware and the related essential software </w:t>
      </w:r>
      <w:proofErr w:type="gramStart"/>
      <w:r w:rsidRPr="0069293B">
        <w:rPr>
          <w:rFonts w:ascii="Times New Roman" w:eastAsia="Times New Roman" w:hAnsi="Times New Roman" w:cs="Times New Roman"/>
          <w:color w:val="000000"/>
          <w:sz w:val="20"/>
          <w:szCs w:val="20"/>
          <w:highlight w:val="yellow"/>
        </w:rPr>
        <w:t>are</w:t>
      </w:r>
      <w:proofErr w:type="gramEnd"/>
      <w:r w:rsidRPr="0069293B">
        <w:rPr>
          <w:rFonts w:ascii="Times New Roman" w:eastAsia="Times New Roman" w:hAnsi="Times New Roman" w:cs="Times New Roman"/>
          <w:color w:val="000000"/>
          <w:sz w:val="20"/>
          <w:szCs w:val="20"/>
          <w:highlight w:val="yellow"/>
        </w:rPr>
        <w:t xml:space="preserve"> recognized at the time of sale provided the other conditions for revenue recognition have been met. Amounts allocated to the embedded unspecified software upgrade rights and the non-software services are deferred and recognized on a straight-line basis over the estimated lives of each of these devices, which range from 24 to 48 months. Cost of sales related to delivered hardware and related essential software, including estimated warranty costs, are recognized at the time of sale. Costs incurred to provide non-software services are recognized as cost of sales as incurred, and engineering and sales and marketing costs are recognized as operating expenses as incurred.</w:t>
      </w:r>
    </w:p>
    <w:p w:rsidR="00BF5C74" w:rsidRPr="0069293B" w:rsidRDefault="00BF5C74" w:rsidP="00BF5C74">
      <w:pPr>
        <w:shd w:val="clear" w:color="auto" w:fill="FFFFFF"/>
        <w:spacing w:before="180" w:after="0" w:line="240" w:lineRule="auto"/>
        <w:rPr>
          <w:rFonts w:ascii="Times New Roman" w:eastAsia="Times New Roman" w:hAnsi="Times New Roman" w:cs="Times New Roman"/>
          <w:color w:val="000000"/>
          <w:sz w:val="27"/>
          <w:szCs w:val="27"/>
          <w:highlight w:val="yellow"/>
        </w:rPr>
      </w:pPr>
      <w:r w:rsidRPr="0069293B">
        <w:rPr>
          <w:rFonts w:ascii="Times New Roman" w:eastAsia="Times New Roman" w:hAnsi="Times New Roman" w:cs="Times New Roman"/>
          <w:color w:val="000000"/>
          <w:sz w:val="20"/>
          <w:szCs w:val="20"/>
          <w:highlight w:val="yellow"/>
        </w:rPr>
        <w:t>The Company’s process for determining its ESP for deliverables without VSOE or TPE considers multiple factors that may vary depending upon the unique facts and circumstances related to each deliverable. The Company believes its customers, particularly consumers, would be reluctant to buy unspecified software upgrade rights related to iOS devices, Mac and Apple TV. This view is primarily based on the fact that unspecified upgrade rights do not obligate the Company to provide upgrades at a particular time or at all, and do not specify to customers which upgrades or features will be delivered. The Company also believes its customers would be unwilling to pay a significant amount for access to the non-software services because other companies offer similar services at little or no cost to users. Therefore, the Company has concluded that if it were to sell upgrade rights or access to the non-software services on a standalone basis, including those rights and services attached to iOS devices, Mac and Apple TV, the selling prices would be relatively low. Key factors considered by the Company in developing the ESPs for software upgrade rights include prices charged by the Company for similar offerings, market trends for pricing of Mac and iOS compatible software, the Company’s historical pricing practices, the nature of the upgrade rights (e.g., unspecified and when-and-if-available), and the relative ESP of the upgrade rights as compared to the total selling price of the product. The Company may also consider, when appropriate, the impact of other products and services, including advertising services, on selling price assumptions when developing and reviewing its ESPs for software upgrade rights and related deliverables. The Company may also consider additional factors as appropriate, including the pricing of competitive alternatives if they exist and product-specific business objectives. When relevant, the same factors are considered by the Company in developing ESPs for offerings such as the non-software services; however, the primary consideration in developing ESPs for the non-software services is the estimated cost to provide such services over the estimated life of the related devices, including consideration for a reasonable profit margin.</w:t>
      </w:r>
    </w:p>
    <w:p w:rsidR="00BF5C74" w:rsidRPr="0069293B" w:rsidRDefault="00BF5C74" w:rsidP="00BF5C74">
      <w:pPr>
        <w:shd w:val="clear" w:color="auto" w:fill="FFFFFF"/>
        <w:spacing w:before="180" w:after="0" w:line="240" w:lineRule="auto"/>
        <w:rPr>
          <w:rFonts w:ascii="Times New Roman" w:eastAsia="Times New Roman" w:hAnsi="Times New Roman" w:cs="Times New Roman"/>
          <w:color w:val="000000"/>
          <w:sz w:val="27"/>
          <w:szCs w:val="27"/>
          <w:highlight w:val="yellow"/>
        </w:rPr>
      </w:pPr>
      <w:r w:rsidRPr="0069293B">
        <w:rPr>
          <w:rFonts w:ascii="Times New Roman" w:eastAsia="Times New Roman" w:hAnsi="Times New Roman" w:cs="Times New Roman"/>
          <w:color w:val="000000"/>
          <w:sz w:val="20"/>
          <w:szCs w:val="20"/>
          <w:highlight w:val="yellow"/>
        </w:rPr>
        <w:t>Beginning with the Company’s June 2011 announcement of the upcoming release of the non-software services and Mac OS X Lion, the Company’s combined ESP for the unspecified software upgrade rights and the right to receive the non-software services are as follows: $16 for iPhone and iPad, $11 for iPod touch, and $22 for Mac. The Company’s ESP for the embedded unspecified software upgrade right included with each Apple TV is $5 for 2011 and $10 for fiscal years prior to 2011. Amounts allocated to the embedded unspecified software upgrade rights and the non-software services associated with iOS devices and Apple TV are recognized on a straight-line basis over 24 months, and amounts allocated to the embedded unspecified software upgrade rights and the non-software services associated with Macs are recognized on a straight-line basis over 48 months.</w:t>
      </w:r>
    </w:p>
    <w:p w:rsidR="00BF5C74" w:rsidRPr="0069293B" w:rsidRDefault="00BF5C74" w:rsidP="00BF5C74">
      <w:pPr>
        <w:shd w:val="clear" w:color="auto" w:fill="FFFFFF"/>
        <w:spacing w:before="180" w:after="0" w:line="240" w:lineRule="auto"/>
        <w:rPr>
          <w:rFonts w:ascii="Times New Roman" w:eastAsia="Times New Roman" w:hAnsi="Times New Roman" w:cs="Times New Roman"/>
          <w:color w:val="000000"/>
          <w:sz w:val="27"/>
          <w:szCs w:val="27"/>
          <w:highlight w:val="yellow"/>
        </w:rPr>
      </w:pPr>
      <w:r w:rsidRPr="0069293B">
        <w:rPr>
          <w:rFonts w:ascii="Times New Roman" w:eastAsia="Times New Roman" w:hAnsi="Times New Roman" w:cs="Times New Roman"/>
          <w:color w:val="000000"/>
          <w:sz w:val="20"/>
          <w:szCs w:val="20"/>
          <w:highlight w:val="yellow"/>
        </w:rPr>
        <w:t xml:space="preserve">The Company’s ESP for the software upgrade right included with each iPhone sold beginning with the introduction of iPhone in June 2007 through the Company’s second quarter of 2010 was $25. Beginning in April 2010 in conjunction with the Company’s announcement of iOS 4 for iPhone, the Company lowered its ESP for the software upgrade right included with each iPhone to $10. Beginning with initial sales of iPad in April 2010, the Company’s </w:t>
      </w:r>
      <w:r w:rsidRPr="0069293B">
        <w:rPr>
          <w:rFonts w:ascii="Times New Roman" w:eastAsia="Times New Roman" w:hAnsi="Times New Roman" w:cs="Times New Roman"/>
          <w:color w:val="000000"/>
          <w:sz w:val="20"/>
          <w:szCs w:val="20"/>
          <w:highlight w:val="yellow"/>
        </w:rPr>
        <w:lastRenderedPageBreak/>
        <w:t>ESP for the embedded software upgrade right included with the sale of each iPad is $10, and the Company’s ESP for the embedded software upgrade right included with each iPod touch sold beginning in June 2010 is $5.</w:t>
      </w:r>
    </w:p>
    <w:p w:rsidR="00BF5C74" w:rsidRPr="00BF5C74" w:rsidRDefault="00BF5C74" w:rsidP="002908E1">
      <w:pPr>
        <w:shd w:val="clear" w:color="auto" w:fill="FFFFFF"/>
        <w:spacing w:before="180" w:after="0" w:line="240" w:lineRule="auto"/>
        <w:rPr>
          <w:rFonts w:ascii="Times New Roman" w:eastAsia="Times New Roman" w:hAnsi="Times New Roman" w:cs="Times New Roman"/>
          <w:color w:val="000000"/>
          <w:sz w:val="27"/>
          <w:szCs w:val="27"/>
        </w:rPr>
      </w:pPr>
      <w:r w:rsidRPr="0069293B">
        <w:rPr>
          <w:rFonts w:ascii="Times New Roman" w:eastAsia="Times New Roman" w:hAnsi="Times New Roman" w:cs="Times New Roman"/>
          <w:color w:val="000000"/>
          <w:sz w:val="20"/>
          <w:szCs w:val="20"/>
          <w:highlight w:val="yellow"/>
        </w:rPr>
        <w:t>The Company accounts for multiple element arrangements that consist only of software or software-</w:t>
      </w:r>
      <w:r w:rsidRPr="002908E1">
        <w:rPr>
          <w:rFonts w:ascii="Times New Roman" w:eastAsia="Times New Roman" w:hAnsi="Times New Roman" w:cs="Times New Roman"/>
          <w:color w:val="000000"/>
          <w:sz w:val="20"/>
          <w:szCs w:val="20"/>
          <w:highlight w:val="yellow"/>
        </w:rPr>
        <w:t>related products, including the sale of upgrades to previously sold software, in accordance with industry specific</w:t>
      </w:r>
      <w:r w:rsidR="002908E1" w:rsidRPr="002908E1">
        <w:rPr>
          <w:rFonts w:ascii="Times New Roman" w:eastAsia="Times New Roman" w:hAnsi="Times New Roman" w:cs="Times New Roman"/>
          <w:color w:val="000000"/>
          <w:sz w:val="27"/>
          <w:szCs w:val="27"/>
          <w:highlight w:val="yellow"/>
        </w:rPr>
        <w:t xml:space="preserve"> </w:t>
      </w:r>
      <w:r w:rsidRPr="002908E1">
        <w:rPr>
          <w:rFonts w:ascii="Times New Roman" w:eastAsia="Times New Roman" w:hAnsi="Times New Roman" w:cs="Times New Roman"/>
          <w:color w:val="000000"/>
          <w:sz w:val="20"/>
          <w:szCs w:val="20"/>
          <w:highlight w:val="yellow"/>
        </w:rPr>
        <w:t xml:space="preserve">software accounting guidance. For such transactions, revenue on arrangements that include multiple elements is allocated to each element based on the relative fair value of each element, and fair value is determined by VSOE. If the Company cannot objectively determine the fair value of any undelivered element included in such multiple-element arrangements, the Company defers revenue until all elements are delivered and services have been performed, or until fair value can objectively be determined for any remaining undelivered elements. Beginning in July 2011, the sale of certain upgrades to Mac OS X and Mac versions of </w:t>
      </w:r>
      <w:proofErr w:type="spellStart"/>
      <w:r w:rsidRPr="002908E1">
        <w:rPr>
          <w:rFonts w:ascii="Times New Roman" w:eastAsia="Times New Roman" w:hAnsi="Times New Roman" w:cs="Times New Roman"/>
          <w:color w:val="000000"/>
          <w:sz w:val="20"/>
          <w:szCs w:val="20"/>
          <w:highlight w:val="yellow"/>
        </w:rPr>
        <w:t>iLife</w:t>
      </w:r>
      <w:proofErr w:type="spellEnd"/>
      <w:r w:rsidRPr="002908E1">
        <w:rPr>
          <w:rFonts w:ascii="Times New Roman" w:eastAsia="Times New Roman" w:hAnsi="Times New Roman" w:cs="Times New Roman"/>
          <w:color w:val="000000"/>
          <w:sz w:val="20"/>
          <w:szCs w:val="20"/>
          <w:highlight w:val="yellow"/>
        </w:rPr>
        <w:t xml:space="preserve"> include when-and-if-available upgrade rights for which the Company does not have VSOE. Therefore, beginning in July 2011 the Company defers all revenue from the sale of upgrades to the Mac OS and Mac versions of </w:t>
      </w:r>
      <w:proofErr w:type="spellStart"/>
      <w:r w:rsidRPr="002908E1">
        <w:rPr>
          <w:rFonts w:ascii="Times New Roman" w:eastAsia="Times New Roman" w:hAnsi="Times New Roman" w:cs="Times New Roman"/>
          <w:color w:val="000000"/>
          <w:sz w:val="20"/>
          <w:szCs w:val="20"/>
          <w:highlight w:val="yellow"/>
        </w:rPr>
        <w:t>iLife</w:t>
      </w:r>
      <w:proofErr w:type="spellEnd"/>
      <w:r w:rsidRPr="002908E1">
        <w:rPr>
          <w:rFonts w:ascii="Times New Roman" w:eastAsia="Times New Roman" w:hAnsi="Times New Roman" w:cs="Times New Roman"/>
          <w:color w:val="000000"/>
          <w:sz w:val="20"/>
          <w:szCs w:val="20"/>
          <w:highlight w:val="yellow"/>
        </w:rPr>
        <w:t xml:space="preserve"> and recognizes it ratably over 36 months.</w:t>
      </w:r>
    </w:p>
    <w:p w:rsidR="006D6435" w:rsidRDefault="006D6435" w:rsidP="006D6435">
      <w:pPr>
        <w:rPr>
          <w:rFonts w:ascii="Times New Roman" w:eastAsia="Times New Roman" w:hAnsi="Times New Roman" w:cs="Times New Roman"/>
          <w:b/>
          <w:bCs/>
          <w:color w:val="000000"/>
          <w:sz w:val="20"/>
          <w:szCs w:val="20"/>
        </w:rPr>
      </w:pPr>
    </w:p>
    <w:p w:rsidR="00BF5C74" w:rsidRPr="00BF5C74" w:rsidRDefault="00BF5C74" w:rsidP="006D6435">
      <w:pPr>
        <w:rPr>
          <w:rFonts w:ascii="Times New Roman" w:eastAsia="Times New Roman" w:hAnsi="Times New Roman" w:cs="Times New Roman"/>
          <w:color w:val="000000"/>
          <w:sz w:val="27"/>
          <w:szCs w:val="27"/>
        </w:rPr>
      </w:pPr>
      <w:bookmarkStart w:id="0" w:name="_GoBack"/>
      <w:bookmarkEnd w:id="0"/>
      <w:r w:rsidRPr="00BF5C74">
        <w:rPr>
          <w:rFonts w:ascii="Times New Roman" w:eastAsia="Times New Roman" w:hAnsi="Times New Roman" w:cs="Times New Roman"/>
          <w:b/>
          <w:bCs/>
          <w:color w:val="000000"/>
          <w:sz w:val="20"/>
          <w:szCs w:val="20"/>
        </w:rPr>
        <w:t>Shipping Costs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For all periods presented, amounts billed to customers related to shipping and handling are classified as revenue, and the Company’s shipping and handling costs are included in cost of sales.</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Warranty Expense</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generally provides for the estimated cost of hardware and software warranties at the time the related revenue is recognized. The Company assesses the adequacy of its pre-existing warranty liabilities and adjusts the amounts as necessary based on actual experience and changes in future estimates.</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Software Development Costs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Research and development costs are expensed as incurred. Development costs of computer software to be sold, leased, or otherwise marketed are subject to capitalization beginning when a product’s technological feasibility has been established and ending when a product is available for general release to customers. In most instances, the Company’s products are released soon after technological feasibility has been established. Therefore, costs incurred subsequent to achievement of technological feasibility are usually not significant, and generally most software development costs have been expensed as incurred.</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did not capitalize any software development costs during 2011 and 2010. In 2009, the Company capitalized $71 million of costs associated with the development of Mac OS X Version 10.6 Snow Leopard (“Mac OS X Snow Leopard”), which was released during the fourth quarter of 2009. The capitalized costs are being amortized to cost of sales on a straight-line basis over a three year estimated useful life of the underlying technology.</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Total amortization related to capitalized software development costs was $30 million, $48 million and $25 million in 2011, 2010 and 2009, respectively.</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Advertising Costs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Advertising costs are expensed as incurred. Advertising expense was $933 million, $691 million and $501 million for 2011, 2010 and 2009, respectively.</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Share-based Compensation</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recognizes expense related to share-based payment transactions in which it receives employee services in exchange for (a) equity instruments of the Company or (b) liabilities that are based on the fair value of the enterprise’s equity instruments or that may be settled by the issuance of such equity instruments. Share-based compensation cost for restricted stock units (“RSUs”) is measured based on the closing fair market value of the Company’s common stock on the date of grant. Share-based compensation cost for stock options is estimated at the grant date based on each option’s fair-value as calculated by the Black-Scholes-Merton (“BSM”) option-pricing model. The Company recognizes share-based compensation cost as expense ratably on a straight-line</w: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15"/>
          <w:szCs w:val="15"/>
        </w:rPr>
        <w:lastRenderedPageBreak/>
        <w:t> </w:t>
      </w:r>
    </w:p>
    <w:p w:rsidR="00BF5C74" w:rsidRPr="00BF5C74" w:rsidRDefault="00BF5C74" w:rsidP="00BF5C74">
      <w:pPr>
        <w:shd w:val="clear" w:color="auto" w:fill="FFFFFF"/>
        <w:spacing w:after="0" w:line="240" w:lineRule="auto"/>
        <w:jc w:val="center"/>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50</w:t>
      </w:r>
    </w:p>
    <w:p w:rsidR="00BF5C74" w:rsidRPr="00BF5C74" w:rsidRDefault="006D6435" w:rsidP="00BF5C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2.25pt" o:hralign="center" o:hrstd="t" o:hrnoshade="t" o:hr="t" fillcolor="#999" stroked="f"/>
        </w:pic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proofErr w:type="gramStart"/>
      <w:r w:rsidRPr="00BF5C74">
        <w:rPr>
          <w:rFonts w:ascii="Times New Roman" w:eastAsia="Times New Roman" w:hAnsi="Times New Roman" w:cs="Times New Roman"/>
          <w:color w:val="000000"/>
          <w:sz w:val="20"/>
          <w:szCs w:val="20"/>
        </w:rPr>
        <w:t>basis</w:t>
      </w:r>
      <w:proofErr w:type="gramEnd"/>
      <w:r w:rsidRPr="00BF5C74">
        <w:rPr>
          <w:rFonts w:ascii="Times New Roman" w:eastAsia="Times New Roman" w:hAnsi="Times New Roman" w:cs="Times New Roman"/>
          <w:color w:val="000000"/>
          <w:sz w:val="20"/>
          <w:szCs w:val="20"/>
        </w:rPr>
        <w:t xml:space="preserve"> over the requisite service period. The Company recognizes a benefit from share-based compensation in the Consolidated Statements of Shareholders’ Equity if an incremental tax benefit is realized. In addition, the Company recognizes the indirect effects of share-based compensation on research and development tax credits, foreign tax credits and domestic manufacturing deductions in the Consolidated Statements of Operations. Further information regarding share-based compensation can be found in Note 6, “Shareholders’ Equity and Share-based Compensation” of this Form 10-K.</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Income Taxes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provision for income taxes is computed using the asset and liability method, under which deferred tax assets and liabilities are recognized for the expected future tax consequences of temporary differences between the financial reporting and tax bases of assets and liabilities, and for operating losses and tax credit carryforwards. Deferred tax assets and liabilities are measured using the currently enacted tax rates that apply to taxable income in effect for the years in which those tax assets are expected to be realized or settled. The Company records a valuation allowance to reduce deferred tax assets to the amount that is believed more likely than not to be realized.</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recognizes the tax benefit from an uncertain tax position only if it is more likely than not the tax position will be sustained on examination by the taxing authorities, based on the technical merits of the position. The tax benefits recognized in the financial statements from such positions are then measured based on the largest benefit that has a greater than 50% likelihood of being realized upon settlement. See Note 5, “Income Taxes” of this Form 10-K for additional information.</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 xml:space="preserve">Earnings </w:t>
      </w:r>
      <w:proofErr w:type="gramStart"/>
      <w:r w:rsidRPr="00BF5C74">
        <w:rPr>
          <w:rFonts w:ascii="Times New Roman" w:eastAsia="Times New Roman" w:hAnsi="Times New Roman" w:cs="Times New Roman"/>
          <w:b/>
          <w:bCs/>
          <w:color w:val="000000"/>
          <w:sz w:val="20"/>
          <w:szCs w:val="20"/>
        </w:rPr>
        <w:t>Per</w:t>
      </w:r>
      <w:proofErr w:type="gramEnd"/>
      <w:r w:rsidRPr="00BF5C74">
        <w:rPr>
          <w:rFonts w:ascii="Times New Roman" w:eastAsia="Times New Roman" w:hAnsi="Times New Roman" w:cs="Times New Roman"/>
          <w:b/>
          <w:bCs/>
          <w:color w:val="000000"/>
          <w:sz w:val="20"/>
          <w:szCs w:val="20"/>
        </w:rPr>
        <w:t xml:space="preserve"> Common Share</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proofErr w:type="gramStart"/>
      <w:r w:rsidRPr="00BF5C74">
        <w:rPr>
          <w:rFonts w:ascii="Times New Roman" w:eastAsia="Times New Roman" w:hAnsi="Times New Roman" w:cs="Times New Roman"/>
          <w:color w:val="000000"/>
          <w:sz w:val="20"/>
          <w:szCs w:val="20"/>
        </w:rPr>
        <w:t>Basic earnings per common share is</w:t>
      </w:r>
      <w:proofErr w:type="gramEnd"/>
      <w:r w:rsidRPr="00BF5C74">
        <w:rPr>
          <w:rFonts w:ascii="Times New Roman" w:eastAsia="Times New Roman" w:hAnsi="Times New Roman" w:cs="Times New Roman"/>
          <w:color w:val="000000"/>
          <w:sz w:val="20"/>
          <w:szCs w:val="20"/>
        </w:rPr>
        <w:t xml:space="preserve"> computed by dividing income available to common shareholders by the weighted-average number of shares of common stock outstanding during the period. Diluted earnings per common share is computed by dividing income available to common shareholders by the weighted-average number of shares of common stock outstanding during the period increased to include the number of additional shares of common stock that would have been outstanding if the potentially dilutive securities had been issued. Potentially dilutive securities include outstanding stock options, shares to be purchased under the employee stock purchase plan and unvested RSUs. The dilutive effect of potentially dilutive securities is reflected in diluted earnings per common share by application of the treasury stock method. Under the treasury stock method, an increase in the fair market value of the Company’s common stock can result in a greater dilutive effect from potentially dilutive securities.</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following table sets forth the computation of basic and diluted earnings per common share for the three years ended September 24, 2011 (in thousands, except net income in millions and per share amounts):</w: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18"/>
          <w:szCs w:val="18"/>
        </w:rPr>
      </w:pPr>
      <w:r w:rsidRPr="00BF5C74">
        <w:rPr>
          <w:rFonts w:ascii="Times New Roman" w:eastAsia="Times New Roman" w:hAnsi="Times New Roman" w:cs="Times New Roman"/>
          <w:color w:val="000000"/>
          <w:sz w:val="18"/>
          <w:szCs w:val="18"/>
        </w:rPr>
        <w:t> </w:t>
      </w:r>
    </w:p>
    <w:tbl>
      <w:tblPr>
        <w:tblW w:w="5000" w:type="pct"/>
        <w:jc w:val="center"/>
        <w:shd w:val="clear" w:color="auto" w:fill="FFFFFF"/>
        <w:tblCellMar>
          <w:left w:w="0" w:type="dxa"/>
          <w:right w:w="0" w:type="dxa"/>
        </w:tblCellMar>
        <w:tblLook w:val="04A0" w:firstRow="1" w:lastRow="0" w:firstColumn="1" w:lastColumn="0" w:noHBand="0" w:noVBand="1"/>
      </w:tblPr>
      <w:tblGrid>
        <w:gridCol w:w="5621"/>
        <w:gridCol w:w="396"/>
        <w:gridCol w:w="100"/>
        <w:gridCol w:w="650"/>
        <w:gridCol w:w="100"/>
        <w:gridCol w:w="396"/>
        <w:gridCol w:w="100"/>
        <w:gridCol w:w="650"/>
        <w:gridCol w:w="100"/>
        <w:gridCol w:w="397"/>
        <w:gridCol w:w="100"/>
        <w:gridCol w:w="650"/>
        <w:gridCol w:w="100"/>
      </w:tblGrid>
      <w:tr w:rsidR="00BF5C74" w:rsidRPr="00BF5C74" w:rsidTr="00BF5C74">
        <w:trPr>
          <w:jc w:val="center"/>
        </w:trPr>
        <w:tc>
          <w:tcPr>
            <w:tcW w:w="3550" w:type="pct"/>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250" w:type="pct"/>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250" w:type="pct"/>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250" w:type="pct"/>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4"/>
                <w:szCs w:val="24"/>
              </w:rPr>
            </w:pPr>
          </w:p>
        </w:tc>
      </w:tr>
      <w:tr w:rsidR="00BF5C74" w:rsidRPr="00BF5C74" w:rsidTr="00BF5C74">
        <w:trPr>
          <w:jc w:val="center"/>
        </w:trPr>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gridSpan w:val="2"/>
            <w:tcBorders>
              <w:bottom w:val="single" w:sz="6" w:space="0" w:color="000000"/>
            </w:tcBorders>
            <w:shd w:val="clear" w:color="auto" w:fill="FFFFFF"/>
            <w:vAlign w:val="bottom"/>
            <w:hideMark/>
          </w:tcPr>
          <w:p w:rsidR="00BF5C74" w:rsidRPr="00BF5C74" w:rsidRDefault="00BF5C74" w:rsidP="00BF5C74">
            <w:pPr>
              <w:spacing w:after="0" w:line="240" w:lineRule="auto"/>
              <w:jc w:val="center"/>
              <w:rPr>
                <w:rFonts w:ascii="Times New Roman" w:eastAsia="Times New Roman" w:hAnsi="Times New Roman" w:cs="Times New Roman"/>
                <w:sz w:val="24"/>
                <w:szCs w:val="24"/>
              </w:rPr>
            </w:pPr>
            <w:r w:rsidRPr="00BF5C74">
              <w:rPr>
                <w:rFonts w:ascii="Times New Roman" w:eastAsia="Times New Roman" w:hAnsi="Times New Roman" w:cs="Times New Roman"/>
                <w:b/>
                <w:bCs/>
                <w:sz w:val="15"/>
                <w:szCs w:val="15"/>
              </w:rPr>
              <w:t>2011</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gridSpan w:val="2"/>
            <w:tcBorders>
              <w:bottom w:val="single" w:sz="6" w:space="0" w:color="000000"/>
            </w:tcBorders>
            <w:shd w:val="clear" w:color="auto" w:fill="FFFFFF"/>
            <w:vAlign w:val="bottom"/>
            <w:hideMark/>
          </w:tcPr>
          <w:p w:rsidR="00BF5C74" w:rsidRPr="00BF5C74" w:rsidRDefault="00BF5C74" w:rsidP="00BF5C74">
            <w:pPr>
              <w:spacing w:after="0" w:line="240" w:lineRule="auto"/>
              <w:jc w:val="center"/>
              <w:rPr>
                <w:rFonts w:ascii="Times New Roman" w:eastAsia="Times New Roman" w:hAnsi="Times New Roman" w:cs="Times New Roman"/>
                <w:sz w:val="24"/>
                <w:szCs w:val="24"/>
              </w:rPr>
            </w:pPr>
            <w:r w:rsidRPr="00BF5C74">
              <w:rPr>
                <w:rFonts w:ascii="Times New Roman" w:eastAsia="Times New Roman" w:hAnsi="Times New Roman" w:cs="Times New Roman"/>
                <w:b/>
                <w:bCs/>
                <w:sz w:val="15"/>
                <w:szCs w:val="15"/>
              </w:rPr>
              <w:t>2010</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gridSpan w:val="2"/>
            <w:tcBorders>
              <w:bottom w:val="single" w:sz="6" w:space="0" w:color="000000"/>
            </w:tcBorders>
            <w:shd w:val="clear" w:color="auto" w:fill="FFFFFF"/>
            <w:vAlign w:val="bottom"/>
            <w:hideMark/>
          </w:tcPr>
          <w:p w:rsidR="00BF5C74" w:rsidRPr="00BF5C74" w:rsidRDefault="00BF5C74" w:rsidP="00BF5C74">
            <w:pPr>
              <w:spacing w:after="0" w:line="240" w:lineRule="auto"/>
              <w:jc w:val="center"/>
              <w:rPr>
                <w:rFonts w:ascii="Times New Roman" w:eastAsia="Times New Roman" w:hAnsi="Times New Roman" w:cs="Times New Roman"/>
                <w:sz w:val="24"/>
                <w:szCs w:val="24"/>
              </w:rPr>
            </w:pPr>
            <w:r w:rsidRPr="00BF5C74">
              <w:rPr>
                <w:rFonts w:ascii="Times New Roman" w:eastAsia="Times New Roman" w:hAnsi="Times New Roman" w:cs="Times New Roman"/>
                <w:b/>
                <w:bCs/>
                <w:sz w:val="15"/>
                <w:szCs w:val="15"/>
              </w:rPr>
              <w:t>2009</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r>
      <w:tr w:rsidR="00BF5C74" w:rsidRPr="00BF5C74" w:rsidTr="00BF5C74">
        <w:trPr>
          <w:jc w:val="center"/>
        </w:trPr>
        <w:tc>
          <w:tcPr>
            <w:tcW w:w="0" w:type="auto"/>
            <w:shd w:val="clear" w:color="auto" w:fill="CCEEFF"/>
            <w:hideMark/>
          </w:tcPr>
          <w:p w:rsidR="00BF5C74" w:rsidRPr="00BF5C74" w:rsidRDefault="00BF5C74" w:rsidP="00BF5C74">
            <w:pPr>
              <w:spacing w:before="100" w:beforeAutospacing="1" w:after="100" w:afterAutospacing="1" w:line="240" w:lineRule="auto"/>
              <w:ind w:left="24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Numerator:</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r>
      <w:tr w:rsidR="00BF5C74" w:rsidRPr="00BF5C74" w:rsidTr="00BF5C74">
        <w:trPr>
          <w:jc w:val="center"/>
        </w:trPr>
        <w:tc>
          <w:tcPr>
            <w:tcW w:w="0" w:type="auto"/>
            <w:shd w:val="clear" w:color="auto" w:fill="FFFFFF"/>
            <w:hideMark/>
          </w:tcPr>
          <w:p w:rsidR="00BF5C74" w:rsidRPr="00BF5C74" w:rsidRDefault="00BF5C74" w:rsidP="00BF5C74">
            <w:pPr>
              <w:spacing w:before="100" w:beforeAutospacing="1" w:after="100" w:afterAutospacing="1" w:line="240" w:lineRule="auto"/>
              <w:ind w:left="72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Net income</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25,922</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14,013</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8,235</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r>
      <w:tr w:rsidR="00BF5C74" w:rsidRPr="00BF5C74" w:rsidTr="00BF5C74">
        <w:trPr>
          <w:jc w:val="center"/>
        </w:trPr>
        <w:tc>
          <w:tcPr>
            <w:tcW w:w="0" w:type="auto"/>
            <w:shd w:val="clear" w:color="auto" w:fill="CCEEFF"/>
            <w:hideMark/>
          </w:tcPr>
          <w:p w:rsidR="00BF5C74" w:rsidRPr="00BF5C74" w:rsidRDefault="00BF5C74" w:rsidP="00BF5C74">
            <w:pPr>
              <w:spacing w:before="100" w:beforeAutospacing="1" w:after="100" w:afterAutospacing="1" w:line="240" w:lineRule="auto"/>
              <w:ind w:left="24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Denominator:</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p>
        </w:tc>
      </w:tr>
      <w:tr w:rsidR="00BF5C74" w:rsidRPr="00BF5C74" w:rsidTr="00BF5C74">
        <w:trPr>
          <w:jc w:val="center"/>
        </w:trPr>
        <w:tc>
          <w:tcPr>
            <w:tcW w:w="0" w:type="auto"/>
            <w:shd w:val="clear" w:color="auto" w:fill="FFFFFF"/>
            <w:hideMark/>
          </w:tcPr>
          <w:p w:rsidR="00BF5C74" w:rsidRPr="00BF5C74" w:rsidRDefault="00BF5C74" w:rsidP="00BF5C74">
            <w:pPr>
              <w:spacing w:before="100" w:beforeAutospacing="1" w:after="100" w:afterAutospacing="1" w:line="240" w:lineRule="auto"/>
              <w:ind w:left="72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Weighted-average shares outstanding</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924,258</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909,461</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893,016</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r>
      <w:tr w:rsidR="00BF5C74" w:rsidRPr="00BF5C74" w:rsidTr="00BF5C74">
        <w:trPr>
          <w:jc w:val="center"/>
        </w:trPr>
        <w:tc>
          <w:tcPr>
            <w:tcW w:w="0" w:type="auto"/>
            <w:shd w:val="clear" w:color="auto" w:fill="CCEEFF"/>
            <w:hideMark/>
          </w:tcPr>
          <w:p w:rsidR="00BF5C74" w:rsidRPr="00BF5C74" w:rsidRDefault="00BF5C74" w:rsidP="00BF5C74">
            <w:pPr>
              <w:spacing w:before="100" w:beforeAutospacing="1" w:after="100" w:afterAutospacing="1" w:line="240" w:lineRule="auto"/>
              <w:ind w:left="72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Effect of dilutive securities</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CCEE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12,387</w:t>
            </w:r>
          </w:p>
        </w:tc>
        <w:tc>
          <w:tcPr>
            <w:tcW w:w="0" w:type="auto"/>
            <w:shd w:val="clear" w:color="auto" w:fill="CCEE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CCEE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15,251</w:t>
            </w:r>
          </w:p>
        </w:tc>
        <w:tc>
          <w:tcPr>
            <w:tcW w:w="0" w:type="auto"/>
            <w:shd w:val="clear" w:color="auto" w:fill="CCEE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CCEE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13,989</w:t>
            </w:r>
          </w:p>
        </w:tc>
        <w:tc>
          <w:tcPr>
            <w:tcW w:w="0" w:type="auto"/>
            <w:shd w:val="clear" w:color="auto" w:fill="CCEE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r>
      <w:tr w:rsidR="00BF5C74" w:rsidRPr="00BF5C74" w:rsidTr="00BF5C74">
        <w:trPr>
          <w:jc w:val="center"/>
        </w:trPr>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sing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sing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sing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sing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sing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sing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r>
      <w:tr w:rsidR="00BF5C74" w:rsidRPr="00BF5C74" w:rsidTr="00BF5C74">
        <w:trPr>
          <w:jc w:val="center"/>
        </w:trPr>
        <w:tc>
          <w:tcPr>
            <w:tcW w:w="0" w:type="auto"/>
            <w:shd w:val="clear" w:color="auto" w:fill="FFFFFF"/>
            <w:hideMark/>
          </w:tcPr>
          <w:p w:rsidR="00BF5C74" w:rsidRPr="00BF5C74" w:rsidRDefault="00BF5C74" w:rsidP="00BF5C74">
            <w:pPr>
              <w:spacing w:before="100" w:beforeAutospacing="1" w:after="100" w:afterAutospacing="1" w:line="240" w:lineRule="auto"/>
              <w:ind w:left="72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Weighted-average diluted shares</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936,645</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924,712</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907,005</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r>
      <w:tr w:rsidR="00BF5C74" w:rsidRPr="00BF5C74" w:rsidTr="00BF5C74">
        <w:trPr>
          <w:jc w:val="center"/>
        </w:trPr>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doub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doub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doub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doub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doub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bottom"/>
            <w:hideMark/>
          </w:tcPr>
          <w:p w:rsidR="00BF5C74" w:rsidRPr="00BF5C74" w:rsidRDefault="00BF5C74" w:rsidP="00BF5C74">
            <w:pPr>
              <w:pBdr>
                <w:top w:val="double" w:sz="6" w:space="0" w:color="000000"/>
              </w:pBdr>
              <w:spacing w:before="100" w:beforeAutospacing="1" w:after="100" w:afterAutospacing="1"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2"/>
                <w:szCs w:val="2"/>
              </w:rPr>
            </w:pPr>
            <w:r w:rsidRPr="00BF5C74">
              <w:rPr>
                <w:rFonts w:ascii="Times New Roman" w:eastAsia="Times New Roman" w:hAnsi="Times New Roman" w:cs="Times New Roman"/>
                <w:sz w:val="2"/>
                <w:szCs w:val="2"/>
              </w:rPr>
              <w:t> </w:t>
            </w:r>
          </w:p>
        </w:tc>
      </w:tr>
      <w:tr w:rsidR="00BF5C74" w:rsidRPr="00BF5C74" w:rsidTr="00BF5C74">
        <w:trPr>
          <w:jc w:val="center"/>
        </w:trPr>
        <w:tc>
          <w:tcPr>
            <w:tcW w:w="0" w:type="auto"/>
            <w:shd w:val="clear" w:color="auto" w:fill="CCEEFF"/>
            <w:hideMark/>
          </w:tcPr>
          <w:p w:rsidR="00BF5C74" w:rsidRPr="00BF5C74" w:rsidRDefault="00BF5C74" w:rsidP="00BF5C74">
            <w:pPr>
              <w:spacing w:before="100" w:beforeAutospacing="1" w:after="100" w:afterAutospacing="1" w:line="240" w:lineRule="auto"/>
              <w:ind w:left="24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Basic earnings per common share</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CCEE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28.05</w:t>
            </w:r>
          </w:p>
        </w:tc>
        <w:tc>
          <w:tcPr>
            <w:tcW w:w="0" w:type="auto"/>
            <w:shd w:val="clear" w:color="auto" w:fill="CCEE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CCEE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15.41</w:t>
            </w:r>
          </w:p>
        </w:tc>
        <w:tc>
          <w:tcPr>
            <w:tcW w:w="0" w:type="auto"/>
            <w:shd w:val="clear" w:color="auto" w:fill="CCEE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CCEE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CCEE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9.22</w:t>
            </w:r>
          </w:p>
        </w:tc>
        <w:tc>
          <w:tcPr>
            <w:tcW w:w="0" w:type="auto"/>
            <w:shd w:val="clear" w:color="auto" w:fill="CCEE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r>
      <w:tr w:rsidR="00BF5C74" w:rsidRPr="00BF5C74" w:rsidTr="00BF5C74">
        <w:trPr>
          <w:trHeight w:val="75"/>
          <w:jc w:val="center"/>
        </w:trPr>
        <w:tc>
          <w:tcPr>
            <w:tcW w:w="0" w:type="auto"/>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8"/>
                <w:szCs w:val="24"/>
              </w:rPr>
            </w:pPr>
          </w:p>
        </w:tc>
        <w:tc>
          <w:tcPr>
            <w:tcW w:w="0" w:type="auto"/>
            <w:gridSpan w:val="4"/>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8"/>
                <w:szCs w:val="24"/>
              </w:rPr>
            </w:pPr>
          </w:p>
        </w:tc>
        <w:tc>
          <w:tcPr>
            <w:tcW w:w="0" w:type="auto"/>
            <w:gridSpan w:val="4"/>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8"/>
                <w:szCs w:val="24"/>
              </w:rPr>
            </w:pPr>
          </w:p>
        </w:tc>
        <w:tc>
          <w:tcPr>
            <w:tcW w:w="0" w:type="auto"/>
            <w:gridSpan w:val="4"/>
            <w:shd w:val="clear" w:color="auto" w:fill="FFFFFF"/>
            <w:vAlign w:val="center"/>
            <w:hideMark/>
          </w:tcPr>
          <w:p w:rsidR="00BF5C74" w:rsidRPr="00BF5C74" w:rsidRDefault="00BF5C74" w:rsidP="00BF5C74">
            <w:pPr>
              <w:spacing w:after="0" w:line="240" w:lineRule="auto"/>
              <w:rPr>
                <w:rFonts w:ascii="Times New Roman" w:eastAsia="Times New Roman" w:hAnsi="Times New Roman" w:cs="Times New Roman"/>
                <w:sz w:val="8"/>
                <w:szCs w:val="24"/>
              </w:rPr>
            </w:pPr>
          </w:p>
        </w:tc>
      </w:tr>
      <w:tr w:rsidR="00BF5C74" w:rsidRPr="00BF5C74" w:rsidTr="00BF5C74">
        <w:trPr>
          <w:jc w:val="center"/>
        </w:trPr>
        <w:tc>
          <w:tcPr>
            <w:tcW w:w="0" w:type="auto"/>
            <w:shd w:val="clear" w:color="auto" w:fill="FFFFFF"/>
            <w:hideMark/>
          </w:tcPr>
          <w:p w:rsidR="00BF5C74" w:rsidRPr="00BF5C74" w:rsidRDefault="00BF5C74" w:rsidP="00BF5C74">
            <w:pPr>
              <w:spacing w:before="100" w:beforeAutospacing="1" w:after="100" w:afterAutospacing="1" w:line="240" w:lineRule="auto"/>
              <w:ind w:left="240" w:hanging="240"/>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Diluted earnings per common share</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27.68</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15.15</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15"/>
                <w:szCs w:val="15"/>
              </w:rPr>
              <w:t>  </w:t>
            </w:r>
          </w:p>
        </w:tc>
        <w:tc>
          <w:tcPr>
            <w:tcW w:w="0" w:type="auto"/>
            <w:shd w:val="clear" w:color="auto" w:fill="FFFFFF"/>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w:t>
            </w:r>
          </w:p>
        </w:tc>
        <w:tc>
          <w:tcPr>
            <w:tcW w:w="0" w:type="auto"/>
            <w:shd w:val="clear" w:color="auto" w:fill="FFFFFF"/>
            <w:vAlign w:val="bottom"/>
            <w:hideMark/>
          </w:tcPr>
          <w:p w:rsidR="00BF5C74" w:rsidRPr="00BF5C74" w:rsidRDefault="00BF5C74" w:rsidP="00BF5C74">
            <w:pPr>
              <w:spacing w:after="0" w:line="240" w:lineRule="auto"/>
              <w:jc w:val="right"/>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9.08</w:t>
            </w:r>
          </w:p>
        </w:tc>
        <w:tc>
          <w:tcPr>
            <w:tcW w:w="0" w:type="auto"/>
            <w:shd w:val="clear" w:color="auto" w:fill="FFFFFF"/>
            <w:noWrap/>
            <w:vAlign w:val="bottom"/>
            <w:hideMark/>
          </w:tcPr>
          <w:p w:rsidR="00BF5C74" w:rsidRPr="00BF5C74" w:rsidRDefault="00BF5C74" w:rsidP="00BF5C74">
            <w:pPr>
              <w:spacing w:after="0" w:line="240" w:lineRule="auto"/>
              <w:rPr>
                <w:rFonts w:ascii="Times New Roman" w:eastAsia="Times New Roman" w:hAnsi="Times New Roman" w:cs="Times New Roman"/>
                <w:sz w:val="24"/>
                <w:szCs w:val="24"/>
              </w:rPr>
            </w:pPr>
            <w:r w:rsidRPr="00BF5C74">
              <w:rPr>
                <w:rFonts w:ascii="Times New Roman" w:eastAsia="Times New Roman" w:hAnsi="Times New Roman" w:cs="Times New Roman"/>
                <w:sz w:val="20"/>
                <w:szCs w:val="20"/>
              </w:rPr>
              <w:t>  </w:t>
            </w:r>
          </w:p>
        </w:tc>
      </w:tr>
    </w:tbl>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Potentially dilutive securities representing 1.7 million, 1.6 million and 12.6 million shares of common stock for 2011, 2010 and 2009, respectively, were excluded from the computation of diluted earnings per common share for these periods because their effect would have been antidilutive.</w: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15"/>
          <w:szCs w:val="15"/>
        </w:rPr>
        <w:t> </w:t>
      </w:r>
    </w:p>
    <w:p w:rsidR="00BF5C74" w:rsidRPr="00BF5C74" w:rsidRDefault="00BF5C74" w:rsidP="00BF5C74">
      <w:pPr>
        <w:shd w:val="clear" w:color="auto" w:fill="FFFFFF"/>
        <w:spacing w:after="0" w:line="240" w:lineRule="auto"/>
        <w:jc w:val="center"/>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51</w:t>
      </w:r>
    </w:p>
    <w:p w:rsidR="00BF5C74" w:rsidRPr="00BF5C74" w:rsidRDefault="006D6435" w:rsidP="00BF5C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2.25pt" o:hralign="center" o:hrstd="t" o:hrnoshade="t" o:hr="t" fillcolor="#999" stroked="f"/>
        </w:pic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Financial Instruments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i/>
          <w:iCs/>
          <w:color w:val="000000"/>
          <w:sz w:val="20"/>
          <w:szCs w:val="20"/>
        </w:rPr>
        <w:lastRenderedPageBreak/>
        <w:t>Cash Equivalents and Marketable Securities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All highly liquid investments with maturities of three months or less at the date of purchase are classified as cash equivalents. The Company’s marketable debt and equity securities have been classified and accounted for as available-for-sale. Management determines the appropriate classification of its investments at the time of purchase and reevaluates the designations at each balance sheet date. The Company classifies its marketable debt securities as either short-term or long-term based on each instrument’s underlying contractual maturity date. Marketable debt securities with maturities of 12 months or less are classified as short-term and marketable debt securities with maturities greater than 12 months are classified as long-term. The Company classifies its marketable equity securities, including mutual funds, as either short-term or long-term based on the nature of each security and its availability for use in current operations. The Company’s marketable debt and equity securities are carried at fair value, with the unrealized gains and losses, net of taxes, reported as a component of shareholders’ equity. The cost of securities sold is based upon the specific identification method.</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i/>
          <w:iCs/>
          <w:color w:val="000000"/>
          <w:sz w:val="20"/>
          <w:szCs w:val="20"/>
        </w:rPr>
        <w:t>Derivative Financial Instruments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accounts for its derivative instruments as either assets or liabilities and carries them at fair value.</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For derivative instruments that hedge the exposure to variability in expected future cash flows that are designated as cash flow hedges, the effective portion of the gain or loss on the derivative instrument is reported as a component of accumulated other comprehensive income (“AOCI”) in shareholders’ equity and reclassified into income in the same period or periods during which the hedged transaction affects earnings. The ineffective portion of the gain or loss on the derivative instrument, if any, is recognized in current income. To receive hedge accounting treatment, cash flow hedges must be highly effective in offsetting changes to expected future cash flows on hedged transactions. For options designated as cash flow hedges, changes in the time value are excluded from the assessment of hedge effectiveness and are recognized in income. For derivative instruments that hedge the exposure to changes in the fair value of an asset or a liability and that are designated as fair value hedges, both the net gain or loss on the derivative instrument as well as the offsetting gain or loss on the hedged item attributable to the hedged risk are recognized in earnings in the current period. The Company had no fair value hedges in 2011, 2010 and 2009. The net gain or loss on the effective portion of a derivative instrument that is designated as an economic hedge of the foreign currency translation exposure of the net investment in a foreign operation is reported in the same manner as a foreign currency translation adjustment. For forward exchange contracts designated as net investment hedges, the Company excludes changes in fair value relating to changes in the forward carry component from its definition of effectiveness. Accordingly, any gains or losses related to this component are recognized in current income. Derivatives that do not qualify as hedges must be adjusted to fair value through current income.</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Allowance for Doubtful Accounts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records its allowance for doubtful accounts based upon its assessment of various factors. The Company considers historical experience, the age of the accounts receivable balances, credit quality of the Company’s customers, current economic conditions, and other factors that may affect customers’ ability to pay.</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Inventories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Inventories are stated at the lower of cost, computed using the first-in, first-out method, or market. If the cost of the inventories exceeds their market value, provisions are made currently for the difference between the cost and the market value. The Company’s inventories consist primarily of components and finished goods for all periods presented.</w: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15"/>
          <w:szCs w:val="15"/>
        </w:rPr>
        <w:t> </w:t>
      </w:r>
    </w:p>
    <w:p w:rsidR="00BF5C74" w:rsidRPr="00BF5C74" w:rsidRDefault="00BF5C74" w:rsidP="00BF5C74">
      <w:pPr>
        <w:shd w:val="clear" w:color="auto" w:fill="FFFFFF"/>
        <w:spacing w:after="0" w:line="240" w:lineRule="auto"/>
        <w:jc w:val="center"/>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52</w:t>
      </w:r>
    </w:p>
    <w:p w:rsidR="00BF5C74" w:rsidRPr="00BF5C74" w:rsidRDefault="006D6435" w:rsidP="00BF5C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468pt;height:2.25pt" o:hralign="center" o:hrstd="t" o:hrnoshade="t" o:hr="t" fillcolor="#999" stroked="f"/>
        </w:pic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Property, Plant and Equipment</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 xml:space="preserve">Property, plant and equipment are stated at cost. Depreciation is computed by use of the straight-line method over the estimated useful lives of the assets, which for buildings is the lesser of 30 years or the remaining life of the underlying building, up to five years for equipment, and the shorter of lease terms or ten years for leasehold improvements. The Company capitalizes eligible costs to acquire or develop internal-use software that are incurred subsequent to the preliminary project stage. Capitalized costs related to internal-use software are amortized using the straight-line method over the estimated useful lives of the assets, which range from three to five years. Depreciation </w:t>
      </w:r>
      <w:r w:rsidRPr="00BF5C74">
        <w:rPr>
          <w:rFonts w:ascii="Times New Roman" w:eastAsia="Times New Roman" w:hAnsi="Times New Roman" w:cs="Times New Roman"/>
          <w:color w:val="000000"/>
          <w:sz w:val="20"/>
          <w:szCs w:val="20"/>
        </w:rPr>
        <w:lastRenderedPageBreak/>
        <w:t>and amortization expense on property and equipment was $1.6 billion, $815 million and $606 million during 2011, 2010 and 2009, respectively.</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Long-Lived Assets Including Goodwill and Other Acquired Intangible Assets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 xml:space="preserve">The Company reviews property, plant and equipment and certain identifiable intangibles, excluding goodwill, for impairment. Long-lived assets are reviewed for impairment whenever events or changes in circumstances indicate the carrying amount of an asset may not be recoverable. Recoverability of these assets is measured by comparison of their carrying amounts to future undiscounted cash flows the assets are expected to generate. If property, plant and equipment and certain identifiable intangibles are considered to be impaired, the impairment to be recognized equals the amount by which the carrying value of the assets exceeds its fair market value. The Company did not record any significant </w:t>
      </w:r>
      <w:proofErr w:type="gramStart"/>
      <w:r w:rsidRPr="00BF5C74">
        <w:rPr>
          <w:rFonts w:ascii="Times New Roman" w:eastAsia="Times New Roman" w:hAnsi="Times New Roman" w:cs="Times New Roman"/>
          <w:color w:val="000000"/>
          <w:sz w:val="20"/>
          <w:szCs w:val="20"/>
        </w:rPr>
        <w:t>impairments</w:t>
      </w:r>
      <w:proofErr w:type="gramEnd"/>
      <w:r w:rsidRPr="00BF5C74">
        <w:rPr>
          <w:rFonts w:ascii="Times New Roman" w:eastAsia="Times New Roman" w:hAnsi="Times New Roman" w:cs="Times New Roman"/>
          <w:color w:val="000000"/>
          <w:sz w:val="20"/>
          <w:szCs w:val="20"/>
        </w:rPr>
        <w:t xml:space="preserve"> during 2011, 2010 and 2009.</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does not amortize goodwill and intangible assets with indefinite useful lives, rather such assets are required to be tested for impairment at least annually or sooner whenever events or changes in circumstances indicate that the assets may be impaired. The Company performs its goodwill and intangible asset impairment tests in the fourth quarter of each fiscal year. The Company did not recognize any goodwill or intangible asset impairment charges in 2011, 2010 and 2009. The Company established reporting units based on its current reporting structure. For purposes of testing goodwill for impairment, goodwill has been allocated to these reporting units to the extent it relates to each reporting unit.</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amortizes its intangible assets with definite lives over their estimated useful lives and reviews these assets for impairment. The Company is currently amortizing its acquired intangible assets with definite lives over periods generally ranging between three to seven years.</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Fair Value Measurements</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applies fair value accounting for all financial assets and liabilities and non-financial assets and liabilities that are recognized or disclosed at fair value in the financial statements on a recurring basis. The Company defines fair value as the price that would be received from selling an asset or paid to transfer a liability in an orderly transaction between market participants at the measurement date. When determining the fair value measurements for assets and liabilities, which are required to be recorded at fair value, the Company considers the principal or most advantageous market in which the Company would transact and the market-based risk measurements or assumptions that market participants would use in pricing the asset or liability, such as risks inherent in valuation techniques, transfer restrictions and credit risk. Fair value is estimated by applying the following hierarchy, which prioritizes the inputs used to measure fair value into three levels and bases the categorization within the hierarchy upon the lowest level of input that is available and significant to the fair value measurement:</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i/>
          <w:iCs/>
          <w:color w:val="000000"/>
          <w:sz w:val="20"/>
          <w:szCs w:val="20"/>
        </w:rPr>
        <w:t>Level 1 </w:t>
      </w:r>
      <w:r w:rsidRPr="00BF5C74">
        <w:rPr>
          <w:rFonts w:ascii="Times New Roman" w:eastAsia="Times New Roman" w:hAnsi="Times New Roman" w:cs="Times New Roman"/>
          <w:color w:val="000000"/>
          <w:sz w:val="20"/>
          <w:szCs w:val="20"/>
        </w:rPr>
        <w:t>– Quoted prices in active markets for identical assets or liabilities.</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i/>
          <w:iCs/>
          <w:color w:val="000000"/>
          <w:sz w:val="20"/>
          <w:szCs w:val="20"/>
        </w:rPr>
        <w:t>Level 2 </w:t>
      </w:r>
      <w:r w:rsidRPr="00BF5C74">
        <w:rPr>
          <w:rFonts w:ascii="Times New Roman" w:eastAsia="Times New Roman" w:hAnsi="Times New Roman" w:cs="Times New Roman"/>
          <w:color w:val="000000"/>
          <w:sz w:val="20"/>
          <w:szCs w:val="20"/>
        </w:rPr>
        <w:t>–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15"/>
          <w:szCs w:val="15"/>
        </w:rPr>
        <w:t> </w:t>
      </w:r>
    </w:p>
    <w:p w:rsidR="00BF5C74" w:rsidRPr="00BF5C74" w:rsidRDefault="00BF5C74" w:rsidP="00BF5C74">
      <w:pPr>
        <w:shd w:val="clear" w:color="auto" w:fill="FFFFFF"/>
        <w:spacing w:after="0" w:line="240" w:lineRule="auto"/>
        <w:jc w:val="center"/>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53</w:t>
      </w:r>
    </w:p>
    <w:p w:rsidR="00BF5C74" w:rsidRPr="00BF5C74" w:rsidRDefault="006D6435" w:rsidP="00BF5C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468pt;height:2.25pt" o:hralign="center" o:hrstd="t" o:hrnoshade="t" o:hr="t" fillcolor="#999" stroked="f"/>
        </w:pict>
      </w:r>
    </w:p>
    <w:p w:rsidR="00BF5C74" w:rsidRPr="00BF5C74" w:rsidRDefault="00BF5C74" w:rsidP="00BF5C74">
      <w:pPr>
        <w:shd w:val="clear" w:color="auto" w:fill="FFFFFF"/>
        <w:spacing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i/>
          <w:iCs/>
          <w:color w:val="000000"/>
          <w:sz w:val="20"/>
          <w:szCs w:val="20"/>
        </w:rPr>
        <w:t>Level 3 </w:t>
      </w:r>
      <w:r w:rsidRPr="00BF5C74">
        <w:rPr>
          <w:rFonts w:ascii="Times New Roman" w:eastAsia="Times New Roman" w:hAnsi="Times New Roman" w:cs="Times New Roman"/>
          <w:color w:val="000000"/>
          <w:sz w:val="20"/>
          <w:szCs w:val="20"/>
        </w:rPr>
        <w:t>– Inputs that are generally unobservable and typically reflect management’s estimate of assumptions that market participants would use in pricing the asset or liability.</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Company’s valuation techniques used to measure the fair value of money market funds and certain marketable equity securities were derived from quoted prices in active markets for identical assets or liabilities. The valuation techniques used to measure the fair value of all other financial instruments, all of which have counterparties with high credit ratings, were valued based on quoted market prices or model driven valuations using significant inputs derived from or corroborated by observable market data.</w:t>
      </w:r>
    </w:p>
    <w:p w:rsidR="00BF5C74" w:rsidRPr="00BF5C74" w:rsidRDefault="00BF5C74" w:rsidP="00BF5C74">
      <w:pPr>
        <w:shd w:val="clear" w:color="auto" w:fill="FFFFFF"/>
        <w:spacing w:before="18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In accordance with the fair value accounting requirements, companies may choose to measure eligible financial instruments and certain other items at fair value. The Company has not elected the fair value option for any eligible financial instruments.</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lastRenderedPageBreak/>
        <w:t xml:space="preserve">Foreign Currency Translation and </w:t>
      </w:r>
      <w:proofErr w:type="spellStart"/>
      <w:r w:rsidRPr="00BF5C74">
        <w:rPr>
          <w:rFonts w:ascii="Times New Roman" w:eastAsia="Times New Roman" w:hAnsi="Times New Roman" w:cs="Times New Roman"/>
          <w:b/>
          <w:bCs/>
          <w:color w:val="000000"/>
          <w:sz w:val="20"/>
          <w:szCs w:val="20"/>
        </w:rPr>
        <w:t>Remeasurement</w:t>
      </w:r>
      <w:proofErr w:type="spellEnd"/>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 xml:space="preserve">The Company translates the assets and liabilities of its non-U.S. dollar functional currency subsidiaries into U.S. dollars using exchange rates in effect at the end of each period. Revenue and expenses for these subsidiaries are translated using rates that approximate those in effect during the period. Gains and losses from these translations are recognized in foreign currency translation included in accumulated other comprehensive income in shareholders’ equity. The Company’s subsidiaries that use the U.S. dollar as their functional currency </w:t>
      </w:r>
      <w:proofErr w:type="spellStart"/>
      <w:r w:rsidRPr="00BF5C74">
        <w:rPr>
          <w:rFonts w:ascii="Times New Roman" w:eastAsia="Times New Roman" w:hAnsi="Times New Roman" w:cs="Times New Roman"/>
          <w:color w:val="000000"/>
          <w:sz w:val="20"/>
          <w:szCs w:val="20"/>
        </w:rPr>
        <w:t>remeasure</w:t>
      </w:r>
      <w:proofErr w:type="spellEnd"/>
      <w:r w:rsidRPr="00BF5C74">
        <w:rPr>
          <w:rFonts w:ascii="Times New Roman" w:eastAsia="Times New Roman" w:hAnsi="Times New Roman" w:cs="Times New Roman"/>
          <w:color w:val="000000"/>
          <w:sz w:val="20"/>
          <w:szCs w:val="20"/>
        </w:rPr>
        <w:t xml:space="preserve"> monetary assets and liabilities at exchange rates in effect at the end of each period, and inventories, property, and nonmonetary assets and liabilities at historical rates. Gains and losses from these </w:t>
      </w:r>
      <w:proofErr w:type="spellStart"/>
      <w:r w:rsidRPr="00BF5C74">
        <w:rPr>
          <w:rFonts w:ascii="Times New Roman" w:eastAsia="Times New Roman" w:hAnsi="Times New Roman" w:cs="Times New Roman"/>
          <w:color w:val="000000"/>
          <w:sz w:val="20"/>
          <w:szCs w:val="20"/>
        </w:rPr>
        <w:t>remeasurements</w:t>
      </w:r>
      <w:proofErr w:type="spellEnd"/>
      <w:r w:rsidRPr="00BF5C74">
        <w:rPr>
          <w:rFonts w:ascii="Times New Roman" w:eastAsia="Times New Roman" w:hAnsi="Times New Roman" w:cs="Times New Roman"/>
          <w:color w:val="000000"/>
          <w:sz w:val="20"/>
          <w:szCs w:val="20"/>
        </w:rPr>
        <w:t xml:space="preserve"> were insignificant and have been included in the Company’s results of operations.</w:t>
      </w:r>
    </w:p>
    <w:p w:rsidR="00BF5C74" w:rsidRPr="00BF5C74" w:rsidRDefault="00BF5C74" w:rsidP="00BF5C74">
      <w:pPr>
        <w:shd w:val="clear" w:color="auto" w:fill="FFFFFF"/>
        <w:spacing w:before="27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b/>
          <w:bCs/>
          <w:color w:val="000000"/>
          <w:sz w:val="20"/>
          <w:szCs w:val="20"/>
        </w:rPr>
        <w:t>Segment Information</w:t>
      </w:r>
    </w:p>
    <w:p w:rsidR="00BF5C74" w:rsidRPr="00BF5C74" w:rsidRDefault="00BF5C74" w:rsidP="00BF5C74">
      <w:pPr>
        <w:shd w:val="clear" w:color="auto" w:fill="FFFFFF"/>
        <w:spacing w:before="90" w:after="0" w:line="240" w:lineRule="auto"/>
        <w:rPr>
          <w:rFonts w:ascii="Times New Roman" w:eastAsia="Times New Roman" w:hAnsi="Times New Roman" w:cs="Times New Roman"/>
          <w:color w:val="000000"/>
          <w:sz w:val="27"/>
          <w:szCs w:val="27"/>
        </w:rPr>
      </w:pPr>
      <w:r w:rsidRPr="00BF5C74">
        <w:rPr>
          <w:rFonts w:ascii="Times New Roman" w:eastAsia="Times New Roman" w:hAnsi="Times New Roman" w:cs="Times New Roman"/>
          <w:color w:val="000000"/>
          <w:sz w:val="20"/>
          <w:szCs w:val="20"/>
        </w:rPr>
        <w:t>The Company reports segment information based on the “management” approach. The management approach designates the internal reporting used by management for making decisions and assessing performance as the source of the Company’s reportable segments. Information about the Company’s products, major customers and geographic areas on a company-wide basis is also disclosed.</w:t>
      </w:r>
    </w:p>
    <w:p w:rsidR="000D6CA3" w:rsidRDefault="000D6CA3"/>
    <w:sectPr w:rsidR="000D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C74"/>
    <w:rsid w:val="000D6CA3"/>
    <w:rsid w:val="002908E1"/>
    <w:rsid w:val="005228B8"/>
    <w:rsid w:val="0069293B"/>
    <w:rsid w:val="006D6435"/>
    <w:rsid w:val="00BF5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C74"/>
  </w:style>
  <w:style w:type="paragraph" w:styleId="BalloonText">
    <w:name w:val="Balloon Text"/>
    <w:basedOn w:val="Normal"/>
    <w:link w:val="BalloonTextChar"/>
    <w:uiPriority w:val="99"/>
    <w:semiHidden/>
    <w:unhideWhenUsed/>
    <w:rsid w:val="006D6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C74"/>
  </w:style>
  <w:style w:type="paragraph" w:styleId="BalloonText">
    <w:name w:val="Balloon Text"/>
    <w:basedOn w:val="Normal"/>
    <w:link w:val="BalloonTextChar"/>
    <w:uiPriority w:val="99"/>
    <w:semiHidden/>
    <w:unhideWhenUsed/>
    <w:rsid w:val="006D6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Ross School of Business</Company>
  <LinksUpToDate>false</LinksUpToDate>
  <CharactersWithSpaces>32471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School of Business</dc:creator>
  <cp:lastModifiedBy>Ross School of Business</cp:lastModifiedBy>
  <cp:revision>5</cp:revision>
  <cp:lastPrinted>2016-10-14T00:12:00Z</cp:lastPrinted>
  <dcterms:created xsi:type="dcterms:W3CDTF">2016-09-14T21:49:00Z</dcterms:created>
  <dcterms:modified xsi:type="dcterms:W3CDTF">2016-10-14T01:02:00Z</dcterms:modified>
</cp:coreProperties>
</file>