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02 — Technical Requirements &amp; Technology R&amp;D (TRD)</w:t>
      </w:r>
    </w:p>
    <w:p>
      <w:pPr>
        <w:jc w:val="center"/>
      </w:pPr>
      <w:r>
        <w:rPr>
          <w:i/>
        </w:rPr>
        <w:t>Mailmeteor-like Email Outreach SaaS — Project Documentation</w:t>
      </w:r>
    </w:p>
    <w:p>
      <w:r>
        <w:t>Document status: Implementation baseline | Date: 17 September 2026</w:t>
      </w:r>
    </w:p>
    <w:p>
      <w:pPr>
        <w:pStyle w:val="Heading1"/>
      </w:pPr>
      <w:r>
        <w:t>1. Architecture Decision Summary</w:t>
      </w:r>
    </w:p>
    <w:p>
      <w:r>
        <w:t>Recommended baseline: Next.js + TypeScript frontend, NestJS + TypeScript API, PostgreSQL, Redis + BullMQ, object storage, provider adapters for Gmail/Microsoft Graph/Zoho, OAuth 2.0/OIDC, OpenTelemetry + Sentry, and containerized AWS deployment. This is a recommended implementation stack, not a claim about Mailmeteor's private source stack.</w:t>
      </w:r>
    </w:p>
    <w:p>
      <w:pPr>
        <w:pStyle w:val="Heading1"/>
      </w:pPr>
      <w:r>
        <w:t>2. Technology R&amp;D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Area</w:t>
            </w:r>
          </w:p>
        </w:tc>
        <w:tc>
          <w:tcPr>
            <w:tcW w:type="dxa" w:w="2520"/>
          </w:tcPr>
          <w:p>
            <w:r>
              <w:t>Options considered</w:t>
            </w:r>
          </w:p>
        </w:tc>
        <w:tc>
          <w:tcPr>
            <w:tcW w:type="dxa" w:w="2520"/>
          </w:tcPr>
          <w:p>
            <w:r>
              <w:t>Decision</w:t>
            </w:r>
          </w:p>
        </w:tc>
        <w:tc>
          <w:tcPr>
            <w:tcW w:type="dxa" w:w="2520"/>
          </w:tcPr>
          <w:p>
            <w:r>
              <w:t>Reason</w:t>
            </w:r>
          </w:p>
        </w:tc>
      </w:tr>
      <w:tr>
        <w:tc>
          <w:tcPr>
            <w:tcW w:type="dxa" w:w="2520"/>
          </w:tcPr>
          <w:p>
            <w:r>
              <w:t>Web</w:t>
            </w:r>
          </w:p>
        </w:tc>
        <w:tc>
          <w:tcPr>
            <w:tcW w:type="dxa" w:w="2520"/>
          </w:tcPr>
          <w:p>
            <w:r>
              <w:t>Next.js, Remix, Vite SPA</w:t>
            </w:r>
          </w:p>
        </w:tc>
        <w:tc>
          <w:tcPr>
            <w:tcW w:type="dxa" w:w="2520"/>
          </w:tcPr>
          <w:p>
            <w:r>
              <w:t>Next.js</w:t>
            </w:r>
          </w:p>
        </w:tc>
        <w:tc>
          <w:tcPr>
            <w:tcW w:type="dxa" w:w="2520"/>
          </w:tcPr>
          <w:p>
            <w:r>
              <w:t>Strong full-stack React ecosystem, routing, server rendering where useful, mature TypeScript tooling.</w:t>
            </w:r>
          </w:p>
        </w:tc>
      </w:tr>
      <w:tr>
        <w:tc>
          <w:tcPr>
            <w:tcW w:type="dxa" w:w="2520"/>
          </w:tcPr>
          <w:p>
            <w:r>
              <w:t>API</w:t>
            </w:r>
          </w:p>
        </w:tc>
        <w:tc>
          <w:tcPr>
            <w:tcW w:type="dxa" w:w="2520"/>
          </w:tcPr>
          <w:p>
            <w:r>
              <w:t>NestJS, Fastify, Express</w:t>
            </w:r>
          </w:p>
        </w:tc>
        <w:tc>
          <w:tcPr>
            <w:tcW w:type="dxa" w:w="2520"/>
          </w:tcPr>
          <w:p>
            <w:r>
              <w:t>NestJS</w:t>
            </w:r>
          </w:p>
        </w:tc>
        <w:tc>
          <w:tcPr>
            <w:tcW w:type="dxa" w:w="2520"/>
          </w:tcPr>
          <w:p>
            <w:r>
              <w:t>Opinionated modular architecture, DI, validation, guards and strong TypeScript structure.</w:t>
            </w:r>
          </w:p>
        </w:tc>
      </w:tr>
      <w:tr>
        <w:tc>
          <w:tcPr>
            <w:tcW w:type="dxa" w:w="2520"/>
          </w:tcPr>
          <w:p>
            <w:r>
              <w:t>DB</w:t>
            </w:r>
          </w:p>
        </w:tc>
        <w:tc>
          <w:tcPr>
            <w:tcW w:type="dxa" w:w="2520"/>
          </w:tcPr>
          <w:p>
            <w:r>
              <w:t>PostgreSQL, MySQL, MongoDB</w:t>
            </w:r>
          </w:p>
        </w:tc>
        <w:tc>
          <w:tcPr>
            <w:tcW w:type="dxa" w:w="2520"/>
          </w:tcPr>
          <w:p>
            <w:r>
              <w:t>PostgreSQL</w:t>
            </w:r>
          </w:p>
        </w:tc>
        <w:tc>
          <w:tcPr>
            <w:tcW w:type="dxa" w:w="2520"/>
          </w:tcPr>
          <w:p>
            <w:r>
              <w:t>Relational integrity fits campaigns, sequences, memberships, billing and event data.</w:t>
            </w:r>
          </w:p>
        </w:tc>
      </w:tr>
      <w:tr>
        <w:tc>
          <w:tcPr>
            <w:tcW w:type="dxa" w:w="2520"/>
          </w:tcPr>
          <w:p>
            <w:r>
              <w:t>ORM</w:t>
            </w:r>
          </w:p>
        </w:tc>
        <w:tc>
          <w:tcPr>
            <w:tcW w:type="dxa" w:w="2520"/>
          </w:tcPr>
          <w:p>
            <w:r>
              <w:t>Prisma, Drizzle, TypeORM</w:t>
            </w:r>
          </w:p>
        </w:tc>
        <w:tc>
          <w:tcPr>
            <w:tcW w:type="dxa" w:w="2520"/>
          </w:tcPr>
          <w:p>
            <w:r>
              <w:t>Prisma</w:t>
            </w:r>
          </w:p>
        </w:tc>
        <w:tc>
          <w:tcPr>
            <w:tcW w:type="dxa" w:w="2520"/>
          </w:tcPr>
          <w:p>
            <w:r>
              <w:t>Developer velocity, typed schema/migrations; can use SQL for hot paths.</w:t>
            </w:r>
          </w:p>
        </w:tc>
      </w:tr>
      <w:tr>
        <w:tc>
          <w:tcPr>
            <w:tcW w:type="dxa" w:w="2520"/>
          </w:tcPr>
          <w:p>
            <w:r>
              <w:t>Queue</w:t>
            </w:r>
          </w:p>
        </w:tc>
        <w:tc>
          <w:tcPr>
            <w:tcW w:type="dxa" w:w="2520"/>
          </w:tcPr>
          <w:p>
            <w:r>
              <w:t>BullMQ/Redis, SQS, RabbitMQ</w:t>
            </w:r>
          </w:p>
        </w:tc>
        <w:tc>
          <w:tcPr>
            <w:tcW w:type="dxa" w:w="2520"/>
          </w:tcPr>
          <w:p>
            <w:r>
              <w:t>BullMQ + Redis for MVP</w:t>
            </w:r>
          </w:p>
        </w:tc>
        <w:tc>
          <w:tcPr>
            <w:tcW w:type="dxa" w:w="2520"/>
          </w:tcPr>
          <w:p>
            <w:r>
              <w:t>Simple TypeScript integration, retries/delays/concurrency; AWS SQS can be added at scale.</w:t>
            </w:r>
          </w:p>
        </w:tc>
      </w:tr>
      <w:tr>
        <w:tc>
          <w:tcPr>
            <w:tcW w:type="dxa" w:w="2520"/>
          </w:tcPr>
          <w:p>
            <w:r>
              <w:t>Cache</w:t>
            </w:r>
          </w:p>
        </w:tc>
        <w:tc>
          <w:tcPr>
            <w:tcW w:type="dxa" w:w="2520"/>
          </w:tcPr>
          <w:p>
            <w:r>
              <w:t>Redis, Memcached</w:t>
            </w:r>
          </w:p>
        </w:tc>
        <w:tc>
          <w:tcPr>
            <w:tcW w:type="dxa" w:w="2520"/>
          </w:tcPr>
          <w:p>
            <w:r>
              <w:t>Redis</w:t>
            </w:r>
          </w:p>
        </w:tc>
        <w:tc>
          <w:tcPr>
            <w:tcW w:type="dxa" w:w="2520"/>
          </w:tcPr>
          <w:p>
            <w:r>
              <w:t>Supports queues, rate limits, caching and short-lived locks.</w:t>
            </w:r>
          </w:p>
        </w:tc>
      </w:tr>
      <w:tr>
        <w:tc>
          <w:tcPr>
            <w:tcW w:type="dxa" w:w="2520"/>
          </w:tcPr>
          <w:p>
            <w:r>
              <w:t>Email</w:t>
            </w:r>
          </w:p>
        </w:tc>
        <w:tc>
          <w:tcPr>
            <w:tcW w:type="dxa" w:w="2520"/>
          </w:tcPr>
          <w:p>
            <w:r>
              <w:t>Provider APIs, SMTP</w:t>
            </w:r>
          </w:p>
        </w:tc>
        <w:tc>
          <w:tcPr>
            <w:tcW w:type="dxa" w:w="2520"/>
          </w:tcPr>
          <w:p>
            <w:r>
              <w:t>Provider APIs</w:t>
            </w:r>
          </w:p>
        </w:tc>
        <w:tc>
          <w:tcPr>
            <w:tcW w:type="dxa" w:w="2520"/>
          </w:tcPr>
          <w:p>
            <w:r>
              <w:t>User-owned Gmail/Graph/Zoho sending and provider-native sent-item behavior.</w:t>
            </w:r>
          </w:p>
        </w:tc>
      </w:tr>
      <w:tr>
        <w:tc>
          <w:tcPr>
            <w:tcW w:type="dxa" w:w="2520"/>
          </w:tcPr>
          <w:p>
            <w:r>
              <w:t>Auth</w:t>
            </w:r>
          </w:p>
        </w:tc>
        <w:tc>
          <w:tcPr>
            <w:tcW w:type="dxa" w:w="2520"/>
          </w:tcPr>
          <w:p>
            <w:r>
              <w:t>Auth.js, custom OAuth, Clerk</w:t>
            </w:r>
          </w:p>
        </w:tc>
        <w:tc>
          <w:tcPr>
            <w:tcW w:type="dxa" w:w="2520"/>
          </w:tcPr>
          <w:p>
            <w:r>
              <w:t>Custom OAuth module + secure sessions</w:t>
            </w:r>
          </w:p>
        </w:tc>
        <w:tc>
          <w:tcPr>
            <w:tcW w:type="dxa" w:w="2520"/>
          </w:tcPr>
          <w:p>
            <w:r>
              <w:t>Provider integrations require direct token lifecycle control; avoids coupling core sender credentials to a SaaS auth vendor.</w:t>
            </w:r>
          </w:p>
        </w:tc>
      </w:tr>
      <w:tr>
        <w:tc>
          <w:tcPr>
            <w:tcW w:type="dxa" w:w="2520"/>
          </w:tcPr>
          <w:p>
            <w:r>
              <w:t>Storage</w:t>
            </w:r>
          </w:p>
        </w:tc>
        <w:tc>
          <w:tcPr>
            <w:tcW w:type="dxa" w:w="2520"/>
          </w:tcPr>
          <w:p>
            <w:r>
              <w:t>S3, R2, GCS</w:t>
            </w:r>
          </w:p>
        </w:tc>
        <w:tc>
          <w:tcPr>
            <w:tcW w:type="dxa" w:w="2520"/>
          </w:tcPr>
          <w:p>
            <w:r>
              <w:t>S3-compatible</w:t>
            </w:r>
          </w:p>
        </w:tc>
        <w:tc>
          <w:tcPr>
            <w:tcW w:type="dxa" w:w="2520"/>
          </w:tcPr>
          <w:p>
            <w:r>
              <w:t>Attachments/assets, lifecycle policies, presigned URLs.</w:t>
            </w:r>
          </w:p>
        </w:tc>
      </w:tr>
      <w:tr>
        <w:tc>
          <w:tcPr>
            <w:tcW w:type="dxa" w:w="2520"/>
          </w:tcPr>
          <w:p>
            <w:r>
              <w:t>Observability</w:t>
            </w:r>
          </w:p>
        </w:tc>
        <w:tc>
          <w:tcPr>
            <w:tcW w:type="dxa" w:w="2520"/>
          </w:tcPr>
          <w:p>
            <w:r>
              <w:t>OpenTelemetry, vendor-only</w:t>
            </w:r>
          </w:p>
        </w:tc>
        <w:tc>
          <w:tcPr>
            <w:tcW w:type="dxa" w:w="2520"/>
          </w:tcPr>
          <w:p>
            <w:r>
              <w:t>OpenTelemetry + Sentry</w:t>
            </w:r>
          </w:p>
        </w:tc>
        <w:tc>
          <w:tcPr>
            <w:tcW w:type="dxa" w:w="2520"/>
          </w:tcPr>
          <w:p>
            <w:r>
              <w:t>Portable traces/metrics plus fast application error triage.</w:t>
            </w:r>
          </w:p>
        </w:tc>
      </w:tr>
      <w:tr>
        <w:tc>
          <w:tcPr>
            <w:tcW w:type="dxa" w:w="2520"/>
          </w:tcPr>
          <w:p>
            <w:r>
              <w:t>Deployment</w:t>
            </w:r>
          </w:p>
        </w:tc>
        <w:tc>
          <w:tcPr>
            <w:tcW w:type="dxa" w:w="2520"/>
          </w:tcPr>
          <w:p>
            <w:r>
              <w:t>AWS ECS/EKS, Vercel-only, GCP</w:t>
            </w:r>
          </w:p>
        </w:tc>
        <w:tc>
          <w:tcPr>
            <w:tcW w:type="dxa" w:w="2520"/>
          </w:tcPr>
          <w:p>
            <w:r>
              <w:t>AWS ECS/Fargate + RDS + ElastiCache</w:t>
            </w:r>
          </w:p>
        </w:tc>
        <w:tc>
          <w:tcPr>
            <w:tcW w:type="dxa" w:w="2520"/>
          </w:tcPr>
          <w:p>
            <w:r>
              <w:t>Long-running workers and provider integrations need predictable background compute.</w:t>
            </w:r>
          </w:p>
        </w:tc>
      </w:tr>
      <w:tr>
        <w:tc>
          <w:tcPr>
            <w:tcW w:type="dxa" w:w="2520"/>
          </w:tcPr>
          <w:p>
            <w:r>
              <w:t>AI</w:t>
            </w:r>
          </w:p>
        </w:tc>
        <w:tc>
          <w:tcPr>
            <w:tcW w:type="dxa" w:w="2520"/>
          </w:tcPr>
          <w:p>
            <w:r>
              <w:t>OpenAI, Anthropic, Gemini</w:t>
            </w:r>
          </w:p>
        </w:tc>
        <w:tc>
          <w:tcPr>
            <w:tcW w:type="dxa" w:w="2520"/>
          </w:tcPr>
          <w:p>
            <w:r>
              <w:t>Provider abstraction; OpenAI initially</w:t>
            </w:r>
          </w:p>
        </w:tc>
        <w:tc>
          <w:tcPr>
            <w:tcW w:type="dxa" w:w="2520"/>
          </w:tcPr>
          <w:p>
            <w:r>
              <w:t>Keep model vendor replaceable and isolate prompts/data handling.</w:t>
            </w:r>
          </w:p>
        </w:tc>
      </w:tr>
    </w:tbl>
    <w:p>
      <w:pPr>
        <w:pStyle w:val="Heading1"/>
      </w:pPr>
      <w:r>
        <w:t>3. R&amp;D Findings That Affect Architecture</w:t>
      </w:r>
    </w:p>
    <w:p>
      <w:pPr>
        <w:pStyle w:val="ListBullet"/>
      </w:pPr>
      <w:r>
        <w:t>Gmail API uses quota units and enforces per-minute project/user quotas; the 2026 documentation also states a 500-recipient-per-message limit. Sending must therefore be quota-aware and job-based.</w:t>
      </w:r>
    </w:p>
    <w:p>
      <w:pPr>
        <w:pStyle w:val="ListBullet"/>
      </w:pPr>
      <w:r>
        <w:t>Gmail supports messages.send and drafts.send; the implementation should prefer a provider adapter rather than embedding Gmail-specific logic in campaign code.</w:t>
      </w:r>
    </w:p>
    <w:p>
      <w:pPr>
        <w:pStyle w:val="ListBullet"/>
      </w:pPr>
      <w:r>
        <w:t>Microsoft Graph /me/sendMail returns 202 Accepted and delivery remains subject to Exchange Online throttling; the worker must treat acceptance as provider-accepted, not necessarily delivered.</w:t>
      </w:r>
    </w:p>
    <w:p>
      <w:pPr>
        <w:pStyle w:val="ListBullet"/>
      </w:pPr>
      <w:r>
        <w:t>NestJS officially supports BullMQ integration; BullMQ is actively developed and Redis-backed.</w:t>
      </w:r>
    </w:p>
    <w:p>
      <w:pPr>
        <w:pStyle w:val="ListBullet"/>
      </w:pPr>
      <w:r>
        <w:t>Mailmeteor publicly lists Gmail/Google Workspace, Outlook/Microsoft 365 and Zoho as sending services and documents its dashboard, Gmail, Sheets, Docs, Excel and iOS products.</w:t>
      </w:r>
    </w:p>
    <w:p>
      <w:pPr>
        <w:pStyle w:val="ListBullet"/>
      </w:pPr>
      <w:r>
        <w:t>Mailmeteor's security page says its infrastructure/source code underwent a Google API Security Assessment in the 2025/2026 cycle; the project should treat provider verification/security review as a first-class release dependency.</w:t>
      </w:r>
    </w:p>
    <w:p>
      <w:pPr>
        <w:pStyle w:val="Heading1"/>
      </w:pPr>
      <w:r>
        <w:t>4. Logical Architecture</w:t>
      </w:r>
    </w:p>
    <w:p>
      <w:r>
        <w:rPr>
          <w:rFonts w:ascii="Consolas" w:hAnsi="Consolas"/>
          <w:sz w:val="16"/>
        </w:rPr>
        <w:t>Browser / Extensions / Add-ons</w:t>
        <w:br/>
        <w:t xml:space="preserve">          |</w:t>
        <w:br/>
        <w:t xml:space="preserve">          v</w:t>
        <w:br/>
        <w:t xml:space="preserve">     API Gateway / BFF</w:t>
        <w:br/>
        <w:t xml:space="preserve">          |</w:t>
        <w:br/>
        <w:t xml:space="preserve">  +-------+---------+----------------+</w:t>
        <w:br/>
        <w:t xml:space="preserve">  |       |         |                |</w:t>
        <w:br/>
        <w:t xml:space="preserve"> Auth  Campaigns  Contacts       Integrations</w:t>
        <w:br/>
        <w:t xml:space="preserve">  |       |         |                |</w:t>
        <w:br/>
        <w:t xml:space="preserve">  +-------+---------+----------------+</w:t>
        <w:br/>
        <w:t xml:space="preserve">          |</w:t>
        <w:br/>
        <w:t xml:space="preserve">      PostgreSQL</w:t>
        <w:br/>
        <w:t xml:space="preserve">          |</w:t>
        <w:br/>
        <w:t xml:space="preserve">        Redis</w:t>
        <w:br/>
        <w:t xml:space="preserve">          |</w:t>
        <w:br/>
        <w:t xml:space="preserve">     BullMQ Workers</w:t>
        <w:br/>
        <w:t xml:space="preserve">    /      |       \</w:t>
        <w:br/>
        <w:t xml:space="preserve"> Gmail   Graph    Zoho</w:t>
        <w:br/>
        <w:t xml:space="preserve">          |</w:t>
        <w:br/>
        <w:t xml:space="preserve">       Events</w:t>
        <w:br/>
        <w:t xml:space="preserve">          |</w:t>
        <w:br/>
        <w:t xml:space="preserve">    Analytics / Automation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API target 99.9%; worker system designed for restart/replay.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P95 API reads &lt; 300 ms for normal dashboard queries; async operations return job IDs.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Horizontal API/worker scaling; partition/archive event tables as volume grows.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TLS, encrypted provider tokens, KMS/secrets manager, RBAC, audit logs, rate limiting.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Idempotency keys, transactional outbox, retry policy, dead-letter/review queue.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Data minimization, retention policies, deletion/export workflows, least-privilege OAuth scopes.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Structured logs, traces, metrics, error monitoring, provider error dashboards.</w:t>
            </w:r>
          </w:p>
        </w:tc>
      </w:tr>
    </w:tbl>
    <w:p>
      <w:pPr>
        <w:pStyle w:val="Heading1"/>
      </w:pPr>
      <w:r>
        <w:t>6. Provider Adapter Contract</w:t>
      </w:r>
    </w:p>
    <w:p>
      <w:r>
        <w:rPr>
          <w:rFonts w:ascii="Consolas" w:hAnsi="Consolas"/>
          <w:sz w:val="16"/>
        </w:rPr>
        <w:t>interface EmailProvider {</w:t>
        <w:br/>
        <w:t xml:space="preserve">  connect(): Promise&lt;ConnectionResult&gt;</w:t>
        <w:br/>
        <w:t xml:space="preserve">  refreshToken(): Promise&lt;void&gt;</w:t>
        <w:br/>
        <w:t xml:space="preserve">  send(message: OutboundMessage): Promise&lt;ProviderSendResult&gt;</w:t>
        <w:br/>
        <w:t xml:space="preserve">  getMessage(id: string): Promise&lt;ProviderMessage&gt;</w:t>
        <w:br/>
        <w:t xml:space="preserve">  listThreads(cursor?: string): Promise&lt;ThreadPage&gt;</w:t>
        <w:br/>
        <w:t xml:space="preserve">  watchEvents(): Promise&lt;WatchRegistration&gt;</w:t>
        <w:br/>
        <w:t xml:space="preserve">  disconnect(): Promise&lt;void&gt;</w:t>
        <w:br/>
        <w:t>}</w:t>
      </w:r>
    </w:p>
    <w:p>
      <w:pPr>
        <w:pStyle w:val="Heading1"/>
      </w:pPr>
      <w:r>
        <w:t>7. Security Model</w:t>
      </w:r>
    </w:p>
    <w:p>
      <w:pPr>
        <w:pStyle w:val="ListBullet"/>
      </w:pPr>
      <w:r>
        <w:t>Browser receives short-lived session credentials only; provider refresh tokens remain server-side.</w:t>
      </w:r>
    </w:p>
    <w:p>
      <w:pPr>
        <w:pStyle w:val="ListBullet"/>
      </w:pPr>
      <w:r>
        <w:t>Encrypt OAuth access/refresh tokens with envelope encryption and rotate keys.</w:t>
      </w:r>
    </w:p>
    <w:p>
      <w:pPr>
        <w:pStyle w:val="ListBullet"/>
      </w:pPr>
      <w:r>
        <w:t>Use CSRF protection for cookie sessions and strict CORS.</w:t>
      </w:r>
    </w:p>
    <w:p>
      <w:pPr>
        <w:pStyle w:val="ListBullet"/>
      </w:pPr>
      <w:r>
        <w:t>Validate all HTML email content and sanitize user-generated rich text.</w:t>
      </w:r>
    </w:p>
    <w:p>
      <w:pPr>
        <w:pStyle w:val="ListBullet"/>
      </w:pPr>
      <w:r>
        <w:t>Use SSRF-safe asset fetching; preferably proxy only allowlisted provider/object-storage URLs.</w:t>
      </w:r>
    </w:p>
    <w:p>
      <w:pPr>
        <w:pStyle w:val="ListBullet"/>
      </w:pPr>
      <w:r>
        <w:t>Rate-limit login, campaign creation, import and tracking endpoints.</w:t>
      </w:r>
    </w:p>
    <w:p>
      <w:pPr>
        <w:pStyle w:val="ListBullet"/>
      </w:pPr>
      <w:r>
        <w:t>Audit sender connection, campaign send/pause/resume, role changes and billing changes.</w:t>
      </w:r>
    </w:p>
    <w:p>
      <w:pPr>
        <w:pStyle w:val="Heading1"/>
      </w:pPr>
      <w:r>
        <w:t>8. Deployment</w:t>
      </w:r>
    </w:p>
    <w:p>
      <w:r>
        <w:rPr>
          <w:rFonts w:ascii="Consolas" w:hAnsi="Consolas"/>
          <w:sz w:val="16"/>
        </w:rPr>
        <w:t>AWS</w:t>
        <w:br/>
        <w:t>├─ CloudFront + WAF</w:t>
        <w:br/>
        <w:t>├─ Next.js web</w:t>
        <w:br/>
        <w:t>├─ ECS/Fargate API</w:t>
        <w:br/>
        <w:t>├─ ECS/Fargate workers</w:t>
        <w:br/>
        <w:t>├─ RDS PostgreSQL</w:t>
        <w:br/>
        <w:t>├─ ElastiCache Redis</w:t>
        <w:br/>
        <w:t>├─ S3</w:t>
        <w:br/>
        <w:t>├─ Secrets Manager + KMS</w:t>
        <w:br/>
        <w:t>├─ CloudWatch + OpenTelemetry collector</w:t>
        <w:br/>
        <w:t>└─ CI/CD via GitHub Actions</w:t>
      </w:r>
    </w:p>
    <w:p>
      <w:pPr>
        <w:pStyle w:val="Heading1"/>
      </w:pPr>
      <w:r>
        <w:t>9.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Provider throttling</w:t>
            </w:r>
          </w:p>
        </w:tc>
        <w:tc>
          <w:tcPr>
            <w:tcW w:type="dxa" w:w="5040"/>
          </w:tcPr>
          <w:p>
            <w:r>
              <w:t>Adaptive concurrency, token-bucket limits, exponential backoff, provider-specific error classification.</w:t>
            </w:r>
          </w:p>
        </w:tc>
      </w:tr>
      <w:tr>
        <w:tc>
          <w:tcPr>
            <w:tcW w:type="dxa" w:w="5040"/>
          </w:tcPr>
          <w:p>
            <w:r>
              <w:t>OAuth verification delays</w:t>
            </w:r>
          </w:p>
        </w:tc>
        <w:tc>
          <w:tcPr>
            <w:tcW w:type="dxa" w:w="5040"/>
          </w:tcPr>
          <w:p>
            <w:r>
              <w:t>Prototype with test users; start provider compliance work early.</w:t>
            </w:r>
          </w:p>
        </w:tc>
      </w:tr>
      <w:tr>
        <w:tc>
          <w:tcPr>
            <w:tcW w:type="dxa" w:w="5040"/>
          </w:tcPr>
          <w:p>
            <w:r>
              <w:t>Open tracking inaccuracies</w:t>
            </w:r>
          </w:p>
        </w:tc>
        <w:tc>
          <w:tcPr>
            <w:tcW w:type="dxa" w:w="5040"/>
          </w:tcPr>
          <w:p>
            <w:r>
              <w:t>Treat opens as indicative; emphasize clicks/replies and provider events.</w:t>
            </w:r>
          </w:p>
        </w:tc>
      </w:tr>
      <w:tr>
        <w:tc>
          <w:tcPr>
            <w:tcW w:type="dxa" w:w="5040"/>
          </w:tcPr>
          <w:p>
            <w:r>
              <w:t>Duplicate sends</w:t>
            </w:r>
          </w:p>
        </w:tc>
        <w:tc>
          <w:tcPr>
            <w:tcW w:type="dxa" w:w="5040"/>
          </w:tcPr>
          <w:p>
            <w:r>
              <w:t>Idempotency + unique constraints + transactional outbox.</w:t>
            </w:r>
          </w:p>
        </w:tc>
      </w:tr>
      <w:tr>
        <w:tc>
          <w:tcPr>
            <w:tcW w:type="dxa" w:w="5040"/>
          </w:tcPr>
          <w:p>
            <w:r>
              <w:t>Large campaign imports</w:t>
            </w:r>
          </w:p>
        </w:tc>
        <w:tc>
          <w:tcPr>
            <w:tcW w:type="dxa" w:w="5040"/>
          </w:tcPr>
          <w:p>
            <w:r>
              <w:t>Streaming CSV parsing, staged imports, async validation.</w:t>
            </w:r>
          </w:p>
        </w:tc>
      </w:tr>
      <w:tr>
        <w:tc>
          <w:tcPr>
            <w:tcW w:type="dxa" w:w="5040"/>
          </w:tcPr>
          <w:p>
            <w:r>
              <w:t>AI data leakage</w:t>
            </w:r>
          </w:p>
        </w:tc>
        <w:tc>
          <w:tcPr>
            <w:tcW w:type="dxa" w:w="5040"/>
          </w:tcPr>
          <w:p>
            <w:r>
              <w:t>Explicit data boundary, minimization, provider controls, no training-by-default vendor configuration where available.</w:t>
            </w:r>
          </w:p>
        </w:tc>
      </w:tr>
    </w:tbl>
    <w:p>
      <w:pPr>
        <w:pStyle w:val="Heading1"/>
      </w:pPr>
      <w:r>
        <w:t>10. Research Sources</w:t>
      </w:r>
    </w:p>
    <w:p>
      <w:pPr>
        <w:pStyle w:val="ListBullet"/>
      </w:pPr>
      <w:r>
        <w:t>Mailmeteor Overview: https://mailmeteor.com/docs/get-started/</w:t>
      </w:r>
    </w:p>
    <w:p>
      <w:pPr>
        <w:pStyle w:val="ListBullet"/>
      </w:pPr>
      <w:r>
        <w:t>Mailmeteor Email Services: https://mailmeteor.com/docs/senders/email-services</w:t>
      </w:r>
    </w:p>
    <w:p>
      <w:pPr>
        <w:pStyle w:val="ListBullet"/>
      </w:pPr>
      <w:r>
        <w:t>Mailmeteor Security: https://mailmeteor.com/security</w:t>
      </w:r>
    </w:p>
    <w:p>
      <w:pPr>
        <w:pStyle w:val="ListBullet"/>
      </w:pPr>
      <w:r>
        <w:t>Mailmeteor Google Sheets: https://mailmeteor.com/docs/products/google-sheets</w:t>
      </w:r>
    </w:p>
    <w:p>
      <w:pPr>
        <w:pStyle w:val="ListBullet"/>
      </w:pPr>
      <w:r>
        <w:t>Mailmeteor Gmail: https://mailmeteor.com/docs/products/gmail</w:t>
      </w:r>
    </w:p>
    <w:p>
      <w:pPr>
        <w:pStyle w:val="ListBullet"/>
      </w:pPr>
      <w:r>
        <w:t>Google Gmail API sending: https://developers.google.com/workspace/gmail/api/guides/sending</w:t>
      </w:r>
    </w:p>
    <w:p>
      <w:pPr>
        <w:pStyle w:val="ListBullet"/>
      </w:pPr>
      <w:r>
        <w:t>Google Gmail API quotas: https://developers.google.com/workspace/gmail/api/reference/quota</w:t>
      </w:r>
    </w:p>
    <w:p>
      <w:pPr>
        <w:pStyle w:val="ListBullet"/>
      </w:pPr>
      <w:r>
        <w:t>Microsoft Graph sendMail: https://learn.microsoft.com/en-us/graph/api/user-sendmail</w:t>
      </w:r>
    </w:p>
    <w:p>
      <w:pPr>
        <w:pStyle w:val="ListBullet"/>
      </w:pPr>
      <w:r>
        <w:t>NestJS queues/BullMQ: https://docs.nestjs.com/techniques/queues</w:t>
      </w:r>
    </w:p>
    <w:p>
      <w:pPr>
        <w:pStyle w:val="ListBullet"/>
      </w:pPr>
      <w:r>
        <w:t>BullMQ NestJS: https://docs.bullmq.io/guide/nestjs/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