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06 — Implementation Plan &amp; Delivery Roadmap</w:t>
      </w:r>
    </w:p>
    <w:p>
      <w:pPr>
        <w:jc w:val="center"/>
      </w:pPr>
      <w:r>
        <w:rPr>
          <w:i/>
        </w:rPr>
        <w:t>Mailmeteor-like Email Outreach SaaS — Project Documentation</w:t>
      </w:r>
    </w:p>
    <w:p>
      <w:r>
        <w:t>Document status: Implementation baseline | Date: 17 September 2026</w:t>
      </w:r>
    </w:p>
    <w:p>
      <w:pPr>
        <w:pStyle w:val="Heading1"/>
      </w:pPr>
      <w:r>
        <w:t>1. Delivery Strategy</w:t>
      </w:r>
    </w:p>
    <w:p>
      <w:r>
        <w:t>Use a modular monolith for the API plus dedicated workers. Keep provider adapters, email rendering, tracking, automation and billing as modules with stable interfaces. Split services only when scale or team ownership justifies it.</w:t>
      </w:r>
    </w:p>
    <w:p>
      <w:pPr>
        <w:pStyle w:val="Heading1"/>
      </w:pPr>
      <w:r>
        <w:t>2. Team Model</w:t>
      </w:r>
    </w:p>
    <w:tbl>
      <w:tblPr>
        <w:tblStyle w:val="TableGrid"/>
        <w:tblW w:type="auto" w:w="0"/>
        <w:tblLook w:firstColumn="1" w:firstRow="1" w:lastColumn="0" w:lastRow="0" w:noHBand="0" w:noVBand="1" w:val="04A0"/>
      </w:tblPr>
      <w:tblGrid>
        <w:gridCol w:w="5040"/>
        <w:gridCol w:w="5040"/>
      </w:tblGrid>
      <w:tr>
        <w:tc>
          <w:tcPr>
            <w:tcW w:type="dxa" w:w="5040"/>
          </w:tcPr>
          <w:p>
            <w:r>
              <w:t>Role</w:t>
            </w:r>
          </w:p>
        </w:tc>
        <w:tc>
          <w:tcPr>
            <w:tcW w:type="dxa" w:w="5040"/>
          </w:tcPr>
          <w:p>
            <w:r>
              <w:t>Suggested allocation</w:t>
            </w:r>
          </w:p>
        </w:tc>
      </w:tr>
      <w:tr>
        <w:tc>
          <w:tcPr>
            <w:tcW w:type="dxa" w:w="5040"/>
          </w:tcPr>
          <w:p>
            <w:r>
              <w:t>Product manager</w:t>
            </w:r>
          </w:p>
        </w:tc>
        <w:tc>
          <w:tcPr>
            <w:tcW w:type="dxa" w:w="5040"/>
          </w:tcPr>
          <w:p>
            <w:r>
              <w:t>1</w:t>
            </w:r>
          </w:p>
        </w:tc>
      </w:tr>
      <w:tr>
        <w:tc>
          <w:tcPr>
            <w:tcW w:type="dxa" w:w="5040"/>
          </w:tcPr>
          <w:p>
            <w:r>
              <w:t>Tech lead / backend</w:t>
            </w:r>
          </w:p>
        </w:tc>
        <w:tc>
          <w:tcPr>
            <w:tcW w:type="dxa" w:w="5040"/>
          </w:tcPr>
          <w:p>
            <w:r>
              <w:t>1</w:t>
            </w:r>
          </w:p>
        </w:tc>
      </w:tr>
      <w:tr>
        <w:tc>
          <w:tcPr>
            <w:tcW w:type="dxa" w:w="5040"/>
          </w:tcPr>
          <w:p>
            <w:r>
              <w:t>Frontend engineer</w:t>
            </w:r>
          </w:p>
        </w:tc>
        <w:tc>
          <w:tcPr>
            <w:tcW w:type="dxa" w:w="5040"/>
          </w:tcPr>
          <w:p>
            <w:r>
              <w:t>1–2</w:t>
            </w:r>
          </w:p>
        </w:tc>
      </w:tr>
      <w:tr>
        <w:tc>
          <w:tcPr>
            <w:tcW w:type="dxa" w:w="5040"/>
          </w:tcPr>
          <w:p>
            <w:r>
              <w:t>Backend engineer</w:t>
            </w:r>
          </w:p>
        </w:tc>
        <w:tc>
          <w:tcPr>
            <w:tcW w:type="dxa" w:w="5040"/>
          </w:tcPr>
          <w:p>
            <w:r>
              <w:t>1–2</w:t>
            </w:r>
          </w:p>
        </w:tc>
      </w:tr>
      <w:tr>
        <w:tc>
          <w:tcPr>
            <w:tcW w:type="dxa" w:w="5040"/>
          </w:tcPr>
          <w:p>
            <w:r>
              <w:t>QA/automation</w:t>
            </w:r>
          </w:p>
        </w:tc>
        <w:tc>
          <w:tcPr>
            <w:tcW w:type="dxa" w:w="5040"/>
          </w:tcPr>
          <w:p>
            <w:r>
              <w:t>1</w:t>
            </w:r>
          </w:p>
        </w:tc>
      </w:tr>
      <w:tr>
        <w:tc>
          <w:tcPr>
            <w:tcW w:type="dxa" w:w="5040"/>
          </w:tcPr>
          <w:p>
            <w:r>
              <w:t>UI/UX designer</w:t>
            </w:r>
          </w:p>
        </w:tc>
        <w:tc>
          <w:tcPr>
            <w:tcW w:type="dxa" w:w="5040"/>
          </w:tcPr>
          <w:p>
            <w:r>
              <w:t>0.5–1</w:t>
            </w:r>
          </w:p>
        </w:tc>
      </w:tr>
      <w:tr>
        <w:tc>
          <w:tcPr>
            <w:tcW w:type="dxa" w:w="5040"/>
          </w:tcPr>
          <w:p>
            <w:r>
              <w:t>DevOps/security</w:t>
            </w:r>
          </w:p>
        </w:tc>
        <w:tc>
          <w:tcPr>
            <w:tcW w:type="dxa" w:w="5040"/>
          </w:tcPr>
          <w:p>
            <w:r>
              <w:t>0.5</w:t>
            </w:r>
          </w:p>
        </w:tc>
      </w:tr>
    </w:tbl>
    <w:p>
      <w:pPr>
        <w:pStyle w:val="Heading1"/>
      </w:pPr>
      <w:r>
        <w:t>3. Phase Plan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Duration</w:t>
            </w:r>
          </w:p>
        </w:tc>
        <w:tc>
          <w:tcPr>
            <w:tcW w:type="dxa" w:w="3360"/>
          </w:tcPr>
          <w:p>
            <w:r>
              <w:t>Deliverables</w:t>
            </w:r>
          </w:p>
        </w:tc>
      </w:tr>
      <w:tr>
        <w:tc>
          <w:tcPr>
            <w:tcW w:type="dxa" w:w="3360"/>
          </w:tcPr>
          <w:p>
            <w:r>
              <w:t>Phase 0 — Discovery &amp; compliance</w:t>
            </w:r>
          </w:p>
        </w:tc>
        <w:tc>
          <w:tcPr>
            <w:tcW w:type="dxa" w:w="3360"/>
          </w:tcPr>
          <w:p>
            <w:r>
              <w:t>1–2 weeks</w:t>
            </w:r>
          </w:p>
        </w:tc>
        <w:tc>
          <w:tcPr>
            <w:tcW w:type="dxa" w:w="3360"/>
          </w:tcPr>
          <w:p>
            <w:r>
              <w:t>PRD, threat model, provider app registrations, OAuth scope review, UX wireframes, architecture ADRs.</w:t>
            </w:r>
          </w:p>
        </w:tc>
      </w:tr>
      <w:tr>
        <w:tc>
          <w:tcPr>
            <w:tcW w:type="dxa" w:w="3360"/>
          </w:tcPr>
          <w:p>
            <w:r>
              <w:t>Phase 1 — Foundation</w:t>
            </w:r>
          </w:p>
        </w:tc>
        <w:tc>
          <w:tcPr>
            <w:tcW w:type="dxa" w:w="3360"/>
          </w:tcPr>
          <w:p>
            <w:r>
              <w:t>2 weeks</w:t>
            </w:r>
          </w:p>
        </w:tc>
        <w:tc>
          <w:tcPr>
            <w:tcW w:type="dxa" w:w="3360"/>
          </w:tcPr>
          <w:p>
            <w:r>
              <w:t>Monorepo, CI/CD, Next.js, NestJS, PostgreSQL, Redis, auth, organizations, RBAC, secrets.</w:t>
            </w:r>
          </w:p>
        </w:tc>
      </w:tr>
      <w:tr>
        <w:tc>
          <w:tcPr>
            <w:tcW w:type="dxa" w:w="3360"/>
          </w:tcPr>
          <w:p>
            <w:r>
              <w:t>Phase 2 — Sender + Contacts</w:t>
            </w:r>
          </w:p>
        </w:tc>
        <w:tc>
          <w:tcPr>
            <w:tcW w:type="dxa" w:w="3360"/>
          </w:tcPr>
          <w:p>
            <w:r>
              <w:t>2 weeks</w:t>
            </w:r>
          </w:p>
        </w:tc>
        <w:tc>
          <w:tcPr>
            <w:tcW w:type="dxa" w:w="3360"/>
          </w:tcPr>
          <w:p>
            <w:r>
              <w:t>Gmail/Microsoft/Zoho connection, sender management, contacts, lists, CSV import.</w:t>
            </w:r>
          </w:p>
        </w:tc>
      </w:tr>
      <w:tr>
        <w:tc>
          <w:tcPr>
            <w:tcW w:type="dxa" w:w="3360"/>
          </w:tcPr>
          <w:p>
            <w:r>
              <w:t>Phase 3 — Campaign MVP</w:t>
            </w:r>
          </w:p>
        </w:tc>
        <w:tc>
          <w:tcPr>
            <w:tcW w:type="dxa" w:w="3360"/>
          </w:tcPr>
          <w:p>
            <w:r>
              <w:t>3 weeks</w:t>
            </w:r>
          </w:p>
        </w:tc>
        <w:tc>
          <w:tcPr>
            <w:tcW w:type="dxa" w:w="3360"/>
          </w:tcPr>
          <w:p>
            <w:r>
              <w:t>Editor, variables, preview, validation, campaign state machine, queue, workers, send now.</w:t>
            </w:r>
          </w:p>
        </w:tc>
      </w:tr>
      <w:tr>
        <w:tc>
          <w:tcPr>
            <w:tcW w:type="dxa" w:w="3360"/>
          </w:tcPr>
          <w:p>
            <w:r>
              <w:t>Phase 4 — Scheduling + Analytics</w:t>
            </w:r>
          </w:p>
        </w:tc>
        <w:tc>
          <w:tcPr>
            <w:tcW w:type="dxa" w:w="3360"/>
          </w:tcPr>
          <w:p>
            <w:r>
              <w:t>2–3 weeks</w:t>
            </w:r>
          </w:p>
        </w:tc>
        <w:tc>
          <w:tcPr>
            <w:tcW w:type="dxa" w:w="3360"/>
          </w:tcPr>
          <w:p>
            <w:r>
              <w:t>Scheduling, retries, quotas, event model, tracking, dashboard analytics.</w:t>
            </w:r>
          </w:p>
        </w:tc>
      </w:tr>
      <w:tr>
        <w:tc>
          <w:tcPr>
            <w:tcW w:type="dxa" w:w="3360"/>
          </w:tcPr>
          <w:p>
            <w:r>
              <w:t>Phase 5 — Sequences</w:t>
            </w:r>
          </w:p>
        </w:tc>
        <w:tc>
          <w:tcPr>
            <w:tcW w:type="dxa" w:w="3360"/>
          </w:tcPr>
          <w:p>
            <w:r>
              <w:t>2 weeks</w:t>
            </w:r>
          </w:p>
        </w:tc>
        <w:tc>
          <w:tcPr>
            <w:tcW w:type="dxa" w:w="3360"/>
          </w:tcPr>
          <w:p>
            <w:r>
              <w:t>Follow-ups, delays, reply stop conditions, sequence builder.</w:t>
            </w:r>
          </w:p>
        </w:tc>
      </w:tr>
      <w:tr>
        <w:tc>
          <w:tcPr>
            <w:tcW w:type="dxa" w:w="3360"/>
          </w:tcPr>
          <w:p>
            <w:r>
              <w:t>Phase 6 — SaaS</w:t>
            </w:r>
          </w:p>
        </w:tc>
        <w:tc>
          <w:tcPr>
            <w:tcW w:type="dxa" w:w="3360"/>
          </w:tcPr>
          <w:p>
            <w:r>
              <w:t>2 weeks</w:t>
            </w:r>
          </w:p>
        </w:tc>
        <w:tc>
          <w:tcPr>
            <w:tcW w:type="dxa" w:w="3360"/>
          </w:tcPr>
          <w:p>
            <w:r>
              <w:t>Billing, usage metering, team invites, audit logs, plan limits.</w:t>
            </w:r>
          </w:p>
        </w:tc>
      </w:tr>
      <w:tr>
        <w:tc>
          <w:tcPr>
            <w:tcW w:type="dxa" w:w="3360"/>
          </w:tcPr>
          <w:p>
            <w:r>
              <w:t>Phase 7 — AI + Integrations</w:t>
            </w:r>
          </w:p>
        </w:tc>
        <w:tc>
          <w:tcPr>
            <w:tcW w:type="dxa" w:w="3360"/>
          </w:tcPr>
          <w:p>
            <w:r>
              <w:t>3–4 weeks</w:t>
            </w:r>
          </w:p>
        </w:tc>
        <w:tc>
          <w:tcPr>
            <w:tcW w:type="dxa" w:w="3360"/>
          </w:tcPr>
          <w:p>
            <w:r>
              <w:t>AI assistant, Sheets/Docs/Excel integration foundation, Gmail extension.</w:t>
            </w:r>
          </w:p>
        </w:tc>
      </w:tr>
      <w:tr>
        <w:tc>
          <w:tcPr>
            <w:tcW w:type="dxa" w:w="3360"/>
          </w:tcPr>
          <w:p>
            <w:r>
              <w:t>Phase 8 — Hardening</w:t>
            </w:r>
          </w:p>
        </w:tc>
        <w:tc>
          <w:tcPr>
            <w:tcW w:type="dxa" w:w="3360"/>
          </w:tcPr>
          <w:p>
            <w:r>
              <w:t>2–3 weeks</w:t>
            </w:r>
          </w:p>
        </w:tc>
        <w:tc>
          <w:tcPr>
            <w:tcW w:type="dxa" w:w="3360"/>
          </w:tcPr>
          <w:p>
            <w:r>
              <w:t>Security testing, load tests, provider edge cases, accessibility, backups, disaster recovery.</w:t>
            </w:r>
          </w:p>
        </w:tc>
      </w:tr>
    </w:tbl>
    <w:p>
      <w:pPr>
        <w:pStyle w:val="Heading1"/>
      </w:pPr>
      <w:r>
        <w:t>4. Detailed Sprint Breakdown</w:t>
      </w:r>
    </w:p>
    <w:tbl>
      <w:tblPr>
        <w:tblStyle w:val="TableGrid"/>
        <w:tblW w:type="auto" w:w="0"/>
        <w:tblLook w:firstColumn="1" w:firstRow="1" w:lastColumn="0" w:lastRow="0" w:noHBand="0" w:noVBand="1" w:val="04A0"/>
      </w:tblPr>
      <w:tblGrid>
        <w:gridCol w:w="5040"/>
        <w:gridCol w:w="5040"/>
      </w:tblGrid>
      <w:tr>
        <w:tc>
          <w:tcPr>
            <w:tcW w:type="dxa" w:w="5040"/>
          </w:tcPr>
          <w:p>
            <w:r>
              <w:t>Sprint</w:t>
            </w:r>
          </w:p>
        </w:tc>
        <w:tc>
          <w:tcPr>
            <w:tcW w:type="dxa" w:w="5040"/>
          </w:tcPr>
          <w:p>
            <w:r>
              <w:t>Outcome</w:t>
            </w:r>
          </w:p>
        </w:tc>
      </w:tr>
      <w:tr>
        <w:tc>
          <w:tcPr>
            <w:tcW w:type="dxa" w:w="5040"/>
          </w:tcPr>
          <w:p>
            <w:r>
              <w:t>Sprint 1</w:t>
            </w:r>
          </w:p>
        </w:tc>
        <w:tc>
          <w:tcPr>
            <w:tcW w:type="dxa" w:w="5040"/>
          </w:tcPr>
          <w:p>
            <w:r>
              <w:t>Repo, environments, coding standards, auth skeleton, DB migrations, CI</w:t>
            </w:r>
          </w:p>
        </w:tc>
      </w:tr>
      <w:tr>
        <w:tc>
          <w:tcPr>
            <w:tcW w:type="dxa" w:w="5040"/>
          </w:tcPr>
          <w:p>
            <w:r>
              <w:t>Sprint 2</w:t>
            </w:r>
          </w:p>
        </w:tc>
        <w:tc>
          <w:tcPr>
            <w:tcW w:type="dxa" w:w="5040"/>
          </w:tcPr>
          <w:p>
            <w:r>
              <w:t>Organizations, RBAC, sender model, Google OAuth</w:t>
            </w:r>
          </w:p>
        </w:tc>
      </w:tr>
      <w:tr>
        <w:tc>
          <w:tcPr>
            <w:tcW w:type="dxa" w:w="5040"/>
          </w:tcPr>
          <w:p>
            <w:r>
              <w:t>Sprint 3</w:t>
            </w:r>
          </w:p>
        </w:tc>
        <w:tc>
          <w:tcPr>
            <w:tcW w:type="dxa" w:w="5040"/>
          </w:tcPr>
          <w:p>
            <w:r>
              <w:t>Microsoft/Zoho adapters, sender UI, token encryption</w:t>
            </w:r>
          </w:p>
        </w:tc>
      </w:tr>
      <w:tr>
        <w:tc>
          <w:tcPr>
            <w:tcW w:type="dxa" w:w="5040"/>
          </w:tcPr>
          <w:p>
            <w:r>
              <w:t>Sprint 4</w:t>
            </w:r>
          </w:p>
        </w:tc>
        <w:tc>
          <w:tcPr>
            <w:tcW w:type="dxa" w:w="5040"/>
          </w:tcPr>
          <w:p>
            <w:r>
              <w:t>Contacts, lists, CSV import pipeline</w:t>
            </w:r>
          </w:p>
        </w:tc>
      </w:tr>
      <w:tr>
        <w:tc>
          <w:tcPr>
            <w:tcW w:type="dxa" w:w="5040"/>
          </w:tcPr>
          <w:p>
            <w:r>
              <w:t>Sprint 5</w:t>
            </w:r>
          </w:p>
        </w:tc>
        <w:tc>
          <w:tcPr>
            <w:tcW w:type="dxa" w:w="5040"/>
          </w:tcPr>
          <w:p>
            <w:r>
              <w:t>Campaign builder, editor, variables</w:t>
            </w:r>
          </w:p>
        </w:tc>
      </w:tr>
      <w:tr>
        <w:tc>
          <w:tcPr>
            <w:tcW w:type="dxa" w:w="5040"/>
          </w:tcPr>
          <w:p>
            <w:r>
              <w:t>Sprint 6</w:t>
            </w:r>
          </w:p>
        </w:tc>
        <w:tc>
          <w:tcPr>
            <w:tcW w:type="dxa" w:w="5040"/>
          </w:tcPr>
          <w:p>
            <w:r>
              <w:t>Preview renderer, validation, send queue</w:t>
            </w:r>
          </w:p>
        </w:tc>
      </w:tr>
      <w:tr>
        <w:tc>
          <w:tcPr>
            <w:tcW w:type="dxa" w:w="5040"/>
          </w:tcPr>
          <w:p>
            <w:r>
              <w:t>Sprint 7</w:t>
            </w:r>
          </w:p>
        </w:tc>
        <w:tc>
          <w:tcPr>
            <w:tcW w:type="dxa" w:w="5040"/>
          </w:tcPr>
          <w:p>
            <w:r>
              <w:t>Provider workers, retries, quotas, idempotency</w:t>
            </w:r>
          </w:p>
        </w:tc>
      </w:tr>
      <w:tr>
        <w:tc>
          <w:tcPr>
            <w:tcW w:type="dxa" w:w="5040"/>
          </w:tcPr>
          <w:p>
            <w:r>
              <w:t>Sprint 8</w:t>
            </w:r>
          </w:p>
        </w:tc>
        <w:tc>
          <w:tcPr>
            <w:tcW w:type="dxa" w:w="5040"/>
          </w:tcPr>
          <w:p>
            <w:r>
              <w:t>Scheduling, tracking endpoints, event pipeline</w:t>
            </w:r>
          </w:p>
        </w:tc>
      </w:tr>
      <w:tr>
        <w:tc>
          <w:tcPr>
            <w:tcW w:type="dxa" w:w="5040"/>
          </w:tcPr>
          <w:p>
            <w:r>
              <w:t>Sprint 9</w:t>
            </w:r>
          </w:p>
        </w:tc>
        <w:tc>
          <w:tcPr>
            <w:tcW w:type="dxa" w:w="5040"/>
          </w:tcPr>
          <w:p>
            <w:r>
              <w:t>Analytics, recipient activity, campaign controls</w:t>
            </w:r>
          </w:p>
        </w:tc>
      </w:tr>
      <w:tr>
        <w:tc>
          <w:tcPr>
            <w:tcW w:type="dxa" w:w="5040"/>
          </w:tcPr>
          <w:p>
            <w:r>
              <w:t>Sprint 10</w:t>
            </w:r>
          </w:p>
        </w:tc>
        <w:tc>
          <w:tcPr>
            <w:tcW w:type="dxa" w:w="5040"/>
          </w:tcPr>
          <w:p>
            <w:r>
              <w:t>Sequences/follow-ups/reply stop</w:t>
            </w:r>
          </w:p>
        </w:tc>
      </w:tr>
      <w:tr>
        <w:tc>
          <w:tcPr>
            <w:tcW w:type="dxa" w:w="5040"/>
          </w:tcPr>
          <w:p>
            <w:r>
              <w:t>Sprint 11</w:t>
            </w:r>
          </w:p>
        </w:tc>
        <w:tc>
          <w:tcPr>
            <w:tcW w:type="dxa" w:w="5040"/>
          </w:tcPr>
          <w:p>
            <w:r>
              <w:t>Billing/team/audit</w:t>
            </w:r>
          </w:p>
        </w:tc>
      </w:tr>
      <w:tr>
        <w:tc>
          <w:tcPr>
            <w:tcW w:type="dxa" w:w="5040"/>
          </w:tcPr>
          <w:p>
            <w:r>
              <w:t>Sprint 12</w:t>
            </w:r>
          </w:p>
        </w:tc>
        <w:tc>
          <w:tcPr>
            <w:tcW w:type="dxa" w:w="5040"/>
          </w:tcPr>
          <w:p>
            <w:r>
              <w:t>AI + hardening</w:t>
            </w:r>
          </w:p>
        </w:tc>
      </w:tr>
    </w:tbl>
    <w:p>
      <w:pPr>
        <w:pStyle w:val="Heading1"/>
      </w:pPr>
      <w:r>
        <w:t>5. Testing Strategy</w:t>
      </w:r>
    </w:p>
    <w:p>
      <w:pPr>
        <w:pStyle w:val="ListBullet"/>
      </w:pPr>
      <w:r>
        <w:t>Unit: template parser, variable resolver, quota calculator, state transitions, provider error classifier.</w:t>
      </w:r>
    </w:p>
    <w:p>
      <w:pPr>
        <w:pStyle w:val="ListBullet"/>
      </w:pPr>
      <w:r>
        <w:t>Integration: PostgreSQL, Redis/BullMQ, OAuth token refresh, provider sandbox/test accounts.</w:t>
      </w:r>
    </w:p>
    <w:p>
      <w:pPr>
        <w:pStyle w:val="ListBullet"/>
      </w:pPr>
      <w:r>
        <w:t>Contract: provider adapter request/response fixtures.</w:t>
      </w:r>
    </w:p>
    <w:p>
      <w:pPr>
        <w:pStyle w:val="ListBullet"/>
      </w:pPr>
      <w:r>
        <w:t>E2E: signup → connect sender → import → compose → preview → schedule/send → analytics.</w:t>
      </w:r>
    </w:p>
    <w:p>
      <w:pPr>
        <w:pStyle w:val="ListBullet"/>
      </w:pPr>
      <w:r>
        <w:t>Load: queue throughput, import throughput, tracking endpoint, analytics queries.</w:t>
      </w:r>
    </w:p>
    <w:p>
      <w:pPr>
        <w:pStyle w:val="ListBullet"/>
      </w:pPr>
      <w:r>
        <w:t>Security: dependency scanning, SAST, secret scanning, OAuth scope review, authorization tests, SSRF/XSS/CSRF tests.</w:t>
      </w:r>
    </w:p>
    <w:p>
      <w:pPr>
        <w:pStyle w:val="ListBullet"/>
      </w:pPr>
      <w:r>
        <w:t>Accessibility: keyboard and screen-reader smoke tests plus automated checks.</w:t>
      </w:r>
    </w:p>
    <w:p>
      <w:pPr>
        <w:pStyle w:val="Heading1"/>
      </w:pPr>
      <w:r>
        <w:t>6. CI/CD</w:t>
      </w:r>
    </w:p>
    <w:p>
      <w:r>
        <w:rPr>
          <w:rFonts w:ascii="Consolas" w:hAnsi="Consolas"/>
          <w:sz w:val="16"/>
        </w:rPr>
        <w:t>Pull Request</w:t>
        <w:br/>
        <w:t xml:space="preserve"> -&gt; lint/typecheck</w:t>
        <w:br/>
        <w:t xml:space="preserve"> -&gt; unit tests</w:t>
        <w:br/>
        <w:t xml:space="preserve"> -&gt; integration tests</w:t>
        <w:br/>
        <w:t xml:space="preserve"> -&gt; build</w:t>
        <w:br/>
        <w:t xml:space="preserve"> -&gt; security/dependency scan</w:t>
        <w:br/>
        <w:t xml:space="preserve"> -&gt; preview environment</w:t>
        <w:br/>
        <w:br/>
        <w:t>Merge to main</w:t>
        <w:br/>
        <w:t xml:space="preserve"> -&gt; build images</w:t>
        <w:br/>
        <w:t xml:space="preserve"> -&gt; deploy staging</w:t>
        <w:br/>
        <w:t xml:space="preserve"> -&gt; smoke tests</w:t>
        <w:br/>
        <w:t xml:space="preserve"> -&gt; manual approval</w:t>
        <w:br/>
        <w:t xml:space="preserve"> -&gt; production</w:t>
        <w:br/>
        <w:t xml:space="preserve"> -&gt; migrations</w:t>
        <w:br/>
        <w:t xml:space="preserve"> -&gt; health checks</w:t>
        <w:br/>
        <w:t xml:space="preserve"> -&gt; rollback if failure</w:t>
      </w:r>
    </w:p>
    <w:p>
      <w:pPr>
        <w:pStyle w:val="Heading1"/>
      </w:pPr>
      <w:r>
        <w:t>7. Release Gates</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Exit criteria</w:t>
            </w:r>
          </w:p>
        </w:tc>
      </w:tr>
      <w:tr>
        <w:tc>
          <w:tcPr>
            <w:tcW w:type="dxa" w:w="5040"/>
          </w:tcPr>
          <w:p>
            <w:r>
              <w:t>MVP alpha</w:t>
            </w:r>
          </w:p>
        </w:tc>
        <w:tc>
          <w:tcPr>
            <w:tcW w:type="dxa" w:w="5040"/>
          </w:tcPr>
          <w:p>
            <w:r>
              <w:t>Core campaign can send successfully through Gmail test accounts; duplicate-send controls pass.</w:t>
            </w:r>
          </w:p>
        </w:tc>
      </w:tr>
      <w:tr>
        <w:tc>
          <w:tcPr>
            <w:tcW w:type="dxa" w:w="5040"/>
          </w:tcPr>
          <w:p>
            <w:r>
              <w:t>MVP beta</w:t>
            </w:r>
          </w:p>
        </w:tc>
        <w:tc>
          <w:tcPr>
            <w:tcW w:type="dxa" w:w="5040"/>
          </w:tcPr>
          <w:p>
            <w:r>
              <w:t>Gmail + Microsoft + Zoho adapters, scheduling, analytics, RBAC and billing pass acceptance tests.</w:t>
            </w:r>
          </w:p>
        </w:tc>
      </w:tr>
      <w:tr>
        <w:tc>
          <w:tcPr>
            <w:tcW w:type="dxa" w:w="5040"/>
          </w:tcPr>
          <w:p>
            <w:r>
              <w:t>Security gate</w:t>
            </w:r>
          </w:p>
        </w:tc>
        <w:tc>
          <w:tcPr>
            <w:tcW w:type="dxa" w:w="5040"/>
          </w:tcPr>
          <w:p>
            <w:r>
              <w:t>Threat model closed, critical/high findings resolved, OAuth scopes reviewed, secrets verified.</w:t>
            </w:r>
          </w:p>
        </w:tc>
      </w:tr>
      <w:tr>
        <w:tc>
          <w:tcPr>
            <w:tcW w:type="dxa" w:w="5040"/>
          </w:tcPr>
          <w:p>
            <w:r>
              <w:t>Scale gate</w:t>
            </w:r>
          </w:p>
        </w:tc>
        <w:tc>
          <w:tcPr>
            <w:tcW w:type="dxa" w:w="5040"/>
          </w:tcPr>
          <w:p>
            <w:r>
              <w:t>Load test meets target; worker recovery and provider throttling tested.</w:t>
            </w:r>
          </w:p>
        </w:tc>
      </w:tr>
      <w:tr>
        <w:tc>
          <w:tcPr>
            <w:tcW w:type="dxa" w:w="5040"/>
          </w:tcPr>
          <w:p>
            <w:r>
              <w:t>Production</w:t>
            </w:r>
          </w:p>
        </w:tc>
        <w:tc>
          <w:tcPr>
            <w:tcW w:type="dxa" w:w="5040"/>
          </w:tcPr>
          <w:p>
            <w:r>
              <w:t>Monitoring, backups, incident runbooks, privacy/legal review and provider requirements complete.</w:t>
            </w:r>
          </w:p>
        </w:tc>
      </w:tr>
    </w:tbl>
    <w:p>
      <w:pPr>
        <w:pStyle w:val="Heading1"/>
      </w:pPr>
      <w:r>
        <w:t>8. Operational Runbooks</w:t>
      </w:r>
    </w:p>
    <w:p>
      <w:pPr>
        <w:pStyle w:val="ListBullet"/>
      </w:pPr>
      <w:r>
        <w:t>Provider outage: pause affected jobs, surface status, retry with backoff, communicate ETA.</w:t>
      </w:r>
    </w:p>
    <w:p>
      <w:pPr>
        <w:pStyle w:val="ListBullet"/>
      </w:pPr>
      <w:r>
        <w:t>OAuth failure: mark sender REAUTH_REQUIRED and prevent new sends until reconnect.</w:t>
      </w:r>
    </w:p>
    <w:p>
      <w:pPr>
        <w:pStyle w:val="ListBullet"/>
      </w:pPr>
      <w:r>
        <w:t>Queue backlog: inspect queue depth, worker health, provider throttling, scale workers safely.</w:t>
      </w:r>
    </w:p>
    <w:p>
      <w:pPr>
        <w:pStyle w:val="ListBullet"/>
      </w:pPr>
      <w:r>
        <w:t>Duplicate-send incident: freeze affected sender/campaign, identify idempotency breach, preserve audit trail, remediate.</w:t>
      </w:r>
    </w:p>
    <w:p>
      <w:pPr>
        <w:pStyle w:val="ListBullet"/>
      </w:pPr>
      <w:r>
        <w:t>Database incident: failover/restore according to RPO/RTO, verify queue/outbox consistency.</w:t>
      </w:r>
    </w:p>
    <w:p>
      <w:pPr>
        <w:pStyle w:val="Heading1"/>
      </w:pPr>
      <w:r>
        <w:t>9. Initial Environment Variables</w:t>
      </w:r>
    </w:p>
    <w:p>
      <w:r>
        <w:rPr>
          <w:rFonts w:ascii="Consolas" w:hAnsi="Consolas"/>
          <w:sz w:val="16"/>
        </w:rPr>
        <w:t>DATABASE_URL</w:t>
        <w:br/>
        <w:t>REDIS_URL</w:t>
        <w:br/>
        <w:t>SESSION_SECRET</w:t>
        <w:br/>
        <w:t>ENCRYPTION_KEY_ID</w:t>
        <w:br/>
        <w:t>GOOGLE_CLIENT_ID</w:t>
        <w:br/>
        <w:t>GOOGLE_CLIENT_SECRET</w:t>
        <w:br/>
        <w:t>MICROSOFT_CLIENT_ID</w:t>
        <w:br/>
        <w:t>MICROSOFT_CLIENT_SECRET</w:t>
        <w:br/>
        <w:t>ZOHO_CLIENT_ID</w:t>
        <w:br/>
        <w:t>ZOHO_CLIENT_SECRET</w:t>
        <w:br/>
        <w:t>S3_BUCKET</w:t>
        <w:br/>
        <w:t>S3_REGION</w:t>
        <w:br/>
        <w:t>SENTRY_DSN</w:t>
        <w:br/>
        <w:t>AI_PROVIDER_API_KEY</w:t>
        <w:br/>
        <w:t>BILLING_PROVIDER_SECRET</w:t>
        <w:br/>
        <w:t>APP_BASE_URL</w:t>
      </w:r>
    </w:p>
    <w:p>
      <w:pPr>
        <w:pStyle w:val="Heading1"/>
      </w:pPr>
      <w:r>
        <w:t>10. Definition of Done</w:t>
      </w:r>
    </w:p>
    <w:p>
      <w:pPr>
        <w:pStyle w:val="ListBullet"/>
      </w:pPr>
      <w:r>
        <w:t>Feature has acceptance tests and telemetry.</w:t>
      </w:r>
    </w:p>
    <w:p>
      <w:pPr>
        <w:pStyle w:val="ListBullet"/>
      </w:pPr>
      <w:r>
        <w:t>Authorization is tested for positive and negative cases.</w:t>
      </w:r>
    </w:p>
    <w:p>
      <w:pPr>
        <w:pStyle w:val="ListBullet"/>
      </w:pPr>
      <w:r>
        <w:t>Database changes have migrations and rollback strategy.</w:t>
      </w:r>
    </w:p>
    <w:p>
      <w:pPr>
        <w:pStyle w:val="ListBullet"/>
      </w:pPr>
      <w:r>
        <w:t>Background jobs have retry/idempotency behavior.</w:t>
      </w:r>
    </w:p>
    <w:p>
      <w:pPr>
        <w:pStyle w:val="ListBullet"/>
      </w:pPr>
      <w:r>
        <w:t>User-facing errors are actionable.</w:t>
      </w:r>
    </w:p>
    <w:p>
      <w:pPr>
        <w:pStyle w:val="ListBullet"/>
      </w:pPr>
      <w:r>
        <w:t>Documentation and API contracts are updated.</w:t>
      </w:r>
    </w:p>
    <w:p>
      <w:pPr>
        <w:pStyle w:val="ListBullet"/>
      </w:pPr>
      <w:r>
        <w:t>No secrets are committed; production secrets come from managed secret storage.</w:t>
      </w:r>
    </w:p>
    <w:p>
      <w:pPr>
        <w:pStyle w:val="Heading1"/>
      </w:pPr>
      <w:r>
        <w:t>11. Technology Decision References</w:t>
      </w:r>
    </w:p>
    <w:p>
      <w:pPr>
        <w:pStyle w:val="ListBullet"/>
      </w:pPr>
      <w:r>
        <w:t>Google Gmail API quotas and sending: https://developers.google.com/workspace/gmail/api/reference/quota and https://developers.google.com/workspace/gmail/api/guides/sending</w:t>
      </w:r>
    </w:p>
    <w:p>
      <w:pPr>
        <w:pStyle w:val="ListBullet"/>
      </w:pPr>
      <w:r>
        <w:t>Microsoft Graph sendMail: https://learn.microsoft.com/en-us/graph/api/user-sendmail</w:t>
      </w:r>
    </w:p>
    <w:p>
      <w:pPr>
        <w:pStyle w:val="ListBullet"/>
      </w:pPr>
      <w:r>
        <w:t>NestJS/BullMQ queues: https://docs.nestjs.com/techniques/queues</w:t>
      </w:r>
    </w:p>
    <w:p>
      <w:pPr>
        <w:pStyle w:val="ListBullet"/>
      </w:pPr>
      <w:r>
        <w:t>BullMQ NestJS integration: https://docs.bullmq.io/guide/nestjs/</w:t>
      </w:r>
    </w:p>
    <w:p>
      <w:pPr>
        <w:pStyle w:val="ListBullet"/>
      </w:pPr>
      <w:r>
        <w:t>Mailmeteor product overview: https://mailmeteor.com/docs/get-started/</w:t>
      </w:r>
    </w:p>
    <w:p>
      <w:pPr>
        <w:pStyle w:val="ListBullet"/>
      </w:pPr>
      <w:r>
        <w:t>Mailmeteor email services: https://mailmeteor.com/docs/senders/email-services</w:t>
      </w:r>
    </w:p>
    <w:p>
      <w:pPr>
        <w:pStyle w:val="ListBullet"/>
      </w:pPr>
      <w:r>
        <w:t>Mailmeteor security: https://mailmeteor.com/security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