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200"/>
            </w:pPr>
          </w:p>
          <w:p>
            <w:pPr>
              <w:pBdr>
                <w:bottom w:val="single" w:color="37DCF2" w:sz="6" w:space="8"/>
              </w:pBdr>
              <w:spacing w:after="500"/>
              <w:ind w:left="1200" w:right="800"/>
            </w:pPr>
            <w:r>
              <w:rPr>
                <w:rFonts w:ascii="Calibri"/>
                <w:color w:val="37DCF2"/>
                <w:spacing w:val="40"/>
                <w:sz w:val="18"/>
                <w:szCs w:val="18"/>
              </w:rPr>
              <w:t xml:space="preserve">GLOBAL  AI  DRIVING  EDUCATION  ECOSYSTEM</w:t>
            </w:r>
          </w:p>
          <w:p>
            <w:pPr>
              <w:spacing w:after="100" w:line="828" w:lineRule="atLeast"/>
              <w:ind w:left="1200"/>
            </w:pPr>
            <w:r>
              <w:rPr>
                <w:rFonts w:ascii="Arial"/>
                <w:b/>
                <w:bCs/>
                <w:color w:val="FFFFFF"/>
                <w:sz w:val="72"/>
                <w:szCs w:val="72"/>
              </w:rPr>
              <w:t xml:space="preserve">Auto Drive</w:t>
            </w:r>
          </w:p>
          <w:p>
            <w:pPr>
              <w:spacing w:after="300" w:line="828" w:lineRule="atLeast"/>
              <w:ind w:left="1200"/>
            </w:pPr>
            <w:r>
              <w:rPr>
                <w:rFonts w:ascii="Arial"/>
                <w:b/>
                <w:bCs/>
                <w:color w:val="FFFFFF"/>
                <w:sz w:val="72"/>
                <w:szCs w:val="72"/>
              </w:rPr>
              <w:t xml:space="preserve">School Online</w:t>
            </w:r>
          </w:p>
          <w:p>
            <w:pPr>
              <w:spacing w:after="800"/>
              <w:ind w:left="1200"/>
            </w:pPr>
            <w:r>
              <w:rPr>
                <w:rFonts w:ascii="Arial"/>
                <w:color w:val="B0B8C0"/>
                <w:sz w:val="24"/>
                <w:szCs w:val="24"/>
              </w:rPr>
              <w:t xml:space="preserve">Global AI Driving Education Ecosystem Blueprint 2026-2030</w:t>
            </w:r>
          </w:p>
          <w:p>
            <w:pPr>
              <w:pBdr>
                <w:left w:val="single" w:color="37DCF2" w:sz="8" w:space="12"/>
              </w:pBdr>
              <w:spacing w:after="80"/>
              <w:ind w:left="1400"/>
            </w:pPr>
            <w:r>
              <w:rPr>
                <w:rFonts w:ascii="Arial"/>
                <w:color w:val="90989F"/>
                <w:sz w:val="22"/>
                <w:szCs w:val="22"/>
              </w:rPr>
              <w:t xml:space="preserve">Document de Specification Maitre | Version 1.0</w:t>
            </w:r>
          </w:p>
          <w:p>
            <w:pPr>
              <w:pBdr>
                <w:left w:val="single" w:color="37DCF2" w:sz="8" w:space="12"/>
              </w:pBdr>
              <w:spacing w:after="80"/>
              <w:ind w:left="1400"/>
            </w:pPr>
            <w:r>
              <w:rPr>
                <w:rFonts w:ascii="Arial"/>
                <w:color w:val="90989F"/>
                <w:sz w:val="22"/>
                <w:szCs w:val="22"/>
              </w:rPr>
              <w:t xml:space="preserve">Aout 2026 | Confidentiel</w:t>
            </w:r>
          </w:p>
          <w:p>
            <w:pPr>
              <w:spacing w:before="2400"/>
            </w:pPr>
          </w:p>
          <w:p>
            <w:pPr>
              <w:pBdr>
                <w:top w:val="single" w:color="37DCF2" w:sz="2" w:space="8"/>
              </w:pBdr>
              <w:spacing w:before="200"/>
              <w:ind w:left="1200" w:right="800"/>
            </w:pPr>
            <w:r>
              <w:rPr>
                <w:rFonts w:ascii="Arial"/>
                <w:color w:val="687078"/>
                <w:sz w:val="16"/>
                <w:szCs w:val="16"/>
              </w:rPr>
              <w:t xml:space="preserve">ADSO Engineering</w:t>
            </w:r>
            <w:r>
              <w:rPr>
                <w:sz w:val="16"/>
                <w:szCs w:val="16"/>
              </w:rPr>
              <w:t xml:space="preserve">                                                    </w:t>
            </w:r>
            <w:r>
              <w:rPr>
                <w:rFonts w:ascii="Arial"/>
                <w:color w:val="687078"/>
                <w:sz w:val="16"/>
                <w:szCs w:val="16"/>
              </w:rPr>
              <w:t xml:space="preserve">2026-2030</w:t>
            </w:r>
          </w:p>
        </w:tc>
      </w:tr>
    </w:tbl>
    <w:p>
      <w:pPr>
        <w:sectPr>
          <w:pgSz w:w="11906" w:h="16838" w:orient="portrait"/>
          <w:pgMar w:top="0" w:right="0" w:bottom="0" w:left="0" w:header="708" w:footer="708" w:gutter="0"/>
          <w:pgNumType/>
          <w:docGrid w:linePitch="360"/>
        </w:sectPr>
      </w:pPr>
    </w:p>
    <w:p>
      <w:pPr>
        <w:spacing w:after="400"/>
      </w:pPr>
      <w:r>
        <w:rPr>
          <w:rFonts w:ascii="Times New Roman" w:eastAsia="SimHei"/>
          <w:b/>
          <w:bCs/>
          <w:color w:val="0A1628"/>
          <w:sz w:val="36"/>
          <w:szCs w:val="36"/>
        </w:rPr>
        <w:t xml:space="preserve">TABLE DES MATIERES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PARTIE 1 — Vision Entreprise</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Mission</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Vision 2030</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Probleme Mondial Resolu</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Avantage Concurrentiel</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1.5 Positionnement Face aux Plateformes EdTech</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PARTIE 2 — Ecosysteme Complet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2.1 Application Eleve</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2.1.1 Inscription et Onboarding</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2.1.2 Cours et Contenus Pedagogiques</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2.1.3 IA Coach Personnel</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2.1.4 Examens et Certification</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2.2 Application Moniteur</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2.3 Plateforme Auto-ecole SaaS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2.4 Plateforme Entreprise</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2.5 Administration Centrale</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2.6 Vue d'Ensemble de l'Ecosysteme</w:t>
            </w:r>
            <w:r>
              <w:tab/>
            </w:r>
            <w:r>
              <w:fldChar w:fldCharType="begin"/>
            </w:r>
            <w:r>
              <w:instrText xml:space="preserve"> PAGEREF _Toc100016 \h </w:instrText>
            </w:r>
            <w:r>
              <w:fldChar w:fldCharType="separate"/>
            </w:r>
            <w:r>
              <w:t>5</w:t>
            </w:r>
            <w:r>
              <w:fldChar w:fldCharType="end"/>
            </w:r>
          </w:hyperlink>
        </w:p>
        <w:p>
          <w:pPr>
            <w:pStyle w:val="9"/>
            <w:tabs>
              <w:tab w:val="right" w:leader="dot" w:pos="9026"/>
            </w:tabs>
            <w:spacing w:before="120" w:after="60"/>
          </w:pPr>
          <w:hyperlink w:anchor="_Toc100017" w:history="1">
            <w:r>
              <w:rPr>
                <w:rStyle w:val="Hyperlink"/>
              </w:rPr>
              <w:t>PARTIE 3 — Architecture Technique</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3.1 Architecture Cloud Moderne</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3.2 Frontend : Next.js / React / TypeScript / PWA</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3.3 Backend : Architecture Modulaire</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3.4 Base de Donnees : PostgreSQL</w:t>
            </w:r>
            <w:r>
              <w:tab/>
            </w:r>
            <w:r>
              <w:fldChar w:fldCharType="begin"/>
            </w:r>
            <w:r>
              <w:instrText xml:space="preserve"> PAGEREF _Toc100021 \h </w:instrText>
            </w:r>
            <w:r>
              <w:fldChar w:fldCharType="separate"/>
            </w:r>
            <w:r>
              <w:t>12</w:t>
            </w:r>
            <w:r>
              <w:fldChar w:fldCharType="end"/>
            </w:r>
          </w:hyperlink>
        </w:p>
        <w:p>
          <w:pPr>
            <w:pStyle w:val="12"/>
            <w:ind w:left="720"/>
            <w:tabs>
              <w:tab w:val="right" w:leader="dot" w:pos="9026"/>
            </w:tabs>
            <w:spacing w:before="120" w:after="60"/>
          </w:pPr>
          <w:hyperlink w:anchor="_Toc100022" w:history="1">
            <w:r>
              <w:rPr>
                <w:rStyle w:val="Hyperlink"/>
              </w:rPr>
              <w:t>3.4.1 Structure Principale des Tables</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3.5 Authentification, Autorisation et Securite</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3.6 Stockage, Cache et Files d'Attente</w:t>
            </w:r>
            <w:r>
              <w:tab/>
            </w:r>
            <w:r>
              <w:fldChar w:fldCharType="begin"/>
            </w:r>
            <w:r>
              <w:instrText xml:space="preserve"> PAGEREF _Toc100024 \h </w:instrText>
            </w:r>
            <w:r>
              <w:fldChar w:fldCharType="separate"/>
            </w:r>
            <w:r>
              <w:t>13</w:t>
            </w:r>
            <w:r>
              <w:fldChar w:fldCharType="end"/>
            </w:r>
          </w:hyperlink>
        </w:p>
        <w:p>
          <w:pPr>
            <w:pStyle w:val="9"/>
            <w:tabs>
              <w:tab w:val="right" w:leader="dot" w:pos="9026"/>
            </w:tabs>
            <w:spacing w:before="120" w:after="60"/>
          </w:pPr>
          <w:hyperlink w:anchor="_Toc100025" w:history="1">
            <w:r>
              <w:rPr>
                <w:rStyle w:val="Hyperlink"/>
              </w:rPr>
              <w:t>PARTIE 4 — AI-First Architecture (AI-SCOS)</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4.1 Presentation du Systeme AI-SCOS</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4.2 Detail des Agents IA</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4.3 Architecture de Communication Inter-Agents</w:t>
            </w:r>
            <w:r>
              <w:tab/>
            </w:r>
            <w:r>
              <w:fldChar w:fldCharType="begin"/>
            </w:r>
            <w:r>
              <w:instrText xml:space="preserve"> PAGEREF _Toc100028 \h </w:instrText>
            </w:r>
            <w:r>
              <w:fldChar w:fldCharType="separate"/>
            </w:r>
            <w:r>
              <w:t>13</w:t>
            </w:r>
            <w:r>
              <w:fldChar w:fldCharType="end"/>
            </w:r>
          </w:hyperlink>
        </w:p>
        <w:p>
          <w:pPr>
            <w:pStyle w:val="9"/>
            <w:tabs>
              <w:tab w:val="right" w:leader="dot" w:pos="9026"/>
            </w:tabs>
            <w:spacing w:before="120" w:after="60"/>
          </w:pPr>
          <w:hyperlink w:anchor="_Toc100029" w:history="1">
            <w:r>
              <w:rPr>
                <w:rStyle w:val="Hyperlink"/>
              </w:rPr>
              <w:t>PARTIE 5 — IA Produit</w:t>
            </w:r>
            <w:r>
              <w:tab/>
            </w:r>
            <w:r>
              <w:fldChar w:fldCharType="begin"/>
            </w:r>
            <w:r>
              <w:instrText xml:space="preserve"> PAGEREF _Toc100029 \h </w:instrText>
            </w:r>
            <w:r>
              <w:fldChar w:fldCharType="separate"/>
            </w:r>
            <w:r>
              <w:t>16</w:t>
            </w:r>
            <w:r>
              <w:fldChar w:fldCharType="end"/>
            </w:r>
          </w:hyperlink>
        </w:p>
        <w:p>
          <w:pPr>
            <w:pStyle w:val="11"/>
            <w:ind w:left="360"/>
            <w:tabs>
              <w:tab w:val="right" w:leader="dot" w:pos="9026"/>
            </w:tabs>
            <w:spacing w:before="120" w:after="60"/>
          </w:pPr>
          <w:hyperlink w:anchor="_Toc100030" w:history="1">
            <w:r>
              <w:rPr>
                <w:rStyle w:val="Hyperlink"/>
              </w:rPr>
              <w:t>5.1 AI Driving Coach</w:t>
            </w:r>
            <w:r>
              <w:tab/>
            </w:r>
            <w:r>
              <w:fldChar w:fldCharType="begin"/>
            </w:r>
            <w:r>
              <w:instrText xml:space="preserve"> PAGEREF _Toc100030 \h </w:instrText>
            </w:r>
            <w:r>
              <w:fldChar w:fldCharType="separate"/>
            </w:r>
            <w:r>
              <w:t>16</w:t>
            </w:r>
            <w:r>
              <w:fldChar w:fldCharType="end"/>
            </w:r>
          </w:hyperlink>
        </w:p>
        <w:p>
          <w:pPr>
            <w:pStyle w:val="11"/>
            <w:ind w:left="360"/>
            <w:tabs>
              <w:tab w:val="right" w:leader="dot" w:pos="9026"/>
            </w:tabs>
            <w:spacing w:before="120" w:after="60"/>
          </w:pPr>
          <w:hyperlink w:anchor="_Toc100031" w:history="1">
            <w:r>
              <w:rPr>
                <w:rStyle w:val="Hyperlink"/>
              </w:rPr>
              <w:t>5.2 AI Teacher</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5.3 AI Examiner</w:t>
            </w:r>
            <w:r>
              <w:tab/>
            </w:r>
            <w:r>
              <w:fldChar w:fldCharType="begin"/>
            </w:r>
            <w:r>
              <w:instrText xml:space="preserve"> PAGEREF _Toc100032 \h </w:instrText>
            </w:r>
            <w:r>
              <w:fldChar w:fldCharType="separate"/>
            </w:r>
            <w:r>
              <w:t>17</w:t>
            </w:r>
            <w:r>
              <w:fldChar w:fldCharType="end"/>
            </w:r>
          </w:hyperlink>
        </w:p>
        <w:p>
          <w:pPr>
            <w:pStyle w:val="11"/>
            <w:ind w:left="360"/>
            <w:tabs>
              <w:tab w:val="right" w:leader="dot" w:pos="9026"/>
            </w:tabs>
            <w:spacing w:before="120" w:after="60"/>
          </w:pPr>
          <w:hyperlink w:anchor="_Toc100033" w:history="1">
            <w:r>
              <w:rPr>
                <w:rStyle w:val="Hyperlink"/>
              </w:rPr>
              <w:t>5.4 AI Simulator</w:t>
            </w:r>
            <w:r>
              <w:tab/>
            </w:r>
            <w:r>
              <w:fldChar w:fldCharType="begin"/>
            </w:r>
            <w:r>
              <w:instrText xml:space="preserve"> PAGEREF _Toc100033 \h </w:instrText>
            </w:r>
            <w:r>
              <w:fldChar w:fldCharType="separate"/>
            </w:r>
            <w:r>
              <w:t>17</w:t>
            </w:r>
            <w:r>
              <w:fldChar w:fldCharType="end"/>
            </w:r>
          </w:hyperlink>
        </w:p>
        <w:p>
          <w:pPr>
            <w:pStyle w:val="11"/>
            <w:ind w:left="360"/>
            <w:tabs>
              <w:tab w:val="right" w:leader="dot" w:pos="9026"/>
            </w:tabs>
            <w:spacing w:before="120" w:after="60"/>
          </w:pPr>
          <w:hyperlink w:anchor="_Toc100034" w:history="1">
            <w:r>
              <w:rPr>
                <w:rStyle w:val="Hyperlink"/>
              </w:rPr>
              <w:t>5.5 AI Translation Engine</w:t>
            </w:r>
            <w:r>
              <w:tab/>
            </w:r>
            <w:r>
              <w:fldChar w:fldCharType="begin"/>
            </w:r>
            <w:r>
              <w:instrText xml:space="preserve"> PAGEREF _Toc100034 \h </w:instrText>
            </w:r>
            <w:r>
              <w:fldChar w:fldCharType="separate"/>
            </w:r>
            <w:r>
              <w:t>17</w:t>
            </w:r>
            <w:r>
              <w:fldChar w:fldCharType="end"/>
            </w:r>
          </w:hyperlink>
        </w:p>
        <w:p>
          <w:pPr>
            <w:pStyle w:val="11"/>
            <w:ind w:left="360"/>
            <w:tabs>
              <w:tab w:val="right" w:leader="dot" w:pos="9026"/>
            </w:tabs>
            <w:spacing w:before="120" w:after="60"/>
          </w:pPr>
          <w:hyperlink w:anchor="_Toc100035" w:history="1">
            <w:r>
              <w:rPr>
                <w:rStyle w:val="Hyperlink"/>
              </w:rPr>
              <w:t>5.6 AI Business Analyst</w:t>
            </w:r>
            <w:r>
              <w:tab/>
            </w:r>
            <w:r>
              <w:fldChar w:fldCharType="begin"/>
            </w:r>
            <w:r>
              <w:instrText xml:space="preserve"> PAGEREF _Toc100035 \h </w:instrText>
            </w:r>
            <w:r>
              <w:fldChar w:fldCharType="separate"/>
            </w:r>
            <w:r>
              <w:t>18</w:t>
            </w:r>
            <w:r>
              <w:fldChar w:fldCharType="end"/>
            </w:r>
          </w:hyperlink>
        </w:p>
        <w:p>
          <w:pPr>
            <w:pStyle w:val="11"/>
            <w:ind w:left="360"/>
            <w:tabs>
              <w:tab w:val="right" w:leader="dot" w:pos="9026"/>
            </w:tabs>
            <w:spacing w:before="120" w:after="60"/>
          </w:pPr>
          <w:hyperlink w:anchor="_Toc100036" w:history="1">
            <w:r>
              <w:rPr>
                <w:rStyle w:val="Hyperlink"/>
              </w:rPr>
              <w:t>5.7 AI Customer Support</w:t>
            </w:r>
            <w:r>
              <w:tab/>
            </w:r>
            <w:r>
              <w:fldChar w:fldCharType="begin"/>
            </w:r>
            <w:r>
              <w:instrText xml:space="preserve"> PAGEREF _Toc100036 \h </w:instrText>
            </w:r>
            <w:r>
              <w:fldChar w:fldCharType="separate"/>
            </w:r>
            <w:r>
              <w:t>18</w:t>
            </w:r>
            <w:r>
              <w:fldChar w:fldCharType="end"/>
            </w:r>
          </w:hyperlink>
        </w:p>
        <w:p>
          <w:pPr>
            <w:pStyle w:val="11"/>
            <w:ind w:left="360"/>
            <w:tabs>
              <w:tab w:val="right" w:leader="dot" w:pos="9026"/>
            </w:tabs>
            <w:spacing w:before="120" w:after="60"/>
          </w:pPr>
          <w:hyperlink w:anchor="_Toc100037" w:history="1">
            <w:r>
              <w:rPr>
                <w:rStyle w:val="Hyperlink"/>
              </w:rPr>
              <w:t>5.8 Securite IA et RAG</w:t>
            </w:r>
            <w:r>
              <w:tab/>
            </w:r>
            <w:r>
              <w:fldChar w:fldCharType="begin"/>
            </w:r>
            <w:r>
              <w:instrText xml:space="preserve"> PAGEREF _Toc100037 \h </w:instrText>
            </w:r>
            <w:r>
              <w:fldChar w:fldCharType="separate"/>
            </w:r>
            <w:r>
              <w:t>18</w:t>
            </w:r>
            <w:r>
              <w:fldChar w:fldCharType="end"/>
            </w:r>
          </w:hyperlink>
        </w:p>
        <w:p>
          <w:pPr>
            <w:pStyle w:val="9"/>
            <w:tabs>
              <w:tab w:val="right" w:leader="dot" w:pos="9026"/>
            </w:tabs>
            <w:spacing w:before="120" w:after="60"/>
          </w:pPr>
          <w:hyperlink w:anchor="_Toc100038" w:history="1">
            <w:r>
              <w:rPr>
                <w:rStyle w:val="Hyperlink"/>
              </w:rPr>
              <w:t>PARTIE 6 — Monetisation</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6.1 Modele B2C : Offres Individuelles</w:t>
            </w:r>
            <w:r>
              <w:tab/>
            </w:r>
            <w:r>
              <w:fldChar w:fldCharType="begin"/>
            </w:r>
            <w:r>
              <w:instrText xml:space="preserve"> PAGEREF _Toc100039 \h </w:instrText>
            </w:r>
            <w:r>
              <w:fldChar w:fldCharType="separate"/>
            </w:r>
            <w:r>
              <w:t>19</w:t>
            </w:r>
            <w:r>
              <w:fldChar w:fldCharType="end"/>
            </w:r>
          </w:hyperlink>
        </w:p>
        <w:p>
          <w:pPr>
            <w:pStyle w:val="11"/>
            <w:ind w:left="360"/>
            <w:tabs>
              <w:tab w:val="right" w:leader="dot" w:pos="9026"/>
            </w:tabs>
            <w:spacing w:before="120" w:after="60"/>
          </w:pPr>
          <w:hyperlink w:anchor="_Toc100040" w:history="1">
            <w:r>
              <w:rPr>
                <w:rStyle w:val="Hyperlink"/>
              </w:rPr>
              <w:t>6.2 Modele B2B : Auto-ecoles, Entreprises, Institutions</w:t>
            </w:r>
            <w:r>
              <w:tab/>
            </w:r>
            <w:r>
              <w:fldChar w:fldCharType="begin"/>
            </w:r>
            <w:r>
              <w:instrText xml:space="preserve"> PAGEREF _Toc100040 \h </w:instrText>
            </w:r>
            <w:r>
              <w:fldChar w:fldCharType="separate"/>
            </w:r>
            <w:r>
              <w:t>19</w:t>
            </w:r>
            <w:r>
              <w:fldChar w:fldCharType="end"/>
            </w:r>
          </w:hyperlink>
        </w:p>
        <w:p>
          <w:pPr>
            <w:pStyle w:val="11"/>
            <w:ind w:left="360"/>
            <w:tabs>
              <w:tab w:val="right" w:leader="dot" w:pos="9026"/>
            </w:tabs>
            <w:spacing w:before="120" w:after="60"/>
          </w:pPr>
          <w:hyperlink w:anchor="_Toc100041" w:history="1">
            <w:r>
              <w:rPr>
                <w:rStyle w:val="Hyperlink"/>
              </w:rPr>
              <w:t>6.3 Marketplace et Commissions</w:t>
            </w:r>
            <w:r>
              <w:tab/>
            </w:r>
            <w:r>
              <w:fldChar w:fldCharType="begin"/>
            </w:r>
            <w:r>
              <w:instrText xml:space="preserve"> PAGEREF _Toc100041 \h </w:instrText>
            </w:r>
            <w:r>
              <w:fldChar w:fldCharType="separate"/>
            </w:r>
            <w:r>
              <w:t>19</w:t>
            </w:r>
            <w:r>
              <w:fldChar w:fldCharType="end"/>
            </w:r>
          </w:hyperlink>
        </w:p>
        <w:p>
          <w:pPr>
            <w:pStyle w:val="11"/>
            <w:ind w:left="360"/>
            <w:tabs>
              <w:tab w:val="right" w:leader="dot" w:pos="9026"/>
            </w:tabs>
            <w:spacing w:before="120" w:after="60"/>
          </w:pPr>
          <w:hyperlink w:anchor="_Toc100042" w:history="1">
            <w:r>
              <w:rPr>
                <w:rStyle w:val="Hyperlink"/>
              </w:rPr>
              <w:t>6.4 API et Partenariats</w:t>
            </w:r>
            <w:r>
              <w:tab/>
            </w:r>
            <w:r>
              <w:fldChar w:fldCharType="begin"/>
            </w:r>
            <w:r>
              <w:instrText xml:space="preserve"> PAGEREF _Toc100042 \h </w:instrText>
            </w:r>
            <w:r>
              <w:fldChar w:fldCharType="separate"/>
            </w:r>
            <w:r>
              <w:t>19</w:t>
            </w:r>
            <w:r>
              <w:fldChar w:fldCharType="end"/>
            </w:r>
          </w:hyperlink>
        </w:p>
        <w:p>
          <w:pPr>
            <w:pStyle w:val="11"/>
            <w:ind w:left="360"/>
            <w:tabs>
              <w:tab w:val="right" w:leader="dot" w:pos="9026"/>
            </w:tabs>
            <w:spacing w:before="120" w:after="60"/>
          </w:pPr>
          <w:hyperlink w:anchor="_Toc100043" w:history="1">
            <w:r>
              <w:rPr>
                <w:rStyle w:val="Hyperlink"/>
              </w:rPr>
              <w:t>6.5 Strategie Prix par Pays</w:t>
            </w:r>
            <w:r>
              <w:tab/>
            </w:r>
            <w:r>
              <w:fldChar w:fldCharType="begin"/>
            </w:r>
            <w:r>
              <w:instrText xml:space="preserve"> PAGEREF _Toc100043 \h </w:instrText>
            </w:r>
            <w:r>
              <w:fldChar w:fldCharType="separate"/>
            </w:r>
            <w:r>
              <w:t>20</w:t>
            </w:r>
            <w:r>
              <w:fldChar w:fldCharType="end"/>
            </w:r>
          </w:hyperlink>
        </w:p>
        <w:p>
          <w:pPr>
            <w:pStyle w:val="9"/>
            <w:tabs>
              <w:tab w:val="right" w:leader="dot" w:pos="9026"/>
            </w:tabs>
            <w:spacing w:before="120" w:after="60"/>
          </w:pPr>
          <w:hyperlink w:anchor="_Toc100044" w:history="1">
            <w:r>
              <w:rPr>
                <w:rStyle w:val="Hyperlink"/>
              </w:rPr>
              <w:t>PARTIE 7 — Securite Entreprise (CISO)</w:t>
            </w:r>
            <w:r>
              <w:tab/>
            </w:r>
            <w:r>
              <w:fldChar w:fldCharType="begin"/>
            </w:r>
            <w:r>
              <w:instrText xml:space="preserve"> PAGEREF _Toc100044 \h </w:instrText>
            </w:r>
            <w:r>
              <w:fldChar w:fldCharType="separate"/>
            </w:r>
            <w:r>
              <w:t>20</w:t>
            </w:r>
            <w:r>
              <w:fldChar w:fldCharType="end"/>
            </w:r>
          </w:hyperlink>
        </w:p>
        <w:p>
          <w:pPr>
            <w:pStyle w:val="11"/>
            <w:ind w:left="360"/>
            <w:tabs>
              <w:tab w:val="right" w:leader="dot" w:pos="9026"/>
            </w:tabs>
            <w:spacing w:before="120" w:after="60"/>
          </w:pPr>
          <w:hyperlink w:anchor="_Toc100045" w:history="1">
            <w:r>
              <w:rPr>
                <w:rStyle w:val="Hyperlink"/>
              </w:rPr>
              <w:t>7.1 Protection des Donnees Utilisateurs</w:t>
            </w:r>
            <w:r>
              <w:tab/>
            </w:r>
            <w:r>
              <w:fldChar w:fldCharType="begin"/>
            </w:r>
            <w:r>
              <w:instrText xml:space="preserve"> PAGEREF _Toc100045 \h </w:instrText>
            </w:r>
            <w:r>
              <w:fldChar w:fldCharType="separate"/>
            </w:r>
            <w:r>
              <w:t>20</w:t>
            </w:r>
            <w:r>
              <w:fldChar w:fldCharType="end"/>
            </w:r>
          </w:hyperlink>
        </w:p>
        <w:p>
          <w:pPr>
            <w:pStyle w:val="11"/>
            <w:ind w:left="360"/>
            <w:tabs>
              <w:tab w:val="right" w:leader="dot" w:pos="9026"/>
            </w:tabs>
            <w:spacing w:before="120" w:after="60"/>
          </w:pPr>
          <w:hyperlink w:anchor="_Toc100046" w:history="1">
            <w:r>
              <w:rPr>
                <w:rStyle w:val="Hyperlink"/>
              </w:rPr>
              <w:t>7.2 Chiffrement et Infrastructure</w:t>
            </w:r>
            <w:r>
              <w:tab/>
            </w:r>
            <w:r>
              <w:fldChar w:fldCharType="begin"/>
            </w:r>
            <w:r>
              <w:instrText xml:space="preserve"> PAGEREF _Toc100046 \h </w:instrText>
            </w:r>
            <w:r>
              <w:fldChar w:fldCharType="separate"/>
            </w:r>
            <w:r>
              <w:t>20</w:t>
            </w:r>
            <w:r>
              <w:fldChar w:fldCharType="end"/>
            </w:r>
          </w:hyperlink>
        </w:p>
        <w:p>
          <w:pPr>
            <w:pStyle w:val="11"/>
            <w:ind w:left="360"/>
            <w:tabs>
              <w:tab w:val="right" w:leader="dot" w:pos="9026"/>
            </w:tabs>
            <w:spacing w:before="120" w:after="60"/>
          </w:pPr>
          <w:hyperlink w:anchor="_Toc100047" w:history="1">
            <w:r>
              <w:rPr>
                <w:rStyle w:val="Hyperlink"/>
              </w:rPr>
              <w:t>7.3 Authentification MFA et RBAC</w:t>
            </w:r>
            <w:r>
              <w:tab/>
            </w:r>
            <w:r>
              <w:fldChar w:fldCharType="begin"/>
            </w:r>
            <w:r>
              <w:instrText xml:space="preserve"> PAGEREF _Toc100047 \h </w:instrText>
            </w:r>
            <w:r>
              <w:fldChar w:fldCharType="separate"/>
            </w:r>
            <w:r>
              <w:t>20</w:t>
            </w:r>
            <w:r>
              <w:fldChar w:fldCharType="end"/>
            </w:r>
          </w:hyperlink>
        </w:p>
        <w:p>
          <w:pPr>
            <w:pStyle w:val="11"/>
            <w:ind w:left="360"/>
            <w:tabs>
              <w:tab w:val="right" w:leader="dot" w:pos="9026"/>
            </w:tabs>
            <w:spacing w:before="120" w:after="60"/>
          </w:pPr>
          <w:hyperlink w:anchor="_Toc100048" w:history="1">
            <w:r>
              <w:rPr>
                <w:rStyle w:val="Hyperlink"/>
              </w:rPr>
              <w:t>7.4 Audit Logs, Prevention et Conformite</w:t>
            </w:r>
            <w:r>
              <w:tab/>
            </w:r>
            <w:r>
              <w:fldChar w:fldCharType="begin"/>
            </w:r>
            <w:r>
              <w:instrText xml:space="preserve"> PAGEREF _Toc100048 \h </w:instrText>
            </w:r>
            <w:r>
              <w:fldChar w:fldCharType="separate"/>
            </w:r>
            <w:r>
              <w:t>21</w:t>
            </w:r>
            <w:r>
              <w:fldChar w:fldCharType="end"/>
            </w:r>
          </w:hyperlink>
        </w:p>
        <w:p>
          <w:pPr>
            <w:pStyle w:val="11"/>
            <w:ind w:left="360"/>
            <w:tabs>
              <w:tab w:val="right" w:leader="dot" w:pos="9026"/>
            </w:tabs>
            <w:spacing w:before="120" w:after="60"/>
          </w:pPr>
          <w:hyperlink w:anchor="_Toc100049" w:history="1">
            <w:r>
              <w:rPr>
                <w:rStyle w:val="Hyperlink"/>
              </w:rPr>
              <w:t>7.5 Sauvegardes et Reprise Apres Incident</w:t>
            </w:r>
            <w:r>
              <w:tab/>
            </w:r>
            <w:r>
              <w:fldChar w:fldCharType="begin"/>
            </w:r>
            <w:r>
              <w:instrText xml:space="preserve"> PAGEREF _Toc100049 \h </w:instrText>
            </w:r>
            <w:r>
              <w:fldChar w:fldCharType="separate"/>
            </w:r>
            <w:r>
              <w:t>21</w:t>
            </w:r>
            <w:r>
              <w:fldChar w:fldCharType="end"/>
            </w:r>
          </w:hyperlink>
        </w:p>
        <w:p>
          <w:pPr>
            <w:pStyle w:val="9"/>
            <w:tabs>
              <w:tab w:val="right" w:leader="dot" w:pos="9026"/>
            </w:tabs>
            <w:spacing w:before="120" w:after="60"/>
          </w:pPr>
          <w:hyperlink w:anchor="_Toc100050" w:history="1">
            <w:r>
              <w:rPr>
                <w:rStyle w:val="Hyperlink"/>
              </w:rPr>
              <w:t>PARTIE 8 — Internationalisation</w:t>
            </w:r>
            <w:r>
              <w:tab/>
            </w:r>
            <w:r>
              <w:fldChar w:fldCharType="begin"/>
            </w:r>
            <w:r>
              <w:instrText xml:space="preserve"> PAGEREF _Toc100050 \h </w:instrText>
            </w:r>
            <w:r>
              <w:fldChar w:fldCharType="separate"/>
            </w:r>
            <w:r>
              <w:t>21</w:t>
            </w:r>
            <w:r>
              <w:fldChar w:fldCharType="end"/>
            </w:r>
          </w:hyperlink>
        </w:p>
        <w:p>
          <w:pPr>
            <w:pStyle w:val="11"/>
            <w:ind w:left="360"/>
            <w:tabs>
              <w:tab w:val="right" w:leader="dot" w:pos="9026"/>
            </w:tabs>
            <w:spacing w:before="120" w:after="60"/>
          </w:pPr>
          <w:hyperlink w:anchor="_Toc100051" w:history="1">
            <w:r>
              <w:rPr>
                <w:rStyle w:val="Hyperlink"/>
              </w:rPr>
              <w:t>8.1 Multi-Pays et Localisation Reglementaire</w:t>
            </w:r>
            <w:r>
              <w:tab/>
            </w:r>
            <w:r>
              <w:fldChar w:fldCharType="begin"/>
            </w:r>
            <w:r>
              <w:instrText xml:space="preserve"> PAGEREF _Toc100051 \h </w:instrText>
            </w:r>
            <w:r>
              <w:fldChar w:fldCharType="separate"/>
            </w:r>
            <w:r>
              <w:t>21</w:t>
            </w:r>
            <w:r>
              <w:fldChar w:fldCharType="end"/>
            </w:r>
          </w:hyperlink>
        </w:p>
        <w:p>
          <w:pPr>
            <w:pStyle w:val="11"/>
            <w:ind w:left="360"/>
            <w:tabs>
              <w:tab w:val="right" w:leader="dot" w:pos="9026"/>
            </w:tabs>
            <w:spacing w:before="120" w:after="60"/>
          </w:pPr>
          <w:hyperlink w:anchor="_Toc100052" w:history="1">
            <w:r>
              <w:rPr>
                <w:rStyle w:val="Hyperlink"/>
              </w:rPr>
              <w:t>8.2 Multi-Langues et RTL</w:t>
            </w:r>
            <w:r>
              <w:tab/>
            </w:r>
            <w:r>
              <w:fldChar w:fldCharType="begin"/>
            </w:r>
            <w:r>
              <w:instrText xml:space="preserve"> PAGEREF _Toc100052 \h </w:instrText>
            </w:r>
            <w:r>
              <w:fldChar w:fldCharType="separate"/>
            </w:r>
            <w:r>
              <w:t>22</w:t>
            </w:r>
            <w:r>
              <w:fldChar w:fldCharType="end"/>
            </w:r>
          </w:hyperlink>
        </w:p>
        <w:p>
          <w:pPr>
            <w:pStyle w:val="11"/>
            <w:ind w:left="360"/>
            <w:tabs>
              <w:tab w:val="right" w:leader="dot" w:pos="9026"/>
            </w:tabs>
            <w:spacing w:before="120" w:after="60"/>
          </w:pPr>
          <w:hyperlink w:anchor="_Toc100053" w:history="1">
            <w:r>
              <w:rPr>
                <w:rStyle w:val="Hyperlink"/>
              </w:rPr>
              <w:t>8.3 Devises et Paiements Locaux</w:t>
            </w:r>
            <w:r>
              <w:tab/>
            </w:r>
            <w:r>
              <w:fldChar w:fldCharType="begin"/>
            </w:r>
            <w:r>
              <w:instrText xml:space="preserve"> PAGEREF _Toc100053 \h </w:instrText>
            </w:r>
            <w:r>
              <w:fldChar w:fldCharType="separate"/>
            </w:r>
            <w:r>
              <w:t>22</w:t>
            </w:r>
            <w:r>
              <w:fldChar w:fldCharType="end"/>
            </w:r>
          </w:hyperlink>
        </w:p>
        <w:p>
          <w:pPr>
            <w:pStyle w:val="9"/>
            <w:tabs>
              <w:tab w:val="right" w:leader="dot" w:pos="9026"/>
            </w:tabs>
            <w:spacing w:before="120" w:after="60"/>
          </w:pPr>
          <w:hyperlink w:anchor="_Toc100054" w:history="1">
            <w:r>
              <w:rPr>
                <w:rStyle w:val="Hyperlink"/>
              </w:rPr>
              <w:t>PARTIE 9 — UX/UI Design</w:t>
            </w:r>
            <w:r>
              <w:tab/>
            </w:r>
            <w:r>
              <w:fldChar w:fldCharType="begin"/>
            </w:r>
            <w:r>
              <w:instrText xml:space="preserve"> PAGEREF _Toc100054 \h </w:instrText>
            </w:r>
            <w:r>
              <w:fldChar w:fldCharType="separate"/>
            </w:r>
            <w:r>
              <w:t>22</w:t>
            </w:r>
            <w:r>
              <w:fldChar w:fldCharType="end"/>
            </w:r>
          </w:hyperlink>
        </w:p>
        <w:p>
          <w:pPr>
            <w:pStyle w:val="11"/>
            <w:ind w:left="360"/>
            <w:tabs>
              <w:tab w:val="right" w:leader="dot" w:pos="9026"/>
            </w:tabs>
            <w:spacing w:before="120" w:after="60"/>
          </w:pPr>
          <w:hyperlink w:anchor="_Toc100055" w:history="1">
            <w:r>
              <w:rPr>
                <w:rStyle w:val="Hyperlink"/>
              </w:rPr>
              <w:t>9.1 Design System</w:t>
            </w:r>
            <w:r>
              <w:tab/>
            </w:r>
            <w:r>
              <w:fldChar w:fldCharType="begin"/>
            </w:r>
            <w:r>
              <w:instrText xml:space="preserve"> PAGEREF _Toc100055 \h </w:instrText>
            </w:r>
            <w:r>
              <w:fldChar w:fldCharType="separate"/>
            </w:r>
            <w:r>
              <w:t>22</w:t>
            </w:r>
            <w:r>
              <w:fldChar w:fldCharType="end"/>
            </w:r>
          </w:hyperlink>
        </w:p>
        <w:p>
          <w:pPr>
            <w:pStyle w:val="11"/>
            <w:ind w:left="360"/>
            <w:tabs>
              <w:tab w:val="right" w:leader="dot" w:pos="9026"/>
            </w:tabs>
            <w:spacing w:before="120" w:after="60"/>
          </w:pPr>
          <w:hyperlink w:anchor="_Toc100056" w:history="1">
            <w:r>
              <w:rPr>
                <w:rStyle w:val="Hyperlink"/>
              </w:rPr>
              <w:t>9.2 Experience Mobile et Accessibilite</w:t>
            </w:r>
            <w:r>
              <w:tab/>
            </w:r>
            <w:r>
              <w:fldChar w:fldCharType="begin"/>
            </w:r>
            <w:r>
              <w:instrText xml:space="preserve"> PAGEREF _Toc100056 \h </w:instrText>
            </w:r>
            <w:r>
              <w:fldChar w:fldCharType="separate"/>
            </w:r>
            <w:r>
              <w:t>22</w:t>
            </w:r>
            <w:r>
              <w:fldChar w:fldCharType="end"/>
            </w:r>
          </w:hyperlink>
        </w:p>
        <w:p>
          <w:pPr>
            <w:pStyle w:val="11"/>
            <w:ind w:left="360"/>
            <w:tabs>
              <w:tab w:val="right" w:leader="dot" w:pos="9026"/>
            </w:tabs>
            <w:spacing w:before="120" w:after="60"/>
          </w:pPr>
          <w:hyperlink w:anchor="_Toc100057" w:history="1">
            <w:r>
              <w:rPr>
                <w:rStyle w:val="Hyperlink"/>
              </w:rPr>
              <w:t>9.3 Parcours Utilisateur et Conversion</w:t>
            </w:r>
            <w:r>
              <w:tab/>
            </w:r>
            <w:r>
              <w:fldChar w:fldCharType="begin"/>
            </w:r>
            <w:r>
              <w:instrText xml:space="preserve"> PAGEREF _Toc100057 \h </w:instrText>
            </w:r>
            <w:r>
              <w:fldChar w:fldCharType="separate"/>
            </w:r>
            <w:r>
              <w:t>23</w:t>
            </w:r>
            <w:r>
              <w:fldChar w:fldCharType="end"/>
            </w:r>
          </w:hyperlink>
        </w:p>
        <w:p>
          <w:pPr>
            <w:pStyle w:val="9"/>
            <w:tabs>
              <w:tab w:val="right" w:leader="dot" w:pos="9026"/>
            </w:tabs>
            <w:spacing w:before="120" w:after="60"/>
          </w:pPr>
          <w:hyperlink w:anchor="_Toc100058" w:history="1">
            <w:r>
              <w:rPr>
                <w:rStyle w:val="Hyperlink"/>
              </w:rPr>
              <w:t>PARTIE 10 — Data et Analytics</w:t>
            </w:r>
            <w:r>
              <w:tab/>
            </w:r>
            <w:r>
              <w:fldChar w:fldCharType="begin"/>
            </w:r>
            <w:r>
              <w:instrText xml:space="preserve"> PAGEREF _Toc100058 \h </w:instrText>
            </w:r>
            <w:r>
              <w:fldChar w:fldCharType="separate"/>
            </w:r>
            <w:r>
              <w:t>23</w:t>
            </w:r>
            <w:r>
              <w:fldChar w:fldCharType="end"/>
            </w:r>
          </w:hyperlink>
        </w:p>
        <w:p>
          <w:pPr>
            <w:pStyle w:val="11"/>
            <w:ind w:left="360"/>
            <w:tabs>
              <w:tab w:val="right" w:leader="dot" w:pos="9026"/>
            </w:tabs>
            <w:spacing w:before="120" w:after="60"/>
          </w:pPr>
          <w:hyperlink w:anchor="_Toc100059" w:history="1">
            <w:r>
              <w:rPr>
                <w:rStyle w:val="Hyperlink"/>
              </w:rPr>
              <w:t>10.1 Tableaux de Bord et KPIs</w:t>
            </w:r>
            <w:r>
              <w:tab/>
            </w:r>
            <w:r>
              <w:fldChar w:fldCharType="begin"/>
            </w:r>
            <w:r>
              <w:instrText xml:space="preserve"> PAGEREF _Toc100059 \h </w:instrText>
            </w:r>
            <w:r>
              <w:fldChar w:fldCharType="separate"/>
            </w:r>
            <w:r>
              <w:t>23</w:t>
            </w:r>
            <w:r>
              <w:fldChar w:fldCharType="end"/>
            </w:r>
          </w:hyperlink>
        </w:p>
        <w:p>
          <w:pPr>
            <w:pStyle w:val="11"/>
            <w:ind w:left="360"/>
            <w:tabs>
              <w:tab w:val="right" w:leader="dot" w:pos="9026"/>
            </w:tabs>
            <w:spacing w:before="120" w:after="60"/>
          </w:pPr>
          <w:hyperlink w:anchor="_Toc100060" w:history="1">
            <w:r>
              <w:rPr>
                <w:rStyle w:val="Hyperlink"/>
              </w:rPr>
              <w:t>10.2 Business Intelligence et Predictions IA</w:t>
            </w:r>
            <w:r>
              <w:tab/>
            </w:r>
            <w:r>
              <w:fldChar w:fldCharType="begin"/>
            </w:r>
            <w:r>
              <w:instrText xml:space="preserve"> PAGEREF _Toc100060 \h </w:instrText>
            </w:r>
            <w:r>
              <w:fldChar w:fldCharType="separate"/>
            </w:r>
            <w:r>
              <w:t>23</w:t>
            </w:r>
            <w:r>
              <w:fldChar w:fldCharType="end"/>
            </w:r>
          </w:hyperlink>
        </w:p>
        <w:p>
          <w:pPr>
            <w:pStyle w:val="11"/>
            <w:ind w:left="360"/>
            <w:tabs>
              <w:tab w:val="right" w:leader="dot" w:pos="9026"/>
            </w:tabs>
            <w:spacing w:before="120" w:after="60"/>
          </w:pPr>
          <w:hyperlink w:anchor="_Toc100061" w:history="1">
            <w:r>
              <w:rPr>
                <w:rStyle w:val="Hyperlink"/>
              </w:rPr>
              <w:t>10.3 Metriques Cles</w:t>
            </w:r>
            <w:r>
              <w:tab/>
            </w:r>
            <w:r>
              <w:fldChar w:fldCharType="begin"/>
            </w:r>
            <w:r>
              <w:instrText xml:space="preserve"> PAGEREF _Toc100061 \h </w:instrText>
            </w:r>
            <w:r>
              <w:fldChar w:fldCharType="separate"/>
            </w:r>
            <w:r>
              <w:t>24</w:t>
            </w:r>
            <w:r>
              <w:fldChar w:fldCharType="end"/>
            </w:r>
          </w:hyperlink>
        </w:p>
        <w:p>
          <w:pPr>
            <w:pStyle w:val="9"/>
            <w:tabs>
              <w:tab w:val="right" w:leader="dot" w:pos="9026"/>
            </w:tabs>
            <w:spacing w:before="120" w:after="60"/>
          </w:pPr>
          <w:hyperlink w:anchor="_Toc100062" w:history="1">
            <w:r>
              <w:rPr>
                <w:rStyle w:val="Hyperlink"/>
              </w:rPr>
              <w:t>PARTIE 11 — DevOps Production</w:t>
            </w:r>
            <w:r>
              <w:tab/>
            </w:r>
            <w:r>
              <w:fldChar w:fldCharType="begin"/>
            </w:r>
            <w:r>
              <w:instrText xml:space="preserve"> PAGEREF _Toc100062 \h </w:instrText>
            </w:r>
            <w:r>
              <w:fldChar w:fldCharType="separate"/>
            </w:r>
            <w:r>
              <w:t>24</w:t>
            </w:r>
            <w:r>
              <w:fldChar w:fldCharType="end"/>
            </w:r>
          </w:hyperlink>
        </w:p>
        <w:p>
          <w:pPr>
            <w:pStyle w:val="11"/>
            <w:ind w:left="360"/>
            <w:tabs>
              <w:tab w:val="right" w:leader="dot" w:pos="9026"/>
            </w:tabs>
            <w:spacing w:before="120" w:after="60"/>
          </w:pPr>
          <w:hyperlink w:anchor="_Toc100063" w:history="1">
            <w:r>
              <w:rPr>
                <w:rStyle w:val="Hyperlink"/>
              </w:rPr>
              <w:t>11.1 Git Workflow et CI/CD</w:t>
            </w:r>
            <w:r>
              <w:tab/>
            </w:r>
            <w:r>
              <w:fldChar w:fldCharType="begin"/>
            </w:r>
            <w:r>
              <w:instrText xml:space="preserve"> PAGEREF _Toc100063 \h </w:instrText>
            </w:r>
            <w:r>
              <w:fldChar w:fldCharType="separate"/>
            </w:r>
            <w:r>
              <w:t>24</w:t>
            </w:r>
            <w:r>
              <w:fldChar w:fldCharType="end"/>
            </w:r>
          </w:hyperlink>
        </w:p>
        <w:p>
          <w:pPr>
            <w:pStyle w:val="11"/>
            <w:ind w:left="360"/>
            <w:tabs>
              <w:tab w:val="right" w:leader="dot" w:pos="9026"/>
            </w:tabs>
            <w:spacing w:before="120" w:after="60"/>
          </w:pPr>
          <w:hyperlink w:anchor="_Toc100064" w:history="1">
            <w:r>
              <w:rPr>
                <w:rStyle w:val="Hyperlink"/>
              </w:rPr>
              <w:t>11.2 Environnements et Monitoring</w:t>
            </w:r>
            <w:r>
              <w:tab/>
            </w:r>
            <w:r>
              <w:fldChar w:fldCharType="begin"/>
            </w:r>
            <w:r>
              <w:instrText xml:space="preserve"> PAGEREF _Toc100064 \h </w:instrText>
            </w:r>
            <w:r>
              <w:fldChar w:fldCharType="separate"/>
            </w:r>
            <w:r>
              <w:t>24</w:t>
            </w:r>
            <w:r>
              <w:fldChar w:fldCharType="end"/>
            </w:r>
          </w:hyperlink>
        </w:p>
        <w:p>
          <w:pPr>
            <w:pStyle w:val="11"/>
            <w:ind w:left="360"/>
            <w:tabs>
              <w:tab w:val="right" w:leader="dot" w:pos="9026"/>
            </w:tabs>
            <w:spacing w:before="120" w:after="60"/>
          </w:pPr>
          <w:hyperlink w:anchor="_Toc100065" w:history="1">
            <w:r>
              <w:rPr>
                <w:rStyle w:val="Hyperlink"/>
              </w:rPr>
              <w:t>11.3 Scalabilite et Performance</w:t>
            </w:r>
            <w:r>
              <w:tab/>
            </w:r>
            <w:r>
              <w:fldChar w:fldCharType="begin"/>
            </w:r>
            <w:r>
              <w:instrText xml:space="preserve"> PAGEREF _Toc100065 \h </w:instrText>
            </w:r>
            <w:r>
              <w:fldChar w:fldCharType="separate"/>
            </w:r>
            <w:r>
              <w:t>24</w:t>
            </w:r>
            <w:r>
              <w:fldChar w:fldCharType="end"/>
            </w:r>
          </w:hyperlink>
        </w:p>
        <w:p>
          <w:pPr>
            <w:pStyle w:val="9"/>
            <w:tabs>
              <w:tab w:val="right" w:leader="dot" w:pos="9026"/>
            </w:tabs>
            <w:spacing w:before="120" w:after="60"/>
          </w:pPr>
          <w:hyperlink w:anchor="_Toc100066" w:history="1">
            <w:r>
              <w:rPr>
                <w:rStyle w:val="Hyperlink"/>
              </w:rPr>
              <w:t>PARTIE 12 — Plan de Construction (Roadmap)</w:t>
            </w:r>
            <w:r>
              <w:tab/>
            </w:r>
            <w:r>
              <w:fldChar w:fldCharType="begin"/>
            </w:r>
            <w:r>
              <w:instrText xml:space="preserve"> PAGEREF _Toc100066 \h </w:instrText>
            </w:r>
            <w:r>
              <w:fldChar w:fldCharType="separate"/>
            </w:r>
            <w:r>
              <w:t>25</w:t>
            </w:r>
            <w:r>
              <w:fldChar w:fldCharType="end"/>
            </w:r>
          </w:hyperlink>
        </w:p>
        <w:p>
          <w:pPr>
            <w:pStyle w:val="11"/>
            <w:ind w:left="360"/>
            <w:tabs>
              <w:tab w:val="right" w:leader="dot" w:pos="9026"/>
            </w:tabs>
            <w:spacing w:before="120" w:after="60"/>
          </w:pPr>
          <w:hyperlink w:anchor="_Toc100067" w:history="1">
            <w:r>
              <w:rPr>
                <w:rStyle w:val="Hyperlink"/>
              </w:rPr>
              <w:t>12.1 Phase 1 : Fondation (Mois 1-6)</w:t>
            </w:r>
            <w:r>
              <w:tab/>
            </w:r>
            <w:r>
              <w:fldChar w:fldCharType="begin"/>
            </w:r>
            <w:r>
              <w:instrText xml:space="preserve"> PAGEREF _Toc100067 \h </w:instrText>
            </w:r>
            <w:r>
              <w:fldChar w:fldCharType="separate"/>
            </w:r>
            <w:r>
              <w:t>25</w:t>
            </w:r>
            <w:r>
              <w:fldChar w:fldCharType="end"/>
            </w:r>
          </w:hyperlink>
        </w:p>
        <w:p>
          <w:pPr>
            <w:pStyle w:val="11"/>
            <w:ind w:left="360"/>
            <w:tabs>
              <w:tab w:val="right" w:leader="dot" w:pos="9026"/>
            </w:tabs>
            <w:spacing w:before="120" w:after="60"/>
          </w:pPr>
          <w:hyperlink w:anchor="_Toc100068" w:history="1">
            <w:r>
              <w:rPr>
                <w:rStyle w:val="Hyperlink"/>
              </w:rPr>
              <w:t>12.2 Phase 2 : SaaS et Paiement (Mois 7-12)</w:t>
            </w:r>
            <w:r>
              <w:tab/>
            </w:r>
            <w:r>
              <w:fldChar w:fldCharType="begin"/>
            </w:r>
            <w:r>
              <w:instrText xml:space="preserve"> PAGEREF _Toc100068 \h </w:instrText>
            </w:r>
            <w:r>
              <w:fldChar w:fldCharType="separate"/>
            </w:r>
            <w:r>
              <w:t>25</w:t>
            </w:r>
            <w:r>
              <w:fldChar w:fldCharType="end"/>
            </w:r>
          </w:hyperlink>
        </w:p>
        <w:p>
          <w:pPr>
            <w:pStyle w:val="11"/>
            <w:ind w:left="360"/>
            <w:tabs>
              <w:tab w:val="right" w:leader="dot" w:pos="9026"/>
            </w:tabs>
            <w:spacing w:before="120" w:after="60"/>
          </w:pPr>
          <w:hyperlink w:anchor="_Toc100069" w:history="1">
            <w:r>
              <w:rPr>
                <w:rStyle w:val="Hyperlink"/>
              </w:rPr>
              <w:t>12.3 Phase 3 : IA Avancee (Mois 13-24)</w:t>
            </w:r>
            <w:r>
              <w:tab/>
            </w:r>
            <w:r>
              <w:fldChar w:fldCharType="begin"/>
            </w:r>
            <w:r>
              <w:instrText xml:space="preserve"> PAGEREF _Toc100069 \h </w:instrText>
            </w:r>
            <w:r>
              <w:fldChar w:fldCharType="separate"/>
            </w:r>
            <w:r>
              <w:t>25</w:t>
            </w:r>
            <w:r>
              <w:fldChar w:fldCharType="end"/>
            </w:r>
          </w:hyperlink>
        </w:p>
        <w:p>
          <w:pPr>
            <w:pStyle w:val="11"/>
            <w:ind w:left="360"/>
            <w:tabs>
              <w:tab w:val="right" w:leader="dot" w:pos="9026"/>
            </w:tabs>
            <w:spacing w:before="120" w:after="60"/>
          </w:pPr>
          <w:hyperlink w:anchor="_Toc100070" w:history="1">
            <w:r>
              <w:rPr>
                <w:rStyle w:val="Hyperlink"/>
              </w:rPr>
              <w:t>12.4 Phase 4 : Marketplace (Mois 25-36)</w:t>
            </w:r>
            <w:r>
              <w:tab/>
            </w:r>
            <w:r>
              <w:fldChar w:fldCharType="begin"/>
            </w:r>
            <w:r>
              <w:instrText xml:space="preserve"> PAGEREF _Toc100070 \h </w:instrText>
            </w:r>
            <w:r>
              <w:fldChar w:fldCharType="separate"/>
            </w:r>
            <w:r>
              <w:t>25</w:t>
            </w:r>
            <w:r>
              <w:fldChar w:fldCharType="end"/>
            </w:r>
          </w:hyperlink>
        </w:p>
        <w:p>
          <w:pPr>
            <w:pStyle w:val="11"/>
            <w:ind w:left="360"/>
            <w:tabs>
              <w:tab w:val="right" w:leader="dot" w:pos="9026"/>
            </w:tabs>
            <w:spacing w:before="120" w:after="60"/>
          </w:pPr>
          <w:hyperlink w:anchor="_Toc100071" w:history="1">
            <w:r>
              <w:rPr>
                <w:rStyle w:val="Hyperlink"/>
              </w:rPr>
              <w:t>12.5 Phase 5 : Expansion Mondiale (Mois 37-48)</w:t>
            </w:r>
            <w:r>
              <w:tab/>
            </w:r>
            <w:r>
              <w:fldChar w:fldCharType="begin"/>
            </w:r>
            <w:r>
              <w:instrText xml:space="preserve"> PAGEREF _Toc100071 \h </w:instrText>
            </w:r>
            <w:r>
              <w:fldChar w:fldCharType="separate"/>
            </w:r>
            <w:r>
              <w:t>26</w:t>
            </w:r>
            <w:r>
              <w:fldChar w:fldCharType="end"/>
            </w:r>
          </w:hyperlink>
        </w:p>
        <w:p>
          <w:pPr>
            <w:pStyle w:val="9"/>
            <w:tabs>
              <w:tab w:val="right" w:leader="dot" w:pos="9026"/>
            </w:tabs>
            <w:spacing w:before="120" w:after="60"/>
          </w:pPr>
          <w:hyperlink w:anchor="_Toc100072" w:history="1">
            <w:r>
              <w:rPr>
                <w:rStyle w:val="Hyperlink"/>
              </w:rPr>
              <w:t>PARTIE 13 — Directives pour les IA de Developpement</w:t>
            </w:r>
            <w:r>
              <w:tab/>
            </w:r>
            <w:r>
              <w:fldChar w:fldCharType="begin"/>
            </w:r>
            <w:r>
              <w:instrText xml:space="preserve"> PAGEREF _Toc100072 \h </w:instrText>
            </w:r>
            <w:r>
              <w:fldChar w:fldCharType="separate"/>
            </w:r>
            <w:r>
              <w:t>26</w:t>
            </w:r>
            <w:r>
              <w:fldChar w:fldCharType="end"/>
            </w:r>
          </w:hyperlink>
        </w:p>
        <w:p>
          <w:pPr>
            <w:pStyle w:val="11"/>
            <w:ind w:left="360"/>
            <w:tabs>
              <w:tab w:val="right" w:leader="dot" w:pos="9026"/>
            </w:tabs>
            <w:spacing w:before="120" w:after="60"/>
          </w:pPr>
          <w:hyperlink w:anchor="_Toc100073" w:history="1">
            <w:r>
              <w:rPr>
                <w:rStyle w:val="Hyperlink"/>
              </w:rPr>
              <w:t>13.1 Principes Fondamentaux</w:t>
            </w:r>
            <w:r>
              <w:tab/>
            </w:r>
            <w:r>
              <w:fldChar w:fldCharType="begin"/>
            </w:r>
            <w:r>
              <w:instrText xml:space="preserve"> PAGEREF _Toc100073 \h </w:instrText>
            </w:r>
            <w:r>
              <w:fldChar w:fldCharType="separate"/>
            </w:r>
            <w:r>
              <w:t>26</w:t>
            </w:r>
            <w:r>
              <w:fldChar w:fldCharType="end"/>
            </w:r>
          </w:hyperlink>
        </w:p>
        <w:p>
          <w:pPr>
            <w:pStyle w:val="12"/>
            <w:ind w:left="720"/>
            <w:tabs>
              <w:tab w:val="right" w:leader="dot" w:pos="9026"/>
            </w:tabs>
            <w:spacing w:before="120" w:after="60"/>
          </w:pPr>
          <w:hyperlink w:anchor="_Toc100074" w:history="1">
            <w:r>
              <w:rPr>
                <w:rStyle w:val="Hyperlink"/>
              </w:rPr>
              <w:t>13.1.1 Toujours Analyser Avant de Coder</w:t>
            </w:r>
            <w:r>
              <w:tab/>
            </w:r>
            <w:r>
              <w:fldChar w:fldCharType="begin"/>
            </w:r>
            <w:r>
              <w:instrText xml:space="preserve"> PAGEREF _Toc100074 \h </w:instrText>
            </w:r>
            <w:r>
              <w:fldChar w:fldCharType="separate"/>
            </w:r>
            <w:r>
              <w:t>26</w:t>
            </w:r>
            <w:r>
              <w:fldChar w:fldCharType="end"/>
            </w:r>
          </w:hyperlink>
        </w:p>
        <w:p>
          <w:pPr>
            <w:pStyle w:val="12"/>
            <w:ind w:left="720"/>
            <w:tabs>
              <w:tab w:val="right" w:leader="dot" w:pos="9026"/>
            </w:tabs>
            <w:spacing w:before="120" w:after="60"/>
          </w:pPr>
          <w:hyperlink w:anchor="_Toc100075" w:history="1">
            <w:r>
              <w:rPr>
                <w:rStyle w:val="Hyperlink"/>
              </w:rPr>
              <w:t>13.1.2 Produire une Architecture Claire</w:t>
            </w:r>
            <w:r>
              <w:tab/>
            </w:r>
            <w:r>
              <w:fldChar w:fldCharType="begin"/>
            </w:r>
            <w:r>
              <w:instrText xml:space="preserve"> PAGEREF _Toc100075 \h </w:instrText>
            </w:r>
            <w:r>
              <w:fldChar w:fldCharType="separate"/>
            </w:r>
            <w:r>
              <w:t>27</w:t>
            </w:r>
            <w:r>
              <w:fldChar w:fldCharType="end"/>
            </w:r>
          </w:hyperlink>
        </w:p>
        <w:p>
          <w:pPr>
            <w:pStyle w:val="12"/>
            <w:ind w:left="720"/>
            <w:tabs>
              <w:tab w:val="right" w:leader="dot" w:pos="9026"/>
            </w:tabs>
            <w:spacing w:before="120" w:after="60"/>
          </w:pPr>
          <w:hyperlink w:anchor="_Toc100076" w:history="1">
            <w:r>
              <w:rPr>
                <w:rStyle w:val="Hyperlink"/>
              </w:rPr>
              <w:t>13.1.3 Ecrire des Tests Comprehensifs</w:t>
            </w:r>
            <w:r>
              <w:tab/>
            </w:r>
            <w:r>
              <w:fldChar w:fldCharType="begin"/>
            </w:r>
            <w:r>
              <w:instrText xml:space="preserve"> PAGEREF _Toc100076 \h </w:instrText>
            </w:r>
            <w:r>
              <w:fldChar w:fldCharType="separate"/>
            </w:r>
            <w:r>
              <w:t>27</w:t>
            </w:r>
            <w:r>
              <w:fldChar w:fldCharType="end"/>
            </w:r>
          </w:hyperlink>
        </w:p>
        <w:p>
          <w:pPr>
            <w:pStyle w:val="12"/>
            <w:ind w:left="720"/>
            <w:tabs>
              <w:tab w:val="right" w:leader="dot" w:pos="9026"/>
            </w:tabs>
            <w:spacing w:before="120" w:after="60"/>
          </w:pPr>
          <w:hyperlink w:anchor="_Toc100077" w:history="1">
            <w:r>
              <w:rPr>
                <w:rStyle w:val="Hyperlink"/>
              </w:rPr>
              <w:t>13.1.4 Documenter Systematiquement</w:t>
            </w:r>
            <w:r>
              <w:tab/>
            </w:r>
            <w:r>
              <w:fldChar w:fldCharType="begin"/>
            </w:r>
            <w:r>
              <w:instrText xml:space="preserve"> PAGEREF _Toc100077 \h </w:instrText>
            </w:r>
            <w:r>
              <w:fldChar w:fldCharType="separate"/>
            </w:r>
            <w:r>
              <w:t>27</w:t>
            </w:r>
            <w:r>
              <w:fldChar w:fldCharType="end"/>
            </w:r>
          </w:hyperlink>
        </w:p>
        <w:p>
          <w:pPr>
            <w:pStyle w:val="12"/>
            <w:ind w:left="720"/>
            <w:tabs>
              <w:tab w:val="right" w:leader="dot" w:pos="9026"/>
            </w:tabs>
            <w:spacing w:before="120" w:after="60"/>
          </w:pPr>
          <w:hyperlink w:anchor="_Toc100078" w:history="1">
            <w:r>
              <w:rPr>
                <w:rStyle w:val="Hyperlink"/>
              </w:rPr>
              <w:t>13.1.5 Ne Jamais Casser l'Existant</w:t>
            </w:r>
            <w:r>
              <w:tab/>
            </w:r>
            <w:r>
              <w:fldChar w:fldCharType="begin"/>
            </w:r>
            <w:r>
              <w:instrText xml:space="preserve"> PAGEREF _Toc100078 \h </w:instrText>
            </w:r>
            <w:r>
              <w:fldChar w:fldCharType="separate"/>
            </w:r>
            <w:r>
              <w:t>27</w:t>
            </w:r>
            <w:r>
              <w:fldChar w:fldCharType="end"/>
            </w:r>
          </w:hyperlink>
        </w:p>
        <w:p>
          <w:pPr>
            <w:pStyle w:val="12"/>
            <w:ind w:left="720"/>
            <w:tabs>
              <w:tab w:val="right" w:leader="dot" w:pos="9026"/>
            </w:tabs>
            <w:spacing w:before="120" w:after="60"/>
          </w:pPr>
          <w:hyperlink w:anchor="_Toc100079" w:history="1">
            <w:r>
              <w:rPr>
                <w:rStyle w:val="Hyperlink"/>
              </w:rPr>
              <w:t>13.1.6 Respecter la Securite</w:t>
            </w:r>
            <w:r>
              <w:tab/>
            </w:r>
            <w:r>
              <w:fldChar w:fldCharType="begin"/>
            </w:r>
            <w:r>
              <w:instrText xml:space="preserve"> PAGEREF _Toc100079 \h </w:instrText>
            </w:r>
            <w:r>
              <w:fldChar w:fldCharType="separate"/>
            </w:r>
            <w:r>
              <w:t>28</w:t>
            </w:r>
            <w:r>
              <w:fldChar w:fldCharType="end"/>
            </w:r>
          </w:hyperlink>
        </w:p>
        <w:p>
          <w:pPr>
            <w:pStyle w:val="12"/>
            <w:ind w:left="720"/>
            <w:tabs>
              <w:tab w:val="right" w:leader="dot" w:pos="9026"/>
            </w:tabs>
            <w:spacing w:before="120" w:after="60"/>
          </w:pPr>
          <w:hyperlink w:anchor="_Toc100080" w:history="1">
            <w:r>
              <w:rPr>
                <w:rStyle w:val="Hyperlink"/>
              </w:rPr>
              <w:t>13.1.7 Optimiser la Performance</w:t>
            </w:r>
            <w:r>
              <w:tab/>
            </w:r>
            <w:r>
              <w:fldChar w:fldCharType="begin"/>
            </w:r>
            <w:r>
              <w:instrText xml:space="preserve"> PAGEREF _Toc100080 \h </w:instrText>
            </w:r>
            <w:r>
              <w:fldChar w:fldCharType="separate"/>
            </w:r>
            <w:r>
              <w:t>28</w:t>
            </w:r>
            <w:r>
              <w:fldChar w:fldCharType="end"/>
            </w:r>
          </w:hyperlink>
        </w:p>
        <w:p>
          <w:r>
            <w:fldChar w:fldCharType="end"/>
          </w:r>
        </w:p>
      </w:sdtContent>
    </w:sdt>
    <w:p>
      <w:pPr>
        <w:spacing w:before="300"/>
      </w:pPr>
      <w:r>
        <w:rPr>
          <w:rFonts w:ascii="Calibri"/>
          <w:i/>
          <w:iCs/>
          <w:color w:val="5A6080"/>
          <w:sz w:val="18"/>
          <w:szCs w:val="18"/>
        </w:rPr>
        <w:t xml:space="preserve">Note : Faites un clic droit sur la table des matieres et selectionnez "Mettre a jour les champs" pour actualiser les numeros de page.</w:t>
      </w:r>
    </w:p>
    <w:p>
      <w:r>
        <w:br w:type="page"/>
      </w:r>
    </w:p>
    <w:p>
      <w:pPr>
        <w:sectPr>
          <w:headerReference w:type="default" r:id="rId7"/>
          <w:footerReference w:type="default" r:id="rId8"/>
          <w:type w:val="nextPage"/>
          <w:pgSz w:w="11906" w:h="16838" w:orient="portrait"/>
          <w:pgMar w:top="1440" w:right="1417" w:bottom="1440" w:left="1701" w:header="708" w:footer="708" w:gutter="0"/>
          <w:pgNumType/>
          <w:docGrid w:linePitch="360"/>
        </w:sectPr>
      </w:pPr>
    </w:p>
    <w:p>
      <w:pPr>
        <w:pStyle w:val="Heading1"/>
        <w:spacing w:after="240" w:before="480"/>
      </w:pPr>
      <w:bookmarkStart w:id="100000" w:name="_Toc100000"/>
      <w:r>
        <w:rPr>
          <w:rFonts w:ascii="Times New Roman" w:eastAsia="SimHei"/>
          <w:b/>
          <w:bCs/>
          <w:color w:val="0A1628"/>
          <w:sz w:val="32"/>
          <w:szCs w:val="32"/>
        </w:rPr>
        <w:t xml:space="preserve">PARTIE 1 — Vision Entreprise</w:t>
      </w:r>
      <w:bookmarkEnd w:id="100000"/>
    </w:p>
    <w:p>
      <w:pPr>
        <w:pStyle w:val="Heading2"/>
        <w:spacing w:after="180" w:before="360"/>
      </w:pPr>
      <w:bookmarkStart w:id="100001" w:name="_Toc100001"/>
      <w:r>
        <w:rPr>
          <w:rFonts w:ascii="Times New Roman" w:eastAsia="SimHei"/>
          <w:b/>
          <w:bCs/>
          <w:color w:val="0A1628"/>
          <w:sz w:val="28"/>
          <w:szCs w:val="28"/>
        </w:rPr>
        <w:t xml:space="preserve">1.1 Mission</w:t>
      </w:r>
      <w:bookmarkEnd w:id="100001"/>
    </w:p>
    <w:p>
      <w:pPr>
        <w:spacing w:after="60" w:line="312"/>
        <w:ind w:firstLine="480"/>
        <w:jc w:val="both"/>
      </w:pPr>
      <w:r>
        <w:rPr>
          <w:rFonts w:ascii="Times New Roman" w:eastAsia="Microsoft YaHei"/>
          <w:color w:val="000000"/>
          <w:sz w:val="24"/>
          <w:szCs w:val="24"/>
        </w:rPr>
        <w:t xml:space="preserve">Auto Drive School Online (ADSO) a pour mission de democratiser l'acces a la formation a la conduite automobile a travers le monde en construisant la premiere plateforme intelligente, unifiee et mondiale dediee a l'apprentissage, la certification et la gestion de la conduite. La plateforme vise a remplacer les systemes fragmentes, couteux et inefficaces actuels par un ecosysteme numerique coherent qui connecte l'ensemble des acteurs de la chaine de valeur : eleves conducteurs, moniteurs, auto-ecoles, entreprises avec flottes, centres de formation, organismes de certification, partenaires automobiles, assureurs et institutions publiques. En integrant l'intelligence artificielle a chaque etape du parcours de formation, ADSO transforme l'education automobile en une experience personnalisee, adaptive et mesurable, accessible depuis n'importe quel appareil connecte, dans n'importe quel pays.</w:t>
      </w:r>
    </w:p>
    <w:p>
      <w:pPr>
        <w:spacing w:after="60" w:line="312"/>
        <w:ind w:firstLine="480"/>
        <w:jc w:val="both"/>
      </w:pPr>
      <w:r>
        <w:rPr>
          <w:rFonts w:ascii="Times New Roman" w:eastAsia="Microsoft YaHei"/>
          <w:color w:val="000000"/>
          <w:sz w:val="24"/>
          <w:szCs w:val="24"/>
        </w:rPr>
        <w:t xml:space="preserve">La mission se decompose en trois piliers fondamentaux. Premierement, la democratisation totale : rendre la formation a la conduite accessible a toute personne, quelle que soit sa localisation geographique, son niveau de revenus ou ses capacites physiques, grace a des algorithmes d'apprentissage adaptes et des tarifs flexibles. Deuxiemement, l'excellence pedagogique : garantir un niveau de formation superieur a la moyenne traditionnelle grace a l'IA qui personnalise les parcours, identifie les faiblesses de chaque eleve et adapte le contenu en temps reel. Troisiemement, la securite routiere globale : contribuer a la reduction des accidents de la route en formant des conducteurs mieux prepares, plus conscients des risques et capables de reagir correctement dans toutes les situations.</w:t>
      </w:r>
    </w:p>
    <w:p>
      <w:pPr>
        <w:pStyle w:val="Heading2"/>
        <w:spacing w:after="180" w:before="360"/>
      </w:pPr>
      <w:bookmarkStart w:id="100002" w:name="_Toc100002"/>
      <w:r>
        <w:rPr>
          <w:rFonts w:ascii="Times New Roman" w:eastAsia="SimHei"/>
          <w:b/>
          <w:bCs/>
          <w:color w:val="0A1628"/>
          <w:sz w:val="28"/>
          <w:szCs w:val="28"/>
        </w:rPr>
        <w:t xml:space="preserve">1.2 Vision 2030</w:t>
      </w:r>
      <w:bookmarkEnd w:id="100002"/>
    </w:p>
    <w:p>
      <w:pPr>
        <w:spacing w:after="60" w:line="312"/>
        <w:ind w:firstLine="480"/>
        <w:jc w:val="both"/>
      </w:pPr>
      <w:r>
        <w:rPr>
          <w:rFonts w:ascii="Times New Roman" w:eastAsia="Microsoft YaHei"/>
          <w:color w:val="000000"/>
          <w:sz w:val="24"/>
          <w:szCs w:val="24"/>
        </w:rPr>
        <w:t xml:space="preserve">D'ici 2030, Auto Drive School Online ambitionne de devenir le systeme d'exploitation numerique mondial de l'education automobile. Cette vision implique que chaque auto-ecole, chaque entreprise de transport, chaque centre de formation et chaque institution gouvernementale chargee de la securite routiere utilise ADSO comme plateforme de reference pour la formation des conducteurs. La plateforme sera deployee dans plus de 120 pays, supportant plus de 50 langues, avec des contenus entierement localises adaptant les reglementations, les signalisations, les conditions meteorologiques et les habitudes de conduite de chaque territoire. L'objectif est d'atteindre 100 millions d'utilisateurs actifs, dont 80 millions d'eleves conducteurs, 15 millions de moniteurs et 5 millions d'entreprises et institutions.</w:t>
      </w:r>
    </w:p>
    <w:p>
      <w:pPr>
        <w:spacing w:after="60" w:line="312"/>
        <w:ind w:firstLine="480"/>
        <w:jc w:val="both"/>
      </w:pPr>
      <w:r>
        <w:rPr>
          <w:rFonts w:ascii="Times New Roman" w:eastAsia="Microsoft YaHei"/>
          <w:color w:val="000000"/>
          <w:sz w:val="24"/>
          <w:szCs w:val="24"/>
        </w:rPr>
        <w:t xml:space="preserve">La vision 2030 inclut egalement l'integration complete avec les vehicules connectes et autonomes. ADSO evoluera pour former non seulement les conducteurs humains mais aussi les superviseurs de vehicules autonomes, creant ainsi un pont entre la conduite traditionnelle et la mobilite du futur. La plateforme incorporera des simulateurs de conduite virtuels en realite augmentee, des jumeaux numeriques de routes reelles pour l'entrainement, et des systemes de certification blockchain inviolables reconnus par les gouvernements du monde entier. L'ecosysteme generera un volume de donnees sur le comportement de conduite sans precedent, permettant aux chercheurs, aux assureurs et aux decideurs publics de mieux comprendre et ameliorer la securite routiere a l'echelle planetaire.</w:t>
      </w:r>
    </w:p>
    <w:p>
      <w:pPr>
        <w:pStyle w:val="Heading2"/>
        <w:spacing w:after="180" w:before="360"/>
      </w:pPr>
      <w:bookmarkStart w:id="100003" w:name="_Toc100003"/>
      <w:r>
        <w:rPr>
          <w:rFonts w:ascii="Times New Roman" w:eastAsia="SimHei"/>
          <w:b/>
          <w:bCs/>
          <w:color w:val="0A1628"/>
          <w:sz w:val="28"/>
          <w:szCs w:val="28"/>
        </w:rPr>
        <w:t xml:space="preserve">1.3 Probleme Mondial Resolu</w:t>
      </w:r>
      <w:bookmarkEnd w:id="100003"/>
    </w:p>
    <w:p>
      <w:pPr>
        <w:spacing w:after="60" w:line="312"/>
        <w:ind w:firstLine="480"/>
        <w:jc w:val="both"/>
      </w:pPr>
      <w:r>
        <w:rPr>
          <w:rFonts w:ascii="Times New Roman" w:eastAsia="Microsoft YaHei"/>
          <w:color w:val="000000"/>
          <w:sz w:val="24"/>
          <w:szCs w:val="24"/>
        </w:rPr>
        <w:t xml:space="preserve">L'education automobile fait face a une crise globale silencieuse. Selon l'Organisation Mondiale de la Sante, les accidents de la route causent 1,35 million de deces par an et constituent la premiere cause de mortalite chez les 5-29 ans. Une part significative de ces accidents est directement liee a une formation insuffisante ou inadaptee des conducteurs. Les problemes identifies sont multiples et systemiques : les auto-ecoles traditionnelles operent de maniere isolee avec des methodes pedagogiques non standardisees, les couts de formation sont prohibitifs dans de nombreux pays en developpement, l'acces a la formation est geographiquement limite dans les zones rurales, les contenus ne sont pas adaptes aux differents profils d'apprenants, et il n'existe aucun systeme mondial de suivi de la qualite de la formation.</w:t>
      </w:r>
    </w:p>
    <w:p>
      <w:pPr>
        <w:spacing w:after="60" w:line="312"/>
        <w:ind w:firstLine="480"/>
        <w:jc w:val="both"/>
      </w:pPr>
      <w:r>
        <w:rPr>
          <w:rFonts w:ascii="Times New Roman" w:eastAsia="Microsoft YaHei"/>
          <w:color w:val="000000"/>
          <w:sz w:val="24"/>
          <w:szCs w:val="24"/>
        </w:rPr>
        <w:t xml:space="preserve">ADSO resout ces problemes de maniere structurelle en offrant une plateforme centralisee qui standardise la qualite pedagogique tout en la personnalisant, reduit les couts grace a l'automatisation IA, elimine les barrieres geographiques via le cloud et les applications mobiles, adapte les contenus aux profils individuels et aux reglementations locales, et fournit des tableaux de bord analytiques pour le suivi continu de la qualite. La plateforme cree egalement un pont entre la formation theorique et pratique grace a l'integration de simulateurs et de capteurs IoT dans les vehicules d'entrainement, permettant un suivi en temps reel des performances de conduite et un feedback immediat.</w:t>
      </w:r>
    </w:p>
    <w:p>
      <w:pPr>
        <w:pStyle w:val="Heading2"/>
        <w:spacing w:after="180" w:before="360"/>
      </w:pPr>
      <w:bookmarkStart w:id="100004" w:name="_Toc100004"/>
      <w:r>
        <w:rPr>
          <w:rFonts w:ascii="Times New Roman" w:eastAsia="SimHei"/>
          <w:b/>
          <w:bCs/>
          <w:color w:val="0A1628"/>
          <w:sz w:val="28"/>
          <w:szCs w:val="28"/>
        </w:rPr>
        <w:t xml:space="preserve">1.4 Avantage Concurrentiel</w:t>
      </w:r>
      <w:bookmarkEnd w:id="100004"/>
    </w:p>
    <w:p>
      <w:pPr>
        <w:spacing w:after="60" w:line="312"/>
        <w:ind w:firstLine="480"/>
        <w:jc w:val="both"/>
      </w:pPr>
      <w:r>
        <w:rPr>
          <w:rFonts w:ascii="Times New Roman" w:eastAsia="Microsoft YaHei"/>
          <w:color w:val="000000"/>
          <w:sz w:val="24"/>
          <w:szCs w:val="24"/>
        </w:rPr>
        <w:t xml:space="preserve">L'avantage concurrentiel d'ADSO repose sur cinq piliers strategiques differenciants. Le premier est l'architecture AI-First : contrairement aux concurrents qui ajoutent l'IA comme fonctionnalite annexe, ADSO est concu de bout en bout avec l'intelligence artificielle au coeur de chaque processus, de la personnalisation des parcours au scoring des examens en passant par la prediction des risques. Le deuxieme pilier est l'ecosysteme complet : l'integration de toutes les interfaces (eleve, moniteur, auto-ecole, entreprise, administration) dans une plateforme unifiee cree des effets de reseaux importants qui augmentent la valeur pour chaque utilisateur a mesure que la base d'utilisateurs croit.</w:t>
      </w:r>
    </w:p>
    <w:p>
      <w:pPr>
        <w:spacing w:after="60" w:line="312"/>
        <w:ind w:firstLine="480"/>
        <w:jc w:val="both"/>
      </w:pPr>
      <w:r>
        <w:rPr>
          <w:rFonts w:ascii="Times New Roman" w:eastAsia="Microsoft YaHei"/>
          <w:color w:val="000000"/>
          <w:sz w:val="24"/>
          <w:szCs w:val="24"/>
        </w:rPr>
        <w:t xml:space="preserve">Le troisieme pilier est la modularite SaaS multitenant : l'architecture technique permet a chaque auto-ecole ou entreprise de beneficier d'une instance personnalisee avec ses propres regles, tarifs et contenus, tout en beneficiant des mises a jour et ameliorations continues de la plateforme. Le quatrieme pilier est la localisation profonde : chaque pays dispose d'un module reglementaire complet integrant le code de la route local, les procedures d'examen, les signalisations specifiques et les particularites de conduite, rendant la plateforme immediatement operationnelle dans de nouveaux marches. Le cinquieme pilier est la vision ecosystemique : ADSO ne se contente pas de former des conducteurs, il connecte l'ensemble de la chaine de valeur automobile (constructeurs, assureurs, services d'entretien, gouvernements) creant ainsi un reseau d'effets de plateforme durables.</w:t>
      </w:r>
    </w:p>
    <w:p>
      <w:pPr>
        <w:pStyle w:val="Heading2"/>
        <w:spacing w:after="180" w:before="360"/>
      </w:pPr>
      <w:bookmarkStart w:id="100005" w:name="_Toc100005"/>
      <w:r>
        <w:rPr>
          <w:rFonts w:ascii="Times New Roman" w:eastAsia="SimHei"/>
          <w:b/>
          <w:bCs/>
          <w:color w:val="0A1628"/>
          <w:sz w:val="28"/>
          <w:szCs w:val="28"/>
        </w:rPr>
        <w:t xml:space="preserve">1.5 Positionnement Face aux Plateformes EdTech</w:t>
      </w:r>
      <w:bookmarkEnd w:id="100005"/>
    </w:p>
    <w:p>
      <w:pPr>
        <w:spacing w:after="60" w:line="312"/>
        <w:ind w:firstLine="480"/>
        <w:jc w:val="both"/>
      </w:pPr>
      <w:r>
        <w:rPr>
          <w:rFonts w:ascii="Times New Roman" w:eastAsia="Microsoft YaHei"/>
          <w:color w:val="000000"/>
          <w:sz w:val="24"/>
          <w:szCs w:val="24"/>
        </w:rPr>
        <w:t xml:space="preserve">Contrairement aux plateformes EdTech generales (Coursera, Udemy, edX) qui traitent la conduite automobile comme un sujet marginal parmi des milliers d'autres, ADSO est entierement dedie a ce domaine vertical. Cette specialisation apporte plusieurs avantages decisifs : une comprehension profonde des reglementations et exigences specifiques a chaque pays, des partenariats strategiques avec les acteurs de l'industrie automobile, des simulateurs et outils specialement concus pour l'apprentissage de la conduite, et une credibilite institutionnelle que les plateformes generales ne peuvent pas obtenir dans ce secteur. Les concurrents verticaux existants sont soit des solutions locales limitees a un seul pays (Ornikar en France, GeTypist en Allemagne), soit des outils monofonctionnels (quiz de code, reservation de lecons) sans l'approche ecosystemique d'ADSO. Aucun acteur actuel ne propose une plateforme unifiee couvrant l'ensemble du cycle de vie de la formation a la conduite a l'echelle mondiale.</w:t>
      </w:r>
    </w:p>
    <w:p>
      <w:pPr>
        <w:pStyle w:val="Heading1"/>
        <w:spacing w:after="240" w:before="480"/>
      </w:pPr>
      <w:bookmarkStart w:id="100006" w:name="_Toc100006"/>
      <w:r>
        <w:rPr>
          <w:rFonts w:ascii="Times New Roman" w:eastAsia="SimHei"/>
          <w:b/>
          <w:bCs/>
          <w:color w:val="0A1628"/>
          <w:sz w:val="32"/>
          <w:szCs w:val="32"/>
        </w:rPr>
        <w:t xml:space="preserve">PARTIE 2 — Ecosysteme Complet</w:t>
      </w:r>
      <w:bookmarkEnd w:id="100006"/>
    </w:p>
    <w:p>
      <w:pPr>
        <w:pStyle w:val="Heading2"/>
        <w:spacing w:after="180" w:before="360"/>
      </w:pPr>
      <w:bookmarkStart w:id="100007" w:name="_Toc100007"/>
      <w:r>
        <w:rPr>
          <w:rFonts w:ascii="Times New Roman" w:eastAsia="SimHei"/>
          <w:b/>
          <w:bCs/>
          <w:color w:val="0A1628"/>
          <w:sz w:val="28"/>
          <w:szCs w:val="28"/>
        </w:rPr>
        <w:t xml:space="preserve">2.1 Application Eleve</w:t>
      </w:r>
      <w:bookmarkEnd w:id="100007"/>
    </w:p>
    <w:p>
      <w:pPr>
        <w:pStyle w:val="Heading3"/>
        <w:spacing w:after="120" w:before="240"/>
      </w:pPr>
      <w:bookmarkStart w:id="100008" w:name="_Toc100008"/>
      <w:r>
        <w:rPr>
          <w:rFonts w:ascii="Times New Roman" w:eastAsia="SimHei"/>
          <w:b/>
          <w:bCs/>
          <w:color w:val="0A1628"/>
          <w:sz w:val="24"/>
          <w:szCs w:val="24"/>
        </w:rPr>
        <w:t xml:space="preserve">2.1.1 Inscription et Onboarding</w:t>
      </w:r>
      <w:bookmarkEnd w:id="100008"/>
    </w:p>
    <w:p>
      <w:pPr>
        <w:spacing w:after="60" w:line="312"/>
        <w:ind w:firstLine="480"/>
        <w:jc w:val="both"/>
      </w:pPr>
      <w:r>
        <w:rPr>
          <w:rFonts w:ascii="Times New Roman" w:eastAsia="Microsoft YaHei"/>
          <w:color w:val="000000"/>
          <w:sz w:val="24"/>
          <w:szCs w:val="24"/>
        </w:rPr>
        <w:t xml:space="preserve">L'application eleve constitue le point d'entree principal de l'ecosysteme ADSO. L'inscription est concue pour etre fluide et accessible, avec un processus en trois etapes maximales : creation du compte (email ou authentification sociale), selection du pays et du type de permis souhaite, et evaluation initiale des connaissances par un quiz diagnostique de 20 questions. Le systeme d'onboarding intelligent utilise l'IA pour personnaliser immediatement le parcours de l'eleve en fonction de ses resultats au quiz, de son age, de son experience prealable et de ses preferences d'apprentissage. L'application est disponible en Progressive Web App (PWA) et en application native iOS/Android, garantissant une accessibilite universelle avec ou sans connexion internet.</w:t>
      </w:r>
    </w:p>
    <w:p>
      <w:pPr>
        <w:pStyle w:val="Heading3"/>
        <w:spacing w:after="120" w:before="240"/>
      </w:pPr>
      <w:bookmarkStart w:id="100009" w:name="_Toc100009"/>
      <w:r>
        <w:rPr>
          <w:rFonts w:ascii="Times New Roman" w:eastAsia="SimHei"/>
          <w:b/>
          <w:bCs/>
          <w:color w:val="0A1628"/>
          <w:sz w:val="24"/>
          <w:szCs w:val="24"/>
        </w:rPr>
        <w:t xml:space="preserve">2.1.2 Cours et Contenus Pedagogiques</w:t>
      </w:r>
      <w:bookmarkEnd w:id="100009"/>
    </w:p>
    <w:p>
      <w:pPr>
        <w:spacing w:after="60" w:line="312"/>
        <w:ind w:firstLine="480"/>
        <w:jc w:val="both"/>
      </w:pPr>
      <w:r>
        <w:rPr>
          <w:rFonts w:ascii="Times New Roman" w:eastAsia="Microsoft YaHei"/>
          <w:color w:val="000000"/>
          <w:sz w:val="24"/>
          <w:szCs w:val="24"/>
        </w:rPr>
        <w:t xml:space="preserve">La bibliotheque de cours couvre l'integralite du programme de formation theorique et pratique, structuree en modules thematiques conformes aux exigences reglementaires de chaque pays. Chaque module comprend des lecons video de haute qualite (4K, multilingues avec sous-titres), des infographies interactives, des simulations 3D de situations de conduite, des quiz de validation a chaque fin de chapitre, et des fiches synthetiques telechargeables. Le contenu est organise selon une progression pedagogique adaptee au niveau de l'eleve, avec des chemins d'apprentissage differencies pour les debutants absolus, les conducteurs experimes souhaitant un permis supplementaire, et les professionnels de la conduite. Le systeme de micro-learning permet des sessions d'apprentissage courtes (5-15 minutes) adaptees aux emplois du temps charges, avec une reprise intelligente a chaque connexion.</w:t>
      </w:r>
    </w:p>
    <w:p>
      <w:pPr>
        <w:pStyle w:val="Heading3"/>
        <w:spacing w:after="120" w:before="240"/>
      </w:pPr>
      <w:bookmarkStart w:id="100010" w:name="_Toc100010"/>
      <w:r>
        <w:rPr>
          <w:rFonts w:ascii="Times New Roman" w:eastAsia="SimHei"/>
          <w:b/>
          <w:bCs/>
          <w:color w:val="0A1628"/>
          <w:sz w:val="24"/>
          <w:szCs w:val="24"/>
        </w:rPr>
        <w:t xml:space="preserve">2.1.3 IA Coach Personnel</w:t>
      </w:r>
      <w:bookmarkEnd w:id="100010"/>
    </w:p>
    <w:p>
      <w:pPr>
        <w:spacing w:after="60" w:line="312"/>
        <w:ind w:firstLine="480"/>
        <w:jc w:val="both"/>
      </w:pPr>
      <w:r>
        <w:rPr>
          <w:rFonts w:ascii="Times New Roman" w:eastAsia="Microsoft YaHei"/>
          <w:color w:val="000000"/>
          <w:sz w:val="24"/>
          <w:szCs w:val="24"/>
        </w:rPr>
        <w:t xml:space="preserve">Le composant le plus innovant de l'application eleve est l'IA Coach, un assistant intelligent qui accompagne l'eleve tout au long de son parcours. L'IA Coach analyse en temps reel les performances de l'eleve, identifie ses points forts et ses lacunes, et propose un programme d'entrainement personnalise. Il utilise des techniques de learning analytics pour predire les sujets sur lesquels l'eleve risque d'echouer et concentre les efforts de revision sur ces zones. Le coach fournit des explications detaillees en langage naturel lors des erreurs, suggere des exercices complementaires, envoie des rappels personnalises pour maintenir l'engagement, et celebre les progres par un systeme de gamification (badges, niveaux, classements). L'IA Coach est disponible 24h/24 et s'adapte au style d'apprentissage de chaque eleve (visuel, auditif, kinesthesique, theorique).</w:t>
      </w:r>
    </w:p>
    <w:p>
      <w:pPr>
        <w:pStyle w:val="Heading3"/>
        <w:spacing w:after="120" w:before="240"/>
      </w:pPr>
      <w:bookmarkStart w:id="100011" w:name="_Toc100011"/>
      <w:r>
        <w:rPr>
          <w:rFonts w:ascii="Times New Roman" w:eastAsia="SimHei"/>
          <w:b/>
          <w:bCs/>
          <w:color w:val="0A1628"/>
          <w:sz w:val="24"/>
          <w:szCs w:val="24"/>
        </w:rPr>
        <w:t xml:space="preserve">2.1.4 Examens et Certification</w:t>
      </w:r>
      <w:bookmarkEnd w:id="100011"/>
    </w:p>
    <w:p>
      <w:pPr>
        <w:spacing w:after="60" w:line="312"/>
        <w:ind w:firstLine="480"/>
        <w:jc w:val="both"/>
      </w:pPr>
      <w:r>
        <w:rPr>
          <w:rFonts w:ascii="Times New Roman" w:eastAsia="Microsoft YaHei"/>
          <w:color w:val="000000"/>
          <w:sz w:val="24"/>
          <w:szCs w:val="24"/>
        </w:rPr>
        <w:t xml:space="preserve">Le module d'examen reproduit fidelement les conditions reelles des examens officiels de chaque pays. Les examens blancs sont generes dynamiquement par l'IA a partir d'une base de questions exhaustive, avec un calibrage de la difficulte adapte au niveau de l'eleve. Le systeme d'examen inclut la theorie (QCM interactifs, etudes de cas video, situations d'urgence simulees), la pratique virtuelle (simulateur 3D avec evaluation automatique des decisions de conduite), et l'examen final (proctore a distance par IA avec detection de fraude). Les certificats numeriques sont emis sur blockchain, garantissant leur authenticite et leur reconnaissance internationale. Le systeme de remontee statistique permet aux autorites de certification de verifier les competences reelles des candidats et d'ajuster les criteres d'examen en fonction des donnees agregées.</w:t>
      </w:r>
    </w:p>
    <w:p>
      <w:pPr>
        <w:pStyle w:val="Heading2"/>
        <w:spacing w:after="180" w:before="360"/>
      </w:pPr>
      <w:bookmarkStart w:id="100012" w:name="_Toc100012"/>
      <w:r>
        <w:rPr>
          <w:rFonts w:ascii="Times New Roman" w:eastAsia="SimHei"/>
          <w:b/>
          <w:bCs/>
          <w:color w:val="0A1628"/>
          <w:sz w:val="28"/>
          <w:szCs w:val="28"/>
        </w:rPr>
        <w:t xml:space="preserve">2.2 Application Moniteur</w:t>
      </w:r>
      <w:bookmarkEnd w:id="100012"/>
    </w:p>
    <w:p>
      <w:pPr>
        <w:spacing w:after="60" w:line="312"/>
        <w:ind w:firstLine="480"/>
        <w:jc w:val="both"/>
      </w:pPr>
      <w:r>
        <w:rPr>
          <w:rFonts w:ascii="Times New Roman" w:eastAsia="Microsoft YaHei"/>
          <w:color w:val="000000"/>
          <w:sz w:val="24"/>
          <w:szCs w:val="24"/>
        </w:rPr>
        <w:t xml:space="preserve">L'application moniteur est l'outil de travail quotidien des instructeurs de conduite. Elle offre une vue d'ensemble de tous les eleves assignes, avec des profils detailles incluant l'historique d'apprentissage, les notes des quiz, les statistiques de progression, les zones de faiblesse identifiees par l'IA, et les recommandations pedagogiques personnalisees. Le systeme de planning intelligent optimise automatiquement les emplois du temps en tenant compte des preferences du moniteur, de la localisation geographique des eleves, de la disponibilite des vehicules, et des conditions meteorologiques prevues. Les rapports de seance sont generes semi-automatiquement a partir des donnees des capteurs du vehicule (telemetrie IoT) et des notes du moniteur, reduisant considerablement la charge administrative. L'assistant IA du moniteur fournit des suggestions pedagogiques en temps reel pendant les lecons via un casque Bluetooth discret, comme rappeler un point de vigilance specifique ou suggerer un exercice adapte au niveau de l'eleve.</w:t>
      </w:r>
    </w:p>
    <w:p>
      <w:pPr>
        <w:pStyle w:val="Heading2"/>
        <w:spacing w:after="180" w:before="360"/>
      </w:pPr>
      <w:bookmarkStart w:id="100013" w:name="_Toc100013"/>
      <w:r>
        <w:rPr>
          <w:rFonts w:ascii="Times New Roman" w:eastAsia="SimHei"/>
          <w:b/>
          <w:bCs/>
          <w:color w:val="0A1628"/>
          <w:sz w:val="28"/>
          <w:szCs w:val="28"/>
        </w:rPr>
        <w:t xml:space="preserve">2.3 Plateforme Auto-ecole SaaS</w:t>
      </w:r>
      <w:bookmarkEnd w:id="100013"/>
    </w:p>
    <w:p>
      <w:pPr>
        <w:spacing w:after="60" w:line="312"/>
        <w:ind w:firstLine="480"/>
        <w:jc w:val="both"/>
      </w:pPr>
      <w:r>
        <w:rPr>
          <w:rFonts w:ascii="Times New Roman" w:eastAsia="Microsoft YaHei"/>
          <w:color w:val="000000"/>
          <w:sz w:val="24"/>
          <w:szCs w:val="24"/>
        </w:rPr>
        <w:t xml:space="preserve">La plateforme SaaS pour auto-ecoles est le produit B2B phare d'ADSO. Elle offre une solution tout-en-un pour la gestion complete d'une auto-ecole, incluant un CRM puissant pour la gestion des leads et prospects avec scoring IA, un systeme de facturation automatique multi-devises avec rappels intelligents, un tableau de bord analytique temps reel avec KPIs personnalises, la gestion des employes et moniteurs avec planning optimise, la gestion du parc vehicules avec suivi d'entretien predictive, le module marketing integre avec generation automatique de campagnes et A/B testing, et la conformite reglementaire automatique avec generation des documents obligatoires. Chaque auto-ecole dispose d'une instance personnalisee avec son propre branding, ses tarifs, ses regles commerciales et ses rapports. Le modele multitenant garantit l'isolation complete des donnees entre les differents clients tout en permettant des mises a jour centralisees et regulieres. L'integration API permet de connecter la plateforme aux outils existants de l'auto-ecole (comptabilite, RH, assurance).</w:t>
      </w:r>
    </w:p>
    <w:p>
      <w:pPr>
        <w:pStyle w:val="Heading2"/>
        <w:spacing w:after="180" w:before="360"/>
      </w:pPr>
      <w:bookmarkStart w:id="100014" w:name="_Toc100014"/>
      <w:r>
        <w:rPr>
          <w:rFonts w:ascii="Times New Roman" w:eastAsia="SimHei"/>
          <w:b/>
          <w:bCs/>
          <w:color w:val="0A1628"/>
          <w:sz w:val="28"/>
          <w:szCs w:val="28"/>
        </w:rPr>
        <w:t xml:space="preserve">2.4 Plateforme Entreprise</w:t>
      </w:r>
      <w:bookmarkEnd w:id="100014"/>
    </w:p>
    <w:p>
      <w:pPr>
        <w:spacing w:after="60" w:line="312"/>
        <w:ind w:firstLine="480"/>
        <w:jc w:val="both"/>
      </w:pPr>
      <w:r>
        <w:rPr>
          <w:rFonts w:ascii="Times New Roman" w:eastAsia="Microsoft YaHei"/>
          <w:color w:val="000000"/>
          <w:sz w:val="24"/>
          <w:szCs w:val="24"/>
        </w:rPr>
        <w:t xml:space="preserve">La plateforme entreprise repond aux besoins specifiques des societes disposant de flottes de vehicules (transport de marchandises, transport de personnes, livraison, services publics, location de vehicules). Elle offre des programmes de formation adaptes aux differents profils de conducteurs professionnels, avec des modules specifiques : conduite economique (eco-driving), transport de matieres dangereuses, transport de personnes a mobilite reduite, conduite en conditions extremes, et gestion de la fatigue. Le module de conformite assure le suivi obligatoire des formations, genere les certificats de conformite reglementaires, et alerte proactivement lorsque des recyclages sont necessaires. Les tableaux de bord flotte fournissent une vision globale de la performance des conducteurs, la consommation de carburant, les incidents, et le retour sur investissement de la formation. L'integration avec les systemes telematiques des vehicules permet un suivi en temps reel du comportement de conduite reel et un feedback personnalisable.</w:t>
      </w:r>
    </w:p>
    <w:p>
      <w:pPr>
        <w:pStyle w:val="Heading2"/>
        <w:spacing w:after="180" w:before="360"/>
      </w:pPr>
      <w:bookmarkStart w:id="100015" w:name="_Toc100015"/>
      <w:r>
        <w:rPr>
          <w:rFonts w:ascii="Times New Roman" w:eastAsia="SimHei"/>
          <w:b/>
          <w:bCs/>
          <w:color w:val="0A1628"/>
          <w:sz w:val="28"/>
          <w:szCs w:val="28"/>
        </w:rPr>
        <w:t xml:space="preserve">2.5 Administration Centrale</w:t>
      </w:r>
      <w:bookmarkEnd w:id="100015"/>
    </w:p>
    <w:p>
      <w:pPr>
        <w:spacing w:after="60" w:line="312"/>
        <w:ind w:firstLine="480"/>
        <w:jc w:val="both"/>
      </w:pPr>
      <w:r>
        <w:rPr>
          <w:rFonts w:ascii="Times New Roman" w:eastAsia="Microsoft YaHei"/>
          <w:color w:val="000000"/>
          <w:sz w:val="24"/>
          <w:szCs w:val="24"/>
        </w:rPr>
        <w:t xml:space="preserve">Le portail d'administration centrale est le cerveau operationnel de l'ecosysteme ADSO. Reserve aux equipes operatrices d'ADSO, il offre un controle global sur l'ensemble des utilisateurs, transactions, contenus et performances techniques. Les fonctionnalites principales incluent la gestion des utilisateurs avec outils de moderation et ban, le suivi des revenus en temps reel avec decomposition par pays, par produit et par canal, les analytics avancees avec cohortes utilisateurs, funnel de conversion, taux de retention et prediction de churn, le gestionnaire de contenus pour la creation, la traduction et la publication de cours dans les differents pays, le systeme de gestion des partenariats avec suivi des commissions et des SLA, le centre de support avance avec escalades automatiques et base de connaissances, et le monitoring technique avec alertes en temps reel sur les performances des services. L'interface est concue pour les equipes operations, produit, finance et support, avec des vues personnalisees et des niveaux d'acces granulaires.</w:t>
      </w:r>
    </w:p>
    <w:p>
      <w:pPr>
        <w:pStyle w:val="Heading2"/>
        <w:spacing w:after="180" w:before="360"/>
      </w:pPr>
      <w:bookmarkStart w:id="100016" w:name="_Toc100016"/>
      <w:r>
        <w:rPr>
          <w:rFonts w:ascii="Times New Roman" w:eastAsia="SimHei"/>
          <w:b/>
          <w:bCs/>
          <w:color w:val="0A1628"/>
          <w:sz w:val="28"/>
          <w:szCs w:val="28"/>
        </w:rPr>
        <w:t xml:space="preserve">2.6 Vue d'Ensemble de l'Ecosysteme</w:t>
      </w:r>
      <w:bookmarkEnd w:id="100016"/>
    </w:p>
    <w:p>
      <w:pPr>
        <w:spacing w:after="0" w:line="260"/>
      </w:pPr>
      <w:r>
        <w:rPr>
          <w:rFonts w:ascii="Courier New" w:cs="Courier New" w:eastAsia="Courier New" w:hAnsi="Courier New"/>
          <w:color w:val="5A6080"/>
          <w:sz w:val="16"/>
          <w:szCs w:val="16"/>
        </w:rPr>
        <w:t xml:space="preserve">  +--------------------------------------------------------------------+</w:t>
      </w:r>
    </w:p>
    <w:p>
      <w:pPr>
        <w:spacing w:after="0" w:line="260"/>
      </w:pPr>
      <w:r>
        <w:rPr>
          <w:rFonts w:ascii="Courier New" w:cs="Courier New" w:eastAsia="Courier New" w:hAnsi="Courier New"/>
          <w:color w:val="5A6080"/>
          <w:sz w:val="16"/>
          <w:szCs w:val="16"/>
        </w:rPr>
        <w:t xml:space="preserve">  |              ADMINISTRATION CENTRALE (Admin Portal)               |</w:t>
      </w:r>
    </w:p>
    <w:p>
      <w:pPr>
        <w:spacing w:after="0" w:line="260"/>
      </w:pPr>
      <w:r>
        <w:rPr>
          <w:rFonts w:ascii="Courier New" w:cs="Courier New" w:eastAsia="Courier New" w:hAnsi="Courier New"/>
          <w:color w:val="5A6080"/>
          <w:sz w:val="16"/>
          <w:szCs w:val="16"/>
        </w:rPr>
        <w:t xml:space="preserve">  |   Controle global | Analytics | Revenus | Contenus | Support       |</w:t>
      </w:r>
    </w:p>
    <w:p>
      <w:pPr>
        <w:spacing w:after="0" w:line="260"/>
      </w:pPr>
      <w:r>
        <w:rPr>
          <w:rFonts w:ascii="Courier New" w:cs="Courier New" w:eastAsia="Courier New" w:hAnsi="Courier New"/>
          <w:color w:val="5A6080"/>
          <w:sz w:val="16"/>
          <w:szCs w:val="16"/>
        </w:rPr>
        <w:t xml:space="preserve">  +-----+--------------------------------------------------------------+</w:t>
      </w:r>
    </w:p>
    <w:p>
      <w:pPr>
        <w:spacing w:after="0" w:line="260"/>
      </w:pPr>
      <w:r>
        <w:rPr>
          <w:rFonts w:ascii="Courier New" w:cs="Courier New" w:eastAsia="Courier New" w:hAnsi="Courier New"/>
          <w:color w:val="5A6080"/>
          <w:sz w:val="16"/>
          <w:szCs w:val="16"/>
        </w:rPr>
        <w:t xml:space="preserve">        |</w:t>
      </w:r>
    </w:p>
    <w:p>
      <w:pPr>
        <w:spacing w:after="0" w:line="260"/>
      </w:pPr>
      <w:r>
        <w:rPr>
          <w:rFonts w:ascii="Courier New" w:cs="Courier New" w:eastAsia="Courier New" w:hAnsi="Courier New"/>
          <w:color w:val="5A6080"/>
          <w:sz w:val="16"/>
          <w:szCs w:val="16"/>
        </w:rPr>
        <w:t xml:space="preserve">  +-----v-----------------------+  +----------------------------------+</w:t>
      </w:r>
    </w:p>
    <w:p>
      <w:pPr>
        <w:spacing w:after="0" w:line="260"/>
      </w:pPr>
      <w:r>
        <w:rPr>
          <w:rFonts w:ascii="Courier New" w:cs="Courier New" w:eastAsia="Courier New" w:hAnsi="Courier New"/>
          <w:color w:val="5A6080"/>
          <w:sz w:val="16"/>
          <w:szCs w:val="16"/>
        </w:rPr>
        <w:t xml:space="preserve">  |  PLATEFORME AUTO-ECOLE SaaS |  |    PLATEFORME ENTREPRISE          |</w:t>
      </w:r>
    </w:p>
    <w:p>
      <w:pPr>
        <w:spacing w:after="0" w:line="260"/>
      </w:pPr>
      <w:r>
        <w:rPr>
          <w:rFonts w:ascii="Courier New" w:cs="Courier New" w:eastAsia="Courier New" w:hAnsi="Courier New"/>
          <w:color w:val="5A6080"/>
          <w:sz w:val="16"/>
          <w:szCs w:val="16"/>
        </w:rPr>
        <w:t xml:space="preserve">  |  CRM | Facturation | Stats  |  | Formation flotte | Conformite    |</w:t>
      </w:r>
    </w:p>
    <w:p>
      <w:pPr>
        <w:spacing w:after="0" w:line="260"/>
      </w:pPr>
      <w:r>
        <w:rPr>
          <w:rFonts w:ascii="Courier New" w:cs="Courier New" w:eastAsia="Courier New" w:hAnsi="Courier New"/>
          <w:color w:val="5A6080"/>
          <w:sz w:val="16"/>
          <w:szCs w:val="16"/>
        </w:rPr>
        <w:t xml:space="preserve">  |  Employes | Marketing       |  | Stats flotte | Telematique      |</w:t>
      </w:r>
    </w:p>
    <w:p>
      <w:pPr>
        <w:spacing w:after="0" w:line="260"/>
      </w:pPr>
      <w:r>
        <w:rPr>
          <w:rFonts w:ascii="Courier New" w:cs="Courier New" w:eastAsia="Courier New" w:hAnsi="Courier New"/>
          <w:color w:val="5A6080"/>
          <w:sz w:val="16"/>
          <w:szCs w:val="16"/>
        </w:rPr>
        <w:t xml:space="preserve">  +-----+-----------------------+  +----------------+-----------------+</w:t>
      </w:r>
    </w:p>
    <w:p>
      <w:pPr>
        <w:spacing w:after="0" w:line="260"/>
      </w:pPr>
      <w:r>
        <w:rPr>
          <w:rFonts w:ascii="Courier New" w:cs="Courier New" w:eastAsia="Courier New" w:hAnsi="Courier New"/>
          <w:color w:val="5A6080"/>
          <w:sz w:val="16"/>
          <w:szCs w:val="16"/>
        </w:rPr>
        <w:t xml:space="preserve">        |                                           |</w:t>
      </w:r>
    </w:p>
    <w:p>
      <w:pPr>
        <w:spacing w:after="0" w:line="260"/>
      </w:pPr>
      <w:r>
        <w:rPr>
          <w:rFonts w:ascii="Courier New" w:cs="Courier New" w:eastAsia="Courier New" w:hAnsi="Courier New"/>
          <w:color w:val="5A6080"/>
          <w:sz w:val="16"/>
          <w:szCs w:val="16"/>
        </w:rPr>
        <w:t xml:space="preserve">  +-----v-------+                         +---------v---------+</w:t>
      </w:r>
    </w:p>
    <w:p>
      <w:pPr>
        <w:spacing w:after="0" w:line="260"/>
      </w:pPr>
      <w:r>
        <w:rPr>
          <w:rFonts w:ascii="Courier New" w:cs="Courier New" w:eastAsia="Courier New" w:hAnsi="Courier New"/>
          <w:color w:val="5A6080"/>
          <w:sz w:val="16"/>
          <w:szCs w:val="16"/>
        </w:rPr>
        <w:t xml:space="preserve">  | APP MONITEUR |                         |  PARTENAIRES      |</w:t>
      </w:r>
    </w:p>
    <w:p>
      <w:pPr>
        <w:spacing w:after="0" w:line="260"/>
      </w:pPr>
      <w:r>
        <w:rPr>
          <w:rFonts w:ascii="Courier New" w:cs="Courier New" w:eastAsia="Courier New" w:hAnsi="Courier New"/>
          <w:color w:val="5A6080"/>
          <w:sz w:val="16"/>
          <w:szCs w:val="16"/>
        </w:rPr>
        <w:t xml:space="preserve">  | Planning     |                         | Assureurs         |</w:t>
      </w:r>
    </w:p>
    <w:p>
      <w:pPr>
        <w:spacing w:after="0" w:line="260"/>
      </w:pPr>
      <w:r>
        <w:rPr>
          <w:rFonts w:ascii="Courier New" w:cs="Courier New" w:eastAsia="Courier New" w:hAnsi="Courier New"/>
          <w:color w:val="5A6080"/>
          <w:sz w:val="16"/>
          <w:szCs w:val="16"/>
        </w:rPr>
        <w:t xml:space="preserve">  | Suivi eleves |                         | Constructeurs     |</w:t>
      </w:r>
    </w:p>
    <w:p>
      <w:pPr>
        <w:spacing w:after="0" w:line="260"/>
      </w:pPr>
      <w:r>
        <w:rPr>
          <w:rFonts w:ascii="Courier New" w:cs="Courier New" w:eastAsia="Courier New" w:hAnsi="Courier New"/>
          <w:color w:val="5A6080"/>
          <w:sz w:val="16"/>
          <w:szCs w:val="16"/>
        </w:rPr>
        <w:t xml:space="preserve">  | IA Assistant |                         | Governements      |</w:t>
      </w:r>
    </w:p>
    <w:p>
      <w:pPr>
        <w:spacing w:after="0" w:line="260"/>
      </w:pPr>
      <w:r>
        <w:rPr>
          <w:rFonts w:ascii="Courier New" w:cs="Courier New" w:eastAsia="Courier New" w:hAnsi="Courier New"/>
          <w:color w:val="5A6080"/>
          <w:sz w:val="16"/>
          <w:szCs w:val="16"/>
        </w:rPr>
        <w:t xml:space="preserve">  +------+-------+                         +-------------------+</w:t>
      </w:r>
    </w:p>
    <w:p>
      <w:pPr>
        <w:spacing w:after="0" w:line="260"/>
      </w:pPr>
      <w:r>
        <w:rPr>
          <w:rFonts w:ascii="Courier New" w:cs="Courier New" w:eastAsia="Courier New" w:hAnsi="Courier New"/>
          <w:color w:val="5A6080"/>
          <w:sz w:val="16"/>
          <w:szCs w:val="16"/>
        </w:rPr>
        <w:t xml:space="preserve">         |</w:t>
      </w:r>
    </w:p>
    <w:p>
      <w:pPr>
        <w:spacing w:after="0" w:line="260"/>
      </w:pPr>
      <w:r>
        <w:rPr>
          <w:rFonts w:ascii="Courier New" w:cs="Courier New" w:eastAsia="Courier New" w:hAnsi="Courier New"/>
          <w:color w:val="5A6080"/>
          <w:sz w:val="16"/>
          <w:szCs w:val="16"/>
        </w:rPr>
        <w:t xml:space="preserve">  +------v-------+</w:t>
      </w:r>
    </w:p>
    <w:p>
      <w:pPr>
        <w:spacing w:after="0" w:line="260"/>
      </w:pPr>
      <w:r>
        <w:rPr>
          <w:rFonts w:ascii="Courier New" w:cs="Courier New" w:eastAsia="Courier New" w:hAnsi="Courier New"/>
          <w:color w:val="5A6080"/>
          <w:sz w:val="16"/>
          <w:szCs w:val="16"/>
        </w:rPr>
        <w:t xml:space="preserve">  |  APP ELEVE   |</w:t>
      </w:r>
    </w:p>
    <w:p>
      <w:pPr>
        <w:spacing w:after="0" w:line="260"/>
      </w:pPr>
      <w:r>
        <w:rPr>
          <w:rFonts w:ascii="Courier New" w:cs="Courier New" w:eastAsia="Courier New" w:hAnsi="Courier New"/>
          <w:color w:val="5A6080"/>
          <w:sz w:val="16"/>
          <w:szCs w:val="16"/>
        </w:rPr>
        <w:t xml:space="preserve">  | Cours | Quiz |</w:t>
      </w:r>
    </w:p>
    <w:p>
      <w:pPr>
        <w:spacing w:after="0" w:line="260"/>
      </w:pPr>
      <w:r>
        <w:rPr>
          <w:rFonts w:ascii="Courier New" w:cs="Courier New" w:eastAsia="Courier New" w:hAnsi="Courier New"/>
          <w:color w:val="5A6080"/>
          <w:sz w:val="16"/>
          <w:szCs w:val="16"/>
        </w:rPr>
        <w:t xml:space="preserve">  | IA Coach     |</w:t>
      </w:r>
    </w:p>
    <w:p>
      <w:pPr>
        <w:spacing w:after="0" w:line="260"/>
      </w:pPr>
      <w:r>
        <w:rPr>
          <w:rFonts w:ascii="Courier New" w:cs="Courier New" w:eastAsia="Courier New" w:hAnsi="Courier New"/>
          <w:color w:val="5A6080"/>
          <w:sz w:val="16"/>
          <w:szCs w:val="16"/>
        </w:rPr>
        <w:t xml:space="preserve">  | Examens      |</w:t>
      </w:r>
    </w:p>
    <w:p>
      <w:pPr>
        <w:spacing w:after="0" w:line="260"/>
      </w:pPr>
      <w:r>
        <w:rPr>
          <w:rFonts w:ascii="Courier New" w:cs="Courier New" w:eastAsia="Courier New" w:hAnsi="Courier New"/>
          <w:color w:val="5A6080"/>
          <w:sz w:val="16"/>
          <w:szCs w:val="16"/>
        </w:rPr>
        <w:t xml:space="preserve">  | Certificats  |</w:t>
      </w:r>
    </w:p>
    <w:p>
      <w:pPr>
        <w:spacing w:after="0" w:line="260"/>
      </w:pPr>
      <w:r>
        <w:rPr>
          <w:rFonts w:ascii="Courier New" w:cs="Courier New" w:eastAsia="Courier New" w:hAnsi="Courier New"/>
          <w:color w:val="5A6080"/>
          <w:sz w:val="16"/>
          <w:szCs w:val="16"/>
        </w:rPr>
        <w:t xml:space="preserve">  +--------------+</w:t>
      </w:r>
    </w:p>
    <w:p>
      <w:pPr>
        <w:pStyle w:val="Heading1"/>
        <w:spacing w:after="240" w:before="480"/>
      </w:pPr>
      <w:bookmarkStart w:id="100017" w:name="_Toc100017"/>
      <w:r>
        <w:rPr>
          <w:rFonts w:ascii="Times New Roman" w:eastAsia="SimHei"/>
          <w:b/>
          <w:bCs/>
          <w:color w:val="0A1628"/>
          <w:sz w:val="32"/>
          <w:szCs w:val="32"/>
        </w:rPr>
        <w:t xml:space="preserve">PARTIE 3 — Architecture Technique</w:t>
      </w:r>
      <w:bookmarkEnd w:id="100017"/>
    </w:p>
    <w:p>
      <w:pPr>
        <w:pStyle w:val="Heading2"/>
        <w:spacing w:after="180" w:before="360"/>
      </w:pPr>
      <w:bookmarkStart w:id="100018" w:name="_Toc100018"/>
      <w:r>
        <w:rPr>
          <w:rFonts w:ascii="Times New Roman" w:eastAsia="SimHei"/>
          <w:b/>
          <w:bCs/>
          <w:color w:val="0A1628"/>
          <w:sz w:val="28"/>
          <w:szCs w:val="28"/>
        </w:rPr>
        <w:t xml:space="preserve">3.1 Architecture Cloud Moderne</w:t>
      </w:r>
      <w:bookmarkEnd w:id="100018"/>
    </w:p>
    <w:p>
      <w:pPr>
        <w:spacing w:after="60" w:line="312"/>
        <w:ind w:firstLine="480"/>
        <w:jc w:val="both"/>
      </w:pPr>
      <w:r>
        <w:rPr>
          <w:rFonts w:ascii="Times New Roman" w:eastAsia="Microsoft YaHei"/>
          <w:color w:val="000000"/>
          <w:sz w:val="24"/>
          <w:szCs w:val="24"/>
        </w:rPr>
        <w:t xml:space="preserve">L'architecture technique d'ADSO repose sur un modele cloud-native distribue, concu pour supporter une croissance rapide et une disponibilite maximale. La plateforme utilise une architecture de microservices deployee sur Kubernetes, avec un service mesh (Istio) pour la gestion du trafic inter-services, l'observabilite et la securite reseau. L'infrastructure est provisionnee via Terraform pour la reproductibilite et deployee sur AWS (regions multiples) avec une strategie multi-cloud pour la resilience (failover vers GCP/Azure en cas de panne majeure). Le choix d'une architecture serverless pour les fonctions asynchrones (notifications, traitement de donnees, generation de rapports) permet d'optimiser les couts en ne payant que pour l'utilisation reelle, tandis que les services critiques tournent sur des clusters dedies pour garantir des performances previsibles.</w:t>
      </w:r>
    </w:p>
    <w:p>
      <w:pPr>
        <w:pStyle w:val="Heading2"/>
        <w:spacing w:after="180" w:before="360"/>
      </w:pPr>
      <w:bookmarkStart w:id="100019" w:name="_Toc100019"/>
      <w:r>
        <w:rPr>
          <w:rFonts w:ascii="Times New Roman" w:eastAsia="SimHei"/>
          <w:b/>
          <w:bCs/>
          <w:color w:val="0A1628"/>
          <w:sz w:val="28"/>
          <w:szCs w:val="28"/>
        </w:rPr>
        <w:t xml:space="preserve">3.2 Frontend : Next.js / React / TypeScript / PWA</w:t>
      </w:r>
      <w:bookmarkEnd w:id="100019"/>
    </w:p>
    <w:p>
      <w:pPr>
        <w:spacing w:after="60" w:line="312"/>
        <w:ind w:firstLine="480"/>
        <w:jc w:val="both"/>
      </w:pPr>
      <w:r>
        <w:rPr>
          <w:rFonts w:ascii="Times New Roman" w:eastAsia="Microsoft YaHei"/>
          <w:color w:val="000000"/>
          <w:sz w:val="24"/>
          <w:szCs w:val="24"/>
        </w:rPr>
        <w:t xml:space="preserve">Le stack frontend est base sur Next.js 15 avec le App Router, React 19 et TypeScript 5. Ce choix offre plusieurs avantages strategiques : le rendu cote serveur (SSR) pour un SEO optimal et un premier chargement rapide, le rendu statique incremental (ISR) pour les pages de contenus mis en cache, les Server Components pour reduire le JavaScript envoye au client, et le streaming pour les pages lourdes. L'interface est entierement responsive avec une approche mobile-first, et打包 en Progressive Web App pour permettre l'installation sur les appareils mobiles et le fonctionnement hors-ligne pour les contenus critiques (cours telecharges, quiz hors-ligne). Le design system est implémente avec Tailwind CSS 4 et shadcn/ui pour une coherence visuelle et une accessibilite maximale (conformite WCAG 2.2 AA). L'internationalisation est geree nativement avec next-intl, supportant le chargement dynamique des traductions et la gestion des formats de dates, nombres et devises par locale. Les performances sont optimisees avec un CDN global (CloudFront), la compression Brotli, le lazy loading des images et composants, et le prefetching intelligent des routes probables.</w:t>
      </w:r>
    </w:p>
    <w:p>
      <w:pPr>
        <w:pStyle w:val="Heading2"/>
        <w:spacing w:after="180" w:before="360"/>
      </w:pPr>
      <w:bookmarkStart w:id="100020" w:name="_Toc100020"/>
      <w:r>
        <w:rPr>
          <w:rFonts w:ascii="Times New Roman" w:eastAsia="SimHei"/>
          <w:b/>
          <w:bCs/>
          <w:color w:val="0A1628"/>
          <w:sz w:val="28"/>
          <w:szCs w:val="28"/>
        </w:rPr>
        <w:t xml:space="preserve">3.3 Backend : Architecture Modulaire</w:t>
      </w:r>
      <w:bookmarkEnd w:id="100020"/>
    </w:p>
    <w:p>
      <w:pPr>
        <w:spacing w:after="60" w:line="312"/>
        <w:ind w:firstLine="480"/>
        <w:jc w:val="both"/>
      </w:pPr>
      <w:r>
        <w:rPr>
          <w:rFonts w:ascii="Times New Roman" w:eastAsia="Microsoft YaHei"/>
          <w:color w:val="000000"/>
          <w:sz w:val="24"/>
          <w:szCs w:val="24"/>
        </w:rPr>
        <w:t xml:space="preserve">Le backend est organise en services independants communiquant via des API REST (OpenAPI 3.1) et des événements asynchrones (Apache Kafka). Chaque service est responsable d'un domaine metier specifique et peut etre developpe, deploye et mis a l'echelle independamment. Les principaux services sont : Auth Service (authentification et autorisation), User Service (gestion des profils et preferences), Content Service (gestion des cours, quiz et medias), Learning Service (parcours d'apprentissage et progression), Exam Service (generation et evaluation des examens), Payment Service (paiements et facturation), Notification Service (emails, SMS, push), Analytics Service (collecte et traitement des donnees analytiques), AI Service (orchestration des modeles IA), File Service (stockage et livraison de fichiers), Scheduler Service (planification des lecons et rappels), et Partner Service (gestion des partenariats et commissions). Chaque service expose une API GraphQL pour les requetes complexes et REST pour les operations simples, avec une documentation auto-generee et un SDK client type-safe.</w:t>
      </w:r>
    </w:p>
    <w:p>
      <w:pPr>
        <w:spacing w:after="0" w:line="260"/>
      </w:pPr>
      <w:r>
        <w:rPr>
          <w:rFonts w:ascii="Courier New" w:cs="Courier New" w:eastAsia="Courier New" w:hAnsi="Courier New"/>
          <w:color w:val="5A6080"/>
          <w:sz w:val="16"/>
          <w:szCs w:val="16"/>
        </w:rPr>
        <w:t xml:space="preserve">  +--- Client Layer ---+     +--- CDN / Edge ---+</w:t>
      </w:r>
    </w:p>
    <w:p>
      <w:pPr>
        <w:spacing w:after="0" w:line="260"/>
      </w:pPr>
      <w:r>
        <w:rPr>
          <w:rFonts w:ascii="Courier New" w:cs="Courier New" w:eastAsia="Courier New" w:hAnsi="Courier New"/>
          <w:color w:val="5A6080"/>
          <w:sz w:val="16"/>
          <w:szCs w:val="16"/>
        </w:rPr>
        <w:t xml:space="preserve">  | Next.js SSR/CSR    | --&gt; | CloudFront        |</w:t>
      </w:r>
    </w:p>
    <w:p>
      <w:pPr>
        <w:spacing w:after="0" w:line="260"/>
      </w:pPr>
      <w:r>
        <w:rPr>
          <w:rFonts w:ascii="Courier New" w:cs="Courier New" w:eastAsia="Courier New" w:hAnsi="Courier New"/>
          <w:color w:val="5A6080"/>
          <w:sz w:val="16"/>
          <w:szCs w:val="16"/>
        </w:rPr>
        <w:t xml:space="preserve">  | React PWA          |     | Cloudflare Workers|</w:t>
      </w:r>
    </w:p>
    <w:p>
      <w:pPr>
        <w:spacing w:after="0" w:line="260"/>
      </w:pPr>
      <w:r>
        <w:rPr>
          <w:rFonts w:ascii="Courier New" w:cs="Courier New" w:eastAsia="Courier New" w:hAnsi="Courier New"/>
          <w:color w:val="5A6080"/>
          <w:sz w:val="16"/>
          <w:szCs w:val="16"/>
        </w:rPr>
        <w:t xml:space="preserve">  +----------+---------+     +------------------+</w:t>
      </w:r>
    </w:p>
    <w:p>
      <w:pPr>
        <w:spacing w:after="0" w:line="260"/>
      </w:pPr>
      <w:r>
        <w:rPr>
          <w:rFonts w:ascii="Courier New" w:cs="Courier New" w:eastAsia="Courier New" w:hAnsi="Courier New"/>
          <w:color w:val="5A6080"/>
          <w:sz w:val="16"/>
          <w:szCs w:val="16"/>
        </w:rPr>
        <w:t xml:space="preserve">             | API Gateway (Kong / AWS API GW)</w:t>
      </w:r>
    </w:p>
    <w:p>
      <w:pPr>
        <w:spacing w:after="0" w:line="260"/>
      </w:pPr>
      <w:r>
        <w:rPr>
          <w:rFonts w:ascii="Courier New" w:cs="Courier New" w:eastAsia="Courier New" w:hAnsi="Courier New"/>
          <w:color w:val="5A6080"/>
          <w:sz w:val="16"/>
          <w:szCs w:val="16"/>
        </w:rPr>
        <w:t xml:space="preserve">  +----------v---------------------------------------------------------+</w:t>
      </w:r>
    </w:p>
    <w:p>
      <w:pPr>
        <w:spacing w:after="0" w:line="260"/>
      </w:pPr>
      <w:r>
        <w:rPr>
          <w:rFonts w:ascii="Courier New" w:cs="Courier New" w:eastAsia="Courier New" w:hAnsi="Courier New"/>
          <w:color w:val="5A6080"/>
          <w:sz w:val="16"/>
          <w:szCs w:val="16"/>
        </w:rPr>
        <w:t xml:space="preserve">  |                    SERVICE MESH (Istio)                            |</w:t>
      </w:r>
    </w:p>
    <w:p>
      <w:pPr>
        <w:spacing w:after="0" w:line="260"/>
      </w:pPr>
      <w:r>
        <w:rPr>
          <w:rFonts w:ascii="Courier New" w:cs="Courier New" w:eastAsia="Courier New" w:hAnsi="Courier New"/>
          <w:color w:val="5A6080"/>
          <w:sz w:val="16"/>
          <w:szCs w:val="16"/>
        </w:rPr>
        <w:t xml:space="preserve">  | +--------+ +--------+ +--------+ +--------+ +--------+ +-------+  |</w:t>
      </w:r>
    </w:p>
    <w:p>
      <w:pPr>
        <w:spacing w:after="0" w:line="260"/>
      </w:pPr>
      <w:r>
        <w:rPr>
          <w:rFonts w:ascii="Courier New" w:cs="Courier New" w:eastAsia="Courier New" w:hAnsi="Courier New"/>
          <w:color w:val="5A6080"/>
          <w:sz w:val="16"/>
          <w:szCs w:val="16"/>
        </w:rPr>
        <w:t xml:space="preserve">  | | Auth   | | User   | |Content | |Learning| | Exam   | |Payment|  |</w:t>
      </w:r>
    </w:p>
    <w:p>
      <w:pPr>
        <w:spacing w:after="0" w:line="260"/>
      </w:pPr>
      <w:r>
        <w:rPr>
          <w:rFonts w:ascii="Courier New" w:cs="Courier New" w:eastAsia="Courier New" w:hAnsi="Courier New"/>
          <w:color w:val="5A6080"/>
          <w:sz w:val="16"/>
          <w:szCs w:val="16"/>
        </w:rPr>
        <w:t xml:space="preserve">  | | Service| | Service| | Service| | Service| | Service| |Service|  |</w:t>
      </w:r>
    </w:p>
    <w:p>
      <w:pPr>
        <w:spacing w:after="0" w:line="260"/>
      </w:pPr>
      <w:r>
        <w:rPr>
          <w:rFonts w:ascii="Courier New" w:cs="Courier New" w:eastAsia="Courier New" w:hAnsi="Courier New"/>
          <w:color w:val="5A6080"/>
          <w:sz w:val="16"/>
          <w:szCs w:val="16"/>
        </w:rPr>
        <w:t xml:space="preserve">  | +--------+ +--------+ +--------+ +--------+ +--------+ +-------+  |</w:t>
      </w:r>
    </w:p>
    <w:p>
      <w:pPr>
        <w:spacing w:after="0" w:line="260"/>
      </w:pPr>
      <w:r>
        <w:rPr>
          <w:rFonts w:ascii="Courier New" w:cs="Courier New" w:eastAsia="Courier New" w:hAnsi="Courier New"/>
          <w:color w:val="5A6080"/>
          <w:sz w:val="16"/>
          <w:szCs w:val="16"/>
        </w:rPr>
        <w:t xml:space="preserve">  | +--------+ +--------+ +--------+ +--------+ +--------+ +-------+  |</w:t>
      </w:r>
    </w:p>
    <w:p>
      <w:pPr>
        <w:spacing w:after="0" w:line="260"/>
      </w:pPr>
      <w:r>
        <w:rPr>
          <w:rFonts w:ascii="Courier New" w:cs="Courier New" w:eastAsia="Courier New" w:hAnsi="Courier New"/>
          <w:color w:val="5A6080"/>
          <w:sz w:val="16"/>
          <w:szCs w:val="16"/>
        </w:rPr>
        <w:t xml:space="preserve">  | | Notif  | |Analytics| | AI     | | File   | |Schedule| |Partner|  |</w:t>
      </w:r>
    </w:p>
    <w:p>
      <w:pPr>
        <w:spacing w:after="0" w:line="260"/>
      </w:pPr>
      <w:r>
        <w:rPr>
          <w:rFonts w:ascii="Courier New" w:cs="Courier New" w:eastAsia="Courier New" w:hAnsi="Courier New"/>
          <w:color w:val="5A6080"/>
          <w:sz w:val="16"/>
          <w:szCs w:val="16"/>
        </w:rPr>
        <w:t xml:space="preserve">  | | Service| | Service | | Service| | Service| | Service| |Service|  |</w:t>
      </w:r>
    </w:p>
    <w:p>
      <w:pPr>
        <w:spacing w:after="0" w:line="260"/>
      </w:pPr>
      <w:r>
        <w:rPr>
          <w:rFonts w:ascii="Courier New" w:cs="Courier New" w:eastAsia="Courier New" w:hAnsi="Courier New"/>
          <w:color w:val="5A6080"/>
          <w:sz w:val="16"/>
          <w:szCs w:val="16"/>
        </w:rPr>
        <w:t xml:space="preserve">  | +--------+ +---------+ +--------+ +--------+ +--------+ +-------+  |</w:t>
      </w:r>
    </w:p>
    <w:p>
      <w:pPr>
        <w:spacing w:after="0" w:line="260"/>
      </w:pPr>
      <w:r>
        <w:rPr>
          <w:rFonts w:ascii="Courier New" w:cs="Courier New" w:eastAsia="Courier New" w:hAnsi="Courier New"/>
          <w:color w:val="5A6080"/>
          <w:sz w:val="16"/>
          <w:szCs w:val="16"/>
        </w:rPr>
        <w:t xml:space="preserve">  +---------------------------------------------------------------------+</w:t>
      </w:r>
    </w:p>
    <w:p>
      <w:pPr>
        <w:spacing w:after="0" w:line="260"/>
      </w:pPr>
      <w:r>
        <w:rPr>
          <w:rFonts w:ascii="Courier New" w:cs="Courier New" w:eastAsia="Courier New" w:hAnsi="Courier New"/>
          <w:color w:val="5A6080"/>
          <w:sz w:val="16"/>
          <w:szCs w:val="16"/>
        </w:rPr>
        <w:t xml:space="preserve">             |                    |                    |</w:t>
      </w:r>
    </w:p>
    <w:p>
      <w:pPr>
        <w:spacing w:after="0" w:line="260"/>
      </w:pPr>
      <w:r>
        <w:rPr>
          <w:rFonts w:ascii="Courier New" w:cs="Courier New" w:eastAsia="Courier New" w:hAnsi="Courier New"/>
          <w:color w:val="5A6080"/>
          <w:sz w:val="16"/>
          <w:szCs w:val="16"/>
        </w:rPr>
        <w:t xml:space="preserve">  +----------v-----+ +-----------v-+ +----------v------+ +----------v---+</w:t>
      </w:r>
    </w:p>
    <w:p>
      <w:pPr>
        <w:spacing w:after="0" w:line="260"/>
      </w:pPr>
      <w:r>
        <w:rPr>
          <w:rFonts w:ascii="Courier New" w:cs="Courier New" w:eastAsia="Courier New" w:hAnsi="Courier New"/>
          <w:color w:val="5A6080"/>
          <w:sz w:val="16"/>
          <w:szCs w:val="16"/>
        </w:rPr>
        <w:t xml:space="preserve">  | PostgreSQL       | | Redis       | | Kafka           | | S3 / CDN    |</w:t>
      </w:r>
    </w:p>
    <w:p>
      <w:pPr>
        <w:spacing w:after="0" w:line="260"/>
      </w:pPr>
      <w:r>
        <w:rPr>
          <w:rFonts w:ascii="Courier New" w:cs="Courier New" w:eastAsia="Courier New" w:hAnsi="Courier New"/>
          <w:color w:val="5A6080"/>
          <w:sz w:val="16"/>
          <w:szCs w:val="16"/>
        </w:rPr>
        <w:t xml:space="preserve">  | (Primary DB)     | | (Cache)     | | (Event Bus)     | | (Storage)   |</w:t>
      </w:r>
    </w:p>
    <w:p>
      <w:pPr>
        <w:spacing w:after="0" w:line="260"/>
      </w:pPr>
      <w:r>
        <w:rPr>
          <w:rFonts w:ascii="Courier New" w:cs="Courier New" w:eastAsia="Courier New" w:hAnsi="Courier New"/>
          <w:color w:val="5A6080"/>
          <w:sz w:val="16"/>
          <w:szCs w:val="16"/>
        </w:rPr>
        <w:t xml:space="preserve">  +------------------+ +-------------+ +-----------------+ +-------------+</w:t>
      </w:r>
    </w:p>
    <w:p>
      <w:pPr>
        <w:pStyle w:val="Heading2"/>
        <w:spacing w:after="180" w:before="360"/>
      </w:pPr>
      <w:bookmarkStart w:id="100021" w:name="_Toc100021"/>
      <w:r>
        <w:rPr>
          <w:rFonts w:ascii="Times New Roman" w:eastAsia="SimHei"/>
          <w:b/>
          <w:bCs/>
          <w:color w:val="0A1628"/>
          <w:sz w:val="28"/>
          <w:szCs w:val="28"/>
        </w:rPr>
        <w:t xml:space="preserve">3.4 Base de Donnees : PostgreSQL</w:t>
      </w:r>
      <w:bookmarkEnd w:id="100021"/>
    </w:p>
    <w:p>
      <w:pPr>
        <w:spacing w:after="60" w:line="312"/>
        <w:ind w:firstLine="480"/>
        <w:jc w:val="both"/>
      </w:pPr>
      <w:r>
        <w:rPr>
          <w:rFonts w:ascii="Times New Roman" w:eastAsia="Microsoft YaHei"/>
          <w:color w:val="000000"/>
          <w:sz w:val="24"/>
          <w:szCs w:val="24"/>
        </w:rPr>
        <w:t xml:space="preserve">PostgreSQL est la base de donnees principale d'ADSO, choisie pour sa fiabilite, ses performances, son support natif du JSON, ses capacites geospatiales (PostGIS pour la localisation des auto-ecoles et des lecons), et sa conformite ACID. Le schema est concu avec une approche domain-driven design, ou chaque service possede son propre schema dans la meme instance pour simplifier la gestion tout en maintenant une separation logique claire. La haute disponibilite est assuree par une replication streaming synchrone avec failover automatique (Patroni), et le read-scaling est realise via des replicas de lecture. Les requetes complexes sont optimisees avec des index partiels, du partitionnement par pays et par date, et des materialized views pour les tableaux de bord analytiques.</w:t>
      </w:r>
    </w:p>
    <w:p>
      <w:pPr>
        <w:pStyle w:val="Heading3"/>
        <w:spacing w:after="120" w:before="240"/>
      </w:pPr>
      <w:bookmarkStart w:id="100022" w:name="_Toc100022"/>
      <w:r>
        <w:rPr>
          <w:rFonts w:ascii="Times New Roman" w:eastAsia="SimHei"/>
          <w:b/>
          <w:bCs/>
          <w:color w:val="0A1628"/>
          <w:sz w:val="24"/>
          <w:szCs w:val="24"/>
        </w:rPr>
        <w:t xml:space="preserve">3.4.1 Structure Principale des Tables</w:t>
      </w:r>
      <w:bookmarkEnd w:id="100022"/>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tblGrid>
      <w:tr>
        <w:trPr>
          <w:tblHeader/>
        </w:trPr>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Table</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Description</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Cles Principales</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users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Utilisateurs (eleves, moniteurs, admins)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id, email, role, country_code</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driving_schools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Auto-ecoles clientes SaaS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id, name, country_code, plan_tier</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schools_users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Liaison ecole-utilisateurs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school_id, user_id, role</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courses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Cours et modules pedagogiques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id, title, country_code, category</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course_sections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Sections d'un cours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id, course_id, order_index</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lessons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Lecons individuelles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id, section_id, type, content_url</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quiz_questions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Questions de quiz</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id, course_id, difficulty, locale</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quiz_answers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Reponses aux quiz</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id, question_id, is_correct</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user_progress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Progression des eleves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id, user_id, course_id, status, score</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exam_sessions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Sessions d'examen</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id, user_id, type, score, passed</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lesson_bookings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Reservations de lecons pratiques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id, student_id, instructor_id, slot</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vehicles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Vehicules d'entrainement</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id, school_id, plate, sensors</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payments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Transactions et paiements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id, user_id, amount, currency, status</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subscriptions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Abonnements SaaS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id, school_id, plan, start_date, end_date</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notifications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Historique des notifications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id, user_id, channel, content</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audit_logs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Journal d'audit securite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id, actor_id, action, resource, timestamp</w:t>
            </w:r>
          </w:p>
        </w:tc>
      </w:tr>
    </w:tbl>
    <w:p>
      <w:pPr>
        <w:pStyle w:val="Heading2"/>
        <w:spacing w:after="180" w:before="360"/>
      </w:pPr>
      <w:bookmarkStart w:id="100023" w:name="_Toc100023"/>
      <w:r>
        <w:rPr>
          <w:rFonts w:ascii="Times New Roman" w:eastAsia="SimHei"/>
          <w:b/>
          <w:bCs/>
          <w:color w:val="0A1628"/>
          <w:sz w:val="28"/>
          <w:szCs w:val="28"/>
        </w:rPr>
        <w:t xml:space="preserve">3.5 Authentification, Autorisation et Securite</w:t>
      </w:r>
      <w:bookmarkEnd w:id="100023"/>
    </w:p>
    <w:p>
      <w:pPr>
        <w:spacing w:after="60" w:line="312"/>
        <w:ind w:firstLine="480"/>
        <w:jc w:val="both"/>
      </w:pPr>
      <w:r>
        <w:rPr>
          <w:rFonts w:ascii="Times New Roman" w:eastAsia="Microsoft YaHei"/>
          <w:color w:val="000000"/>
          <w:sz w:val="24"/>
          <w:szCs w:val="24"/>
        </w:rPr>
        <w:t xml:space="preserve">L'authentification utilise un flux OAuth 2.0 / OpenID Connect avec des tokens JWT (access token court de 15 minutes + refresh token de 7 jours). Le service d'authentification supporte la multi-auth : email/mot de passe, authentification sociale (Google, Apple, Facebook), SMS OTP pour les marches emergents, et WebAuthn (clefs securisees, Face ID, empreinte digitale). L'autorisation suit le modele RBAC (Role-Based Access Control) avec des permissions granulaires : Super Admin, Country Admin, School Owner, School Manager, Instructor, Student, Enterprise Admin, Enterprise Manager, Partner Admin. Chaque role dispose d'un ensemble de permissions predefinies, et le systeme supporte les permissions personnalisees pour les clients enterprise. Le middleware d'autorisation verifie chaque requete API contre les permissions de l'utilisateur, avec un cache Redis des permissions pour optimiser les performances. La securite est renforcee par une politique de rotation des secrets automatisee, un vault pour la gestion des credentials (HashiCorp Vault), et une protection contre les attaques par brute force avec rate limiting adaptatif.</w:t>
      </w:r>
    </w:p>
    <w:p>
      <w:pPr>
        <w:pStyle w:val="Heading2"/>
        <w:spacing w:after="180" w:before="360"/>
      </w:pPr>
      <w:bookmarkStart w:id="100024" w:name="_Toc100024"/>
      <w:r>
        <w:rPr>
          <w:rFonts w:ascii="Times New Roman" w:eastAsia="SimHei"/>
          <w:b/>
          <w:bCs/>
          <w:color w:val="0A1628"/>
          <w:sz w:val="28"/>
          <w:szCs w:val="28"/>
        </w:rPr>
        <w:t xml:space="preserve">3.6 Stockage, Cache et Files d'Attente</w:t>
      </w:r>
      <w:bookmarkEnd w:id="100024"/>
    </w:p>
    <w:p>
      <w:pPr>
        <w:spacing w:after="60" w:line="312"/>
        <w:ind w:firstLine="480"/>
        <w:jc w:val="both"/>
      </w:pPr>
      <w:r>
        <w:rPr>
          <w:rFonts w:ascii="Times New Roman" w:eastAsia="Microsoft YaHei"/>
          <w:color w:val="000000"/>
          <w:sz w:val="24"/>
          <w:szCs w:val="24"/>
        </w:rPr>
        <w:t xml:space="preserve">Le stockage des fichiers medias (videos, images, documents PDF) utilise Amazon S3 avec un lifecycle management automatique : les fichiers recents sont stockes en Standard, puis bascules vers Infrequent Access apres 90 jours, puis vers Glacier après 365 jours. Un CDN CloudFront distribue les contenus statiques depuis des edge locations proches des utilisateurs, avec une strategie de cache multi-niveaux (cache navigateur, CDN, cache applicatif Redis). Le cache Redis est utilise pour les sessions utilisateurs, les permissions RBAC, les contenus frequemment demandes (quiz populaires, reglements), les rate limiters, et les locks distribues. La file d'attente Kafka gere tous les evenements asynchrones : notifications, mises a jour analytics, synchronisation inter-services, webhooks sortants, et pipelines de traitement IA. Les topics sont partitionnes par pays pour la localite des traitements, avec une retention de 7 jours pour les topics de replay et 30 jours pour les topics analytiques.</w:t>
      </w:r>
    </w:p>
    <w:p>
      <w:pPr>
        <w:pStyle w:val="Heading1"/>
        <w:spacing w:after="240" w:before="480"/>
      </w:pPr>
      <w:bookmarkStart w:id="100025" w:name="_Toc100025"/>
      <w:r>
        <w:rPr>
          <w:rFonts w:ascii="Times New Roman" w:eastAsia="SimHei"/>
          <w:b/>
          <w:bCs/>
          <w:color w:val="0A1628"/>
          <w:sz w:val="32"/>
          <w:szCs w:val="32"/>
        </w:rPr>
        <w:t xml:space="preserve">PARTIE 4 — AI-First Architecture (AI-SCOS)</w:t>
      </w:r>
      <w:bookmarkEnd w:id="100025"/>
    </w:p>
    <w:p>
      <w:pPr>
        <w:pStyle w:val="Heading2"/>
        <w:spacing w:after="180" w:before="360"/>
      </w:pPr>
      <w:bookmarkStart w:id="100026" w:name="_Toc100026"/>
      <w:r>
        <w:rPr>
          <w:rFonts w:ascii="Times New Roman" w:eastAsia="SimHei"/>
          <w:b/>
          <w:bCs/>
          <w:color w:val="0A1628"/>
          <w:sz w:val="28"/>
          <w:szCs w:val="28"/>
        </w:rPr>
        <w:t xml:space="preserve">4.1 Presentation du Systeme AI-SCOS</w:t>
      </w:r>
      <w:bookmarkEnd w:id="100026"/>
    </w:p>
    <w:p>
      <w:pPr>
        <w:spacing w:after="60" w:line="312"/>
        <w:ind w:firstLine="480"/>
        <w:jc w:val="both"/>
      </w:pPr>
      <w:r>
        <w:rPr>
          <w:rFonts w:ascii="Times New Roman" w:eastAsia="Microsoft YaHei"/>
          <w:color w:val="000000"/>
          <w:sz w:val="24"/>
          <w:szCs w:val="24"/>
        </w:rPr>
        <w:t xml:space="preserve">AI-SCOS (AI-Smart Company Operating System) est le systeme d'intelligence artificielle qui opere comme un comite virtuel au sein d'ADSO. Il est compose de 12 agents IA specialises, chacun simulant le role d'un executif ou expert de l'entreprise. Contrairement aux systemes de chatbot classiques, AI-SCOS fonctionne comme une organisation intelligente ou chaque agent possede une personnalite, des responsabilites, des outils specifiques et des protocoles d'interaction avec les autres agents. Les agents communiquent via un bus de messages interne et prennent des decisions collaborative ou en cascade selon la complexite de la tache. Ce systeme permet a ADSO de fonctionner avec une efficacite operationnelle superieure, une reactivite accrue et une capacite d'analyse multidimensionnelle qu'aucune equipe humaine ne pourrait egaler seule.</w:t>
      </w:r>
    </w:p>
    <w:p>
      <w:pPr>
        <w:pStyle w:val="Heading2"/>
        <w:spacing w:after="180" w:before="360"/>
      </w:pPr>
      <w:bookmarkStart w:id="100027" w:name="_Toc100027"/>
      <w:r>
        <w:rPr>
          <w:rFonts w:ascii="Times New Roman" w:eastAsia="SimHei"/>
          <w:b/>
          <w:bCs/>
          <w:color w:val="0A1628"/>
          <w:sz w:val="28"/>
          <w:szCs w:val="28"/>
        </w:rPr>
        <w:t xml:space="preserve">4.2 Detail des Agents IA</w:t>
      </w:r>
      <w:bookmarkEnd w:id="100027"/>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gridCol w:w="100"/>
      </w:tblGrid>
      <w:tr>
        <w:trPr>
          <w:tblHeader/>
        </w:trPr>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Agent</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Role</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Responsabilites</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Outils</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Interactions</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CEO Agent</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Vision et strategie globale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Alignement strategique, prioritisation, KPIs globaux, P&amp;L</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Dashboard exec, Reports, Market data</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Tous les agents</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CTO Agent</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Architecture technique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Choix tech, dette tech, performance, securite infra</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GitHub, Cloud console, APM</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Architect, DevOps, Security</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Product Agent</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Vision produit</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Roadmap, user stories, prioritisation, A/B testing</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Jira, Analytics, User feedback</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CEO, Developer, QA</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Architect Agent</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Design systeme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Patterns, APIs, schemas DB, scalability</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Architecture docs, DB schemas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CTO, Developer</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Developer Agent</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Production de code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Codage, reviews, refactoring, documentation tech</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IDE, CI/CD, Tests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Architect, QA</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QA Agent</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Qualite et tests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Tests unitaires/integration/e2e, couverture, regression</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Test runners, Coverage tools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Developer, Product</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Security Agent</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Cybersecurite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Audit vulnérabilites, conformite, incident response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SAST/DAST, SIEM, Logs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CTO, DevOps</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DevOps Agent</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Operations et deploiement</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CI/CD, monitoring, scaling, incidents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K8s, Prometheus, PagerDuty</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CTO, Security</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Marketing Agent</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Growth et acquisition</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Campagnes, SEO, contenu, conversion, retention</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Analytics, Ads platforms, CRM</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CEO, Product, Finance</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Finance Agent</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Gestion financiere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Billing, revenus, cashflow, predictions, rapports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Stripe, ERP, Analytics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CEO, Marketing</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Support Agent</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Assistance client</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Tickets, FAQ, escalades, satisfaction client</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Zendesk, Chat, Knowledge base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Product, Developer</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EdTech Agent</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Pédagogie IA</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Parcours, evaluation, personnalisation, contenus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LMS data, Quiz results, RAG</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Product, AI Coach</w:t>
            </w:r>
          </w:p>
        </w:tc>
      </w:tr>
    </w:tbl>
    <w:p>
      <w:pPr>
        <w:pStyle w:val="Heading2"/>
        <w:spacing w:after="180" w:before="360"/>
      </w:pPr>
      <w:bookmarkStart w:id="100028" w:name="_Toc100028"/>
      <w:r>
        <w:rPr>
          <w:rFonts w:ascii="Times New Roman" w:eastAsia="SimHei"/>
          <w:b/>
          <w:bCs/>
          <w:color w:val="0A1628"/>
          <w:sz w:val="28"/>
          <w:szCs w:val="28"/>
        </w:rPr>
        <w:t xml:space="preserve">4.3 Architecture de Communication Inter-Agents</w:t>
      </w:r>
      <w:bookmarkEnd w:id="100028"/>
    </w:p>
    <w:p>
      <w:pPr>
        <w:spacing w:after="60" w:line="312"/>
        <w:ind w:firstLine="480"/>
        <w:jc w:val="both"/>
      </w:pPr>
      <w:r>
        <w:rPr>
          <w:rFonts w:ascii="Times New Roman" w:eastAsia="Microsoft YaHei"/>
          <w:color w:val="000000"/>
          <w:sz w:val="24"/>
          <w:szCs w:val="24"/>
        </w:rPr>
        <w:t xml:space="preserve">La communication entre agents repose sur une architecture event-driven avec un schema de messages typees. Chaque agent expose une API interne (gRPC) que les autres agents peuvent appeler, et publie des evenements sur des topics Kafka specifiques. Par exemple, lorsque le Product Agent identifie un besoin de nouvelle fonctionnalite a partir des donnees utilisateurs, il publie un evenement "feature_requested" que le Architect Agent ecoute pour proposer une solution technique, le Developer Agent pour estimer l'effort, et le QA Agent pour definir la strategie de test. Le CEO Agent agrège les recommandations de tous les agents et prend la decision finale, qu'il communique au Product Agent pour la mise en oeuvre. Un systeme de priorisation basé sur l'impact business et l'effort technique permet d'eviter la congestion du bus de communication et de garantir que les decisions les plus critiques sont traitees en premier.</w:t>
      </w:r>
    </w:p>
    <w:p>
      <w:pPr>
        <w:spacing w:after="0" w:line="260"/>
      </w:pPr>
      <w:r>
        <w:rPr>
          <w:rFonts w:ascii="Courier New" w:cs="Courier New" w:eastAsia="Courier New" w:hAnsi="Courier New"/>
          <w:color w:val="5A6080"/>
          <w:sz w:val="16"/>
          <w:szCs w:val="16"/>
        </w:rPr>
        <w:t xml:space="preserve">                  +-----------+</w:t>
      </w:r>
    </w:p>
    <w:p>
      <w:pPr>
        <w:spacing w:after="0" w:line="260"/>
      </w:pPr>
      <w:r>
        <w:rPr>
          <w:rFonts w:ascii="Courier New" w:cs="Courier New" w:eastAsia="Courier New" w:hAnsi="Courier New"/>
          <w:color w:val="5A6080"/>
          <w:sz w:val="16"/>
          <w:szCs w:val="16"/>
        </w:rPr>
        <w:t xml:space="preserve">                  | CEO Agent |</w:t>
      </w:r>
    </w:p>
    <w:p>
      <w:pPr>
        <w:spacing w:after="0" w:line="260"/>
      </w:pPr>
      <w:r>
        <w:rPr>
          <w:rFonts w:ascii="Courier New" w:cs="Courier New" w:eastAsia="Courier New" w:hAnsi="Courier New"/>
          <w:color w:val="5A6080"/>
          <w:sz w:val="16"/>
          <w:szCs w:val="16"/>
        </w:rPr>
        <w:t xml:space="preserve">                  +-----+-----+</w:t>
      </w:r>
    </w:p>
    <w:p>
      <w:pPr>
        <w:spacing w:after="0" w:line="260"/>
      </w:pPr>
      <w:r>
        <w:rPr>
          <w:rFonts w:ascii="Courier New" w:cs="Courier New" w:eastAsia="Courier New" w:hAnsi="Courier New"/>
          <w:color w:val="5A6080"/>
          <w:sz w:val="16"/>
          <w:szCs w:val="16"/>
        </w:rPr>
        <w:t xml:space="preserve">         +-------+------+-------+--------+</w:t>
      </w:r>
    </w:p>
    <w:p>
      <w:pPr>
        <w:spacing w:after="0" w:line="260"/>
      </w:pPr>
      <w:r>
        <w:rPr>
          <w:rFonts w:ascii="Courier New" w:cs="Courier New" w:eastAsia="Courier New" w:hAnsi="Courier New"/>
          <w:color w:val="5A6080"/>
          <w:sz w:val="16"/>
          <w:szCs w:val="16"/>
        </w:rPr>
        <w:t xml:space="preserve">         |      |             |        |</w:t>
      </w:r>
    </w:p>
    <w:p>
      <w:pPr>
        <w:spacing w:after="0" w:line="260"/>
      </w:pPr>
      <w:r>
        <w:rPr>
          <w:rFonts w:ascii="Courier New" w:cs="Courier New" w:eastAsia="Courier New" w:hAnsi="Courier New"/>
          <w:color w:val="5A6080"/>
          <w:sz w:val="16"/>
          <w:szCs w:val="16"/>
        </w:rPr>
        <w:t xml:space="preserve">    +----v-+ +--v----+ +-----v--+ +--v--------+</w:t>
      </w:r>
    </w:p>
    <w:p>
      <w:pPr>
        <w:spacing w:after="0" w:line="260"/>
      </w:pPr>
      <w:r>
        <w:rPr>
          <w:rFonts w:ascii="Courier New" w:cs="Courier New" w:eastAsia="Courier New" w:hAnsi="Courier New"/>
          <w:color w:val="5A6080"/>
          <w:sz w:val="16"/>
          <w:szCs w:val="16"/>
        </w:rPr>
        <w:t xml:space="preserve">    |CTO   | |Product| |Marketing| |Finance    |</w:t>
      </w:r>
    </w:p>
    <w:p>
      <w:pPr>
        <w:spacing w:after="0" w:line="260"/>
      </w:pPr>
      <w:r>
        <w:rPr>
          <w:rFonts w:ascii="Courier New" w:cs="Courier New" w:eastAsia="Courier New" w:hAnsi="Courier New"/>
          <w:color w:val="5A6080"/>
          <w:sz w:val="16"/>
          <w:szCs w:val="16"/>
        </w:rPr>
        <w:t xml:space="preserve">    |Agent | |Agent  | |Agent   | |Agent      |</w:t>
      </w:r>
    </w:p>
    <w:p>
      <w:pPr>
        <w:spacing w:after="0" w:line="260"/>
      </w:pPr>
      <w:r>
        <w:rPr>
          <w:rFonts w:ascii="Courier New" w:cs="Courier New" w:eastAsia="Courier New" w:hAnsi="Courier New"/>
          <w:color w:val="5A6080"/>
          <w:sz w:val="16"/>
          <w:szCs w:val="16"/>
        </w:rPr>
        <w:t xml:space="preserve">    +--+---+ +--+----+ +-----+--+ +-----------+</w:t>
      </w:r>
    </w:p>
    <w:p>
      <w:pPr>
        <w:spacing w:after="0" w:line="260"/>
      </w:pPr>
      <w:r>
        <w:rPr>
          <w:rFonts w:ascii="Courier New" w:cs="Courier New" w:eastAsia="Courier New" w:hAnsi="Courier New"/>
          <w:color w:val="5A6080"/>
          <w:sz w:val="16"/>
          <w:szCs w:val="16"/>
        </w:rPr>
        <w:t xml:space="preserve">       |        |            |</w:t>
      </w:r>
    </w:p>
    <w:p>
      <w:pPr>
        <w:spacing w:after="0" w:line="260"/>
      </w:pPr>
      <w:r>
        <w:rPr>
          <w:rFonts w:ascii="Courier New" w:cs="Courier New" w:eastAsia="Courier New" w:hAnsi="Courier New"/>
          <w:color w:val="5A6080"/>
          <w:sz w:val="16"/>
          <w:szCs w:val="16"/>
        </w:rPr>
        <w:t xml:space="preserve">  +----v---+ +--v----+ +-----v---+ +----------+</w:t>
      </w:r>
    </w:p>
    <w:p>
      <w:pPr>
        <w:spacing w:after="0" w:line="260"/>
      </w:pPr>
      <w:r>
        <w:rPr>
          <w:rFonts w:ascii="Courier New" w:cs="Courier New" w:eastAsia="Courier New" w:hAnsi="Courier New"/>
          <w:color w:val="5A6080"/>
          <w:sz w:val="16"/>
          <w:szCs w:val="16"/>
        </w:rPr>
        <w:t xml:space="preserve">  |Architect| |Developer| |Support | |EdTech   |</w:t>
      </w:r>
    </w:p>
    <w:p>
      <w:pPr>
        <w:spacing w:after="0" w:line="260"/>
      </w:pPr>
      <w:r>
        <w:rPr>
          <w:rFonts w:ascii="Courier New" w:cs="Courier New" w:eastAsia="Courier New" w:hAnsi="Courier New"/>
          <w:color w:val="5A6080"/>
          <w:sz w:val="16"/>
          <w:szCs w:val="16"/>
        </w:rPr>
        <w:t xml:space="preserve">  |Agent   | |Agent    | |Agent   | |Agent    |</w:t>
      </w:r>
    </w:p>
    <w:p>
      <w:pPr>
        <w:spacing w:after="0" w:line="260"/>
      </w:pPr>
      <w:r>
        <w:rPr>
          <w:rFonts w:ascii="Courier New" w:cs="Courier New" w:eastAsia="Courier New" w:hAnsi="Courier New"/>
          <w:color w:val="5A6080"/>
          <w:sz w:val="16"/>
          <w:szCs w:val="16"/>
        </w:rPr>
        <w:t xml:space="preserve">  +----+---+ +----+----+ +--------+ +----+-----+</w:t>
      </w:r>
    </w:p>
    <w:p>
      <w:pPr>
        <w:spacing w:after="0" w:line="260"/>
      </w:pPr>
      <w:r>
        <w:rPr>
          <w:rFonts w:ascii="Courier New" w:cs="Courier New" w:eastAsia="Courier New" w:hAnsi="Courier New"/>
          <w:color w:val="5A6080"/>
          <w:sz w:val="16"/>
          <w:szCs w:val="16"/>
        </w:rPr>
        <w:t xml:space="preserve">       |           |                     |</w:t>
      </w:r>
    </w:p>
    <w:p>
      <w:pPr>
        <w:spacing w:after="0" w:line="260"/>
      </w:pPr>
      <w:r>
        <w:rPr>
          <w:rFonts w:ascii="Courier New" w:cs="Courier New" w:eastAsia="Courier New" w:hAnsi="Courier New"/>
          <w:color w:val="5A6080"/>
          <w:sz w:val="16"/>
          <w:szCs w:val="16"/>
        </w:rPr>
        <w:t xml:space="preserve">  +----v---+ +-----v-----+        +-----v----+</w:t>
      </w:r>
    </w:p>
    <w:p>
      <w:pPr>
        <w:spacing w:after="0" w:line="260"/>
      </w:pPr>
      <w:r>
        <w:rPr>
          <w:rFonts w:ascii="Courier New" w:cs="Courier New" w:eastAsia="Courier New" w:hAnsi="Courier New"/>
          <w:color w:val="5A6080"/>
          <w:sz w:val="16"/>
          <w:szCs w:val="16"/>
        </w:rPr>
        <w:t xml:space="preserve">  |QA Agent| |DevOps Agent|        |AI Coach  |</w:t>
      </w:r>
    </w:p>
    <w:p>
      <w:pPr>
        <w:spacing w:after="0" w:line="260"/>
      </w:pPr>
      <w:r>
        <w:rPr>
          <w:rFonts w:ascii="Courier New" w:cs="Courier New" w:eastAsia="Courier New" w:hAnsi="Courier New"/>
          <w:color w:val="5A6080"/>
          <w:sz w:val="16"/>
          <w:szCs w:val="16"/>
        </w:rPr>
        <w:t xml:space="preserve">  +--------+ |Security    |        |(Produit) |</w:t>
      </w:r>
    </w:p>
    <w:p>
      <w:pPr>
        <w:spacing w:after="0" w:line="260"/>
      </w:pPr>
      <w:r>
        <w:rPr>
          <w:rFonts w:ascii="Courier New" w:cs="Courier New" w:eastAsia="Courier New" w:hAnsi="Courier New"/>
          <w:color w:val="5A6080"/>
          <w:sz w:val="16"/>
          <w:szCs w:val="16"/>
        </w:rPr>
        <w:t xml:space="preserve">              |Agent       |        +----------+</w:t>
      </w:r>
    </w:p>
    <w:p>
      <w:pPr>
        <w:spacing w:after="0" w:line="260"/>
      </w:pPr>
      <w:r>
        <w:rPr>
          <w:rFonts w:ascii="Courier New" w:cs="Courier New" w:eastAsia="Courier New" w:hAnsi="Courier New"/>
          <w:color w:val="5A6080"/>
          <w:sz w:val="16"/>
          <w:szCs w:val="16"/>
        </w:rPr>
        <w:t xml:space="preserve">              +------------+</w:t>
      </w:r>
    </w:p>
    <w:p>
      <w:pPr>
        <w:pStyle w:val="Heading1"/>
        <w:spacing w:after="240" w:before="480"/>
      </w:pPr>
      <w:bookmarkStart w:id="100029" w:name="_Toc100029"/>
      <w:r>
        <w:rPr>
          <w:rFonts w:ascii="Times New Roman" w:eastAsia="SimHei"/>
          <w:b/>
          <w:bCs/>
          <w:color w:val="0A1628"/>
          <w:sz w:val="32"/>
          <w:szCs w:val="32"/>
        </w:rPr>
        <w:t xml:space="preserve">PARTIE 5 — IA Produit</w:t>
      </w:r>
      <w:bookmarkEnd w:id="100029"/>
    </w:p>
    <w:p>
      <w:pPr>
        <w:pStyle w:val="Heading2"/>
        <w:spacing w:after="180" w:before="360"/>
      </w:pPr>
      <w:bookmarkStart w:id="100030" w:name="_Toc100030"/>
      <w:r>
        <w:rPr>
          <w:rFonts w:ascii="Times New Roman" w:eastAsia="SimHei"/>
          <w:b/>
          <w:bCs/>
          <w:color w:val="0A1628"/>
          <w:sz w:val="28"/>
          <w:szCs w:val="28"/>
        </w:rPr>
        <w:t xml:space="preserve">5.1 AI Driving Coach</w:t>
      </w:r>
      <w:bookmarkEnd w:id="100030"/>
    </w:p>
    <w:p>
      <w:pPr>
        <w:spacing w:after="60" w:line="312"/>
        <w:ind w:firstLine="480"/>
        <w:jc w:val="both"/>
      </w:pPr>
      <w:r>
        <w:rPr>
          <w:rFonts w:ascii="Times New Roman" w:eastAsia="Microsoft YaHei"/>
          <w:color w:val="000000"/>
          <w:sz w:val="24"/>
          <w:szCs w:val="24"/>
        </w:rPr>
        <w:t xml:space="preserve">L'AI Driving Coach est le moteur pedagogique central de la plateforme eleve. Il utilise un modele de langage large (LLM) fine-tuné sur les donnees pedagogiques de la conduite automobile, couple a un systeme RAG (Retrieval-Augmented Generation) qui puise dans une base de connaissances exhaustive comprenant les codes de la route de 120+ pays, les manuels de conduite, les statistiques d'accidents, les bonnes pratiques internationales, et les retours d'experience de millions d'eleves. Le coach adapte ses explications au niveau de l'eleve (debutant, intermediaire, avance) et a son style d'apprentissage. Pour un eleve visuel, il generera des schemas et des comparaisons graphiques ; pour un eleve analytique, il fournira des explications logiques detaillees avec des references reglementaires precises.</w:t>
      </w:r>
    </w:p>
    <w:p>
      <w:pPr>
        <w:spacing w:after="60" w:line="312"/>
        <w:ind w:firstLine="480"/>
        <w:jc w:val="both"/>
      </w:pPr>
      <w:r>
        <w:rPr>
          <w:rFonts w:ascii="Times New Roman" w:eastAsia="Microsoft YaHei"/>
          <w:color w:val="000000"/>
          <w:sz w:val="24"/>
          <w:szCs w:val="24"/>
        </w:rPr>
        <w:t xml:space="preserve">Le systeme de memoire utilisateur maintient un profil cognitif de chaque eleve, incluant ses forces et faiblesses par theme, son historique d'erreurs, son rythme d'apprentissage optimal, ses preferences de format, et ses objectifs personnels. Cette memoire est implementee comme un embedding vectoriel mis a jour apres chaque interaction, permettant au coach de fournir des recommandations de plus en plus pertinentes au fil du temps. Le coaching est disponible sous forme de chat conversationnel, de notifications proactives, de recapitulatifs hebdomadaires, et de plans d'entrainement personnalises generees automatiquement. L'evaluation des reponses se fait sur plusieurs criteres : exactitude technique, comprehension des concepts, application pratique, et securite. Chaque reponse de l'eleve recoit un score multidimensionnel qui alimente le profil cognitif et ajuste le parcours en consequence.</w:t>
      </w:r>
    </w:p>
    <w:p>
      <w:pPr>
        <w:pStyle w:val="Heading2"/>
        <w:spacing w:after="180" w:before="360"/>
      </w:pPr>
      <w:bookmarkStart w:id="100031" w:name="_Toc100031"/>
      <w:r>
        <w:rPr>
          <w:rFonts w:ascii="Times New Roman" w:eastAsia="SimHei"/>
          <w:b/>
          <w:bCs/>
          <w:color w:val="0A1628"/>
          <w:sz w:val="28"/>
          <w:szCs w:val="28"/>
        </w:rPr>
        <w:t xml:space="preserve">5.2 AI Teacher</w:t>
      </w:r>
      <w:bookmarkEnd w:id="100031"/>
    </w:p>
    <w:p>
      <w:pPr>
        <w:spacing w:after="60" w:line="312"/>
        <w:ind w:firstLine="480"/>
        <w:jc w:val="both"/>
      </w:pPr>
      <w:r>
        <w:rPr>
          <w:rFonts w:ascii="Times New Roman" w:eastAsia="Microsoft YaHei"/>
          <w:color w:val="000000"/>
          <w:sz w:val="24"/>
          <w:szCs w:val="24"/>
        </w:rPr>
        <w:t xml:space="preserve">L'AI Teacher est responsable de la creation et de la mise a jour des contenus pedagogiques. Il genere automatiquement des cours, des quiz, des etudes de cas et des exercices pratiques en fonction des reglementations en vigueur dans chaque pays et des tendances identifiees dans les donnees d'apprentissage. Lorsqu'une nouvelle reglementation est publiee dans un pays, l'AI Teacher detecte le changement, genere les contenus de mise a jour necessaires, les traduit dans toutes les langues supportees, et les deploie automatiquement apres validation par l'equipe pedagogique humaine. Le systeme utilise une combinaison de LLM pour la generation de texte, de modeles de vision pour l'analyse et la creation de visuels pedagogiques, et de modeles TTS (text-to-speech) pour la generation d'audio multilingue. La qualite des contenus generes est evaluee automatiquement par un modele de scoring entrainé sur les evaluations des contenus rediges par des experts humains.</w:t>
      </w:r>
    </w:p>
    <w:p>
      <w:pPr>
        <w:pStyle w:val="Heading2"/>
        <w:spacing w:after="180" w:before="360"/>
      </w:pPr>
      <w:bookmarkStart w:id="100032" w:name="_Toc100032"/>
      <w:r>
        <w:rPr>
          <w:rFonts w:ascii="Times New Roman" w:eastAsia="SimHei"/>
          <w:b/>
          <w:bCs/>
          <w:color w:val="0A1628"/>
          <w:sz w:val="28"/>
          <w:szCs w:val="28"/>
        </w:rPr>
        <w:t xml:space="preserve">5.3 AI Examiner</w:t>
      </w:r>
      <w:bookmarkEnd w:id="100032"/>
    </w:p>
    <w:p>
      <w:pPr>
        <w:spacing w:after="60" w:line="312"/>
        <w:ind w:firstLine="480"/>
        <w:jc w:val="both"/>
      </w:pPr>
      <w:r>
        <w:rPr>
          <w:rFonts w:ascii="Times New Roman" w:eastAsia="Microsoft YaHei"/>
          <w:color w:val="000000"/>
          <w:sz w:val="24"/>
          <w:szCs w:val="24"/>
        </w:rPr>
        <w:t xml:space="preserve">L'AI Examiner est le composant charge de l'evaluation et de la certification des eleves. Il genere des examens dynamiques adaptes au niveau de l'eleve et aux exigences reglementaires du pays, en puisant dans une base de questions taguées par difficulte, theme et competence evaluee. L'evaluation va au-dela du simple QCM : l'AI Examiner analyse les etudes de cas video (l'eleve doit identifier les infractions et les dangers dans des scenes de conduite filmées), evalue les reponses ouvertes avec une comprehension semantique profonde, et corrige les examens pratiques virtuels en analysant les decisions de conduite dans le simulateur. Le systeme de proctoring a distance utilise la vision par ordinateur pour detecter les comportements de triche (changement d'onglet, presence d'une tierce personne, utilisation de telephone), avec un taux de detection superieur a 99.5%. Les resultats sont accompagnes d'un rapport detaille des competences maitrisees et des axes d'amelioration, qui alimente directement le parcours de l'IA Coach.</w:t>
      </w:r>
    </w:p>
    <w:p>
      <w:pPr>
        <w:pStyle w:val="Heading2"/>
        <w:spacing w:after="180" w:before="360"/>
      </w:pPr>
      <w:bookmarkStart w:id="100033" w:name="_Toc100033"/>
      <w:r>
        <w:rPr>
          <w:rFonts w:ascii="Times New Roman" w:eastAsia="SimHei"/>
          <w:b/>
          <w:bCs/>
          <w:color w:val="0A1628"/>
          <w:sz w:val="28"/>
          <w:szCs w:val="28"/>
        </w:rPr>
        <w:t xml:space="preserve">5.4 AI Simulator</w:t>
      </w:r>
      <w:bookmarkEnd w:id="100033"/>
    </w:p>
    <w:p>
      <w:pPr>
        <w:spacing w:after="60" w:line="312"/>
        <w:ind w:firstLine="480"/>
        <w:jc w:val="both"/>
      </w:pPr>
      <w:r>
        <w:rPr>
          <w:rFonts w:ascii="Times New Roman" w:eastAsia="Microsoft YaHei"/>
          <w:color w:val="000000"/>
          <w:sz w:val="24"/>
          <w:szCs w:val="24"/>
        </w:rPr>
        <w:t xml:space="preserve">L'AI Simulator est un moteur de simulation de conduite 3D integre a la plateforme. Il utilise le WebGPU pour le rendu temps reel dans le navigateur et Unity pour l'application mobile, offrant des scenarios de conduite realistes sans necessite d'equipement specialise. Le simulateur inclut des environnements variés (ville, autoroute, campagne, montagne, conditions meteorologiques extremes), des scenarios d'urgence (freinage d'urgence, evitement d'obstacle, perte d'adherence), et des situations specifiques a chaque pays (rond-points europeens, intersections americaines, circulation a gauche britannique). L'IA analyse chaque session de simulation en temps reel et fournit un feedback detaille sur les decisions de conduite, la gestion de l'espace, l'anticipation des dangers, et le respect du code de la route. Les scenarios sont generes proceduralement pour offrir une variété infinie de situations, et la difficulte s'adapte automatiquement au niveau de l'eleve. Les sessions de simulation alimentent un jumeau numerique du comportement de l'eleve, qui permet de predire ses performances en situation reelle et de recommander des exercices cibles.</w:t>
      </w:r>
    </w:p>
    <w:p>
      <w:pPr>
        <w:pStyle w:val="Heading2"/>
        <w:spacing w:after="180" w:before="360"/>
      </w:pPr>
      <w:bookmarkStart w:id="100034" w:name="_Toc100034"/>
      <w:r>
        <w:rPr>
          <w:rFonts w:ascii="Times New Roman" w:eastAsia="SimHei"/>
          <w:b/>
          <w:bCs/>
          <w:color w:val="0A1628"/>
          <w:sz w:val="28"/>
          <w:szCs w:val="28"/>
        </w:rPr>
        <w:t xml:space="preserve">5.5 AI Translation Engine</w:t>
      </w:r>
      <w:bookmarkEnd w:id="100034"/>
    </w:p>
    <w:p>
      <w:pPr>
        <w:spacing w:after="60" w:line="312"/>
        <w:ind w:firstLine="480"/>
        <w:jc w:val="both"/>
      </w:pPr>
      <w:r>
        <w:rPr>
          <w:rFonts w:ascii="Times New Roman" w:eastAsia="Microsoft YaHei"/>
          <w:color w:val="000000"/>
          <w:sz w:val="24"/>
          <w:szCs w:val="24"/>
        </w:rPr>
        <w:t xml:space="preserve">Le moteur de traduction IA est specifiquement optimisé pour le domaine de la conduite automobile, un secteur ou la precision terminologique est critique (un terme impropre peut avoir des consequences sur la securite). Le systeme combine un modele de traduction neuronale fine-tuné sur un corpus parallele de contenus de conduite dans 50+ langues, avec un modele de detection et de correction des erreurs de traduction entrainé sur les retours des experts locaux. Le moteur gere egalement les specificites locales : adaptation des exemples (noms de rues, types de vehicules, unites de mesure), conversion des formats (km/h vs mph, systeme metrique vs imperial), et prise en compte des conventions culturelles (sens de lecture RTL pour l'arabe et l'hebreu, format des dates et des nombres). La qualite de la traduction est mesurée en continu par un systeme de scoring automatique (BLEU, COMET) et par des evaluations humaines periodiques. Un workflow de correction collaborative permet aux experts locaux de soumettre des ameliorations qui sont integrees au modele de traduction lors des prochains cycles d'entrainement.</w:t>
      </w:r>
    </w:p>
    <w:p>
      <w:pPr>
        <w:pStyle w:val="Heading2"/>
        <w:spacing w:after="180" w:before="360"/>
      </w:pPr>
      <w:bookmarkStart w:id="100035" w:name="_Toc100035"/>
      <w:r>
        <w:rPr>
          <w:rFonts w:ascii="Times New Roman" w:eastAsia="SimHei"/>
          <w:b/>
          <w:bCs/>
          <w:color w:val="0A1628"/>
          <w:sz w:val="28"/>
          <w:szCs w:val="28"/>
        </w:rPr>
        <w:t xml:space="preserve">5.6 AI Business Analyst</w:t>
      </w:r>
      <w:bookmarkEnd w:id="100035"/>
    </w:p>
    <w:p>
      <w:pPr>
        <w:spacing w:after="60" w:line="312"/>
        <w:ind w:firstLine="480"/>
        <w:jc w:val="both"/>
      </w:pPr>
      <w:r>
        <w:rPr>
          <w:rFonts w:ascii="Times New Roman" w:eastAsia="Microsoft YaHei"/>
          <w:color w:val="000000"/>
          <w:sz w:val="24"/>
          <w:szCs w:val="24"/>
        </w:rPr>
        <w:t xml:space="preserve">L'AI Business Analyst est l'outil d'aide a la decision pour les gestionnaires d'auto-ecoles et les responsables entreprise. Il analyse automatiquement les donnees operationnelles (taux de reussite, temps moyen de formation, utilisation des ressources, satisfaction client) et genere des insights actionnables en langage naturel. Par exemple, il peut identifier qu'un moniteur particulier a un taux de reussite anormalement bas sur les manoeuvres de stationnement, et recommander une formation specifique. Il peut aussi predire les periodes de pic de demande et recommander d'anticiper le recrutement de moniteurs temporaires. Les rapports sont generes automatiquement (hebdomadaires, mensuels, trimestriels) et peuvent etre personnalises selon les KPIs pertinents pour chaque type d'utilisateur. L'analyse predictive utilise des modeles de machine learning (gradient boosting, reseaux de neurones) entraines sur les donnees historiques de la plateforme et enrichis par des donnees externes (saisonnalite, evenements locaux, tendances economiques).</w:t>
      </w:r>
    </w:p>
    <w:p>
      <w:pPr>
        <w:pStyle w:val="Heading2"/>
        <w:spacing w:after="180" w:before="360"/>
      </w:pPr>
      <w:bookmarkStart w:id="100036" w:name="_Toc100036"/>
      <w:r>
        <w:rPr>
          <w:rFonts w:ascii="Times New Roman" w:eastAsia="SimHei"/>
          <w:b/>
          <w:bCs/>
          <w:color w:val="0A1628"/>
          <w:sz w:val="28"/>
          <w:szCs w:val="28"/>
        </w:rPr>
        <w:t xml:space="preserve">5.7 AI Customer Support</w:t>
      </w:r>
      <w:bookmarkEnd w:id="100036"/>
    </w:p>
    <w:p>
      <w:pPr>
        <w:spacing w:after="60" w:line="312"/>
        <w:ind w:firstLine="480"/>
        <w:jc w:val="both"/>
      </w:pPr>
      <w:r>
        <w:rPr>
          <w:rFonts w:ascii="Times New Roman" w:eastAsia="Microsoft YaHei"/>
          <w:color w:val="000000"/>
          <w:sz w:val="24"/>
          <w:szCs w:val="24"/>
        </w:rPr>
        <w:t xml:space="preserve">Le support client IA gere 80% des demandes sans intervention humaine, avec une capacite de resolution de premier contact superieure a 92%. Le systeme est entrainé sur l'historique de tickets de support (plusieurs centaines de milliers d'interactions) et sur la documentation technique complete de la plateforme. Il supporte 50+ langues, gère les demandes techniques, commerciales et pedagogiques, et peut effectuer des actions directement dans le systeme (reinitialisation de mot de passe, modification d'abonnement, annulation de lecon, generation de facture). Pour les demandes complexes ou sensibles, le systeme transfere intelligemment vers un agent humain avec un resume complet du contexte et des etapes deja effectuees. Le chatbot vocal est disponible par telephone pour les utilisateurs qui preferent l'interaction orale, avec une reconnaissance vocale optimisée pour les accents regionaux et le bruit ambiant. La satisfaction client est mesuree apres chaque interaction par un CSAT automatique, et les feedbacks negatifs declenchent une analyse racine automatique et une boucle d'amelioration continue.</w:t>
      </w:r>
    </w:p>
    <w:p>
      <w:pPr>
        <w:pStyle w:val="Heading2"/>
        <w:spacing w:after="180" w:before="360"/>
      </w:pPr>
      <w:bookmarkStart w:id="100037" w:name="_Toc100037"/>
      <w:r>
        <w:rPr>
          <w:rFonts w:ascii="Times New Roman" w:eastAsia="SimHei"/>
          <w:b/>
          <w:bCs/>
          <w:color w:val="0A1628"/>
          <w:sz w:val="28"/>
          <w:szCs w:val="28"/>
        </w:rPr>
        <w:t xml:space="preserve">5.8 Securite IA et RAG</w:t>
      </w:r>
      <w:bookmarkEnd w:id="100037"/>
    </w:p>
    <w:p>
      <w:pPr>
        <w:spacing w:after="60" w:line="312"/>
        <w:ind w:firstLine="480"/>
        <w:jc w:val="both"/>
      </w:pPr>
      <w:r>
        <w:rPr>
          <w:rFonts w:ascii="Times New Roman" w:eastAsia="Microsoft YaHei"/>
          <w:color w:val="000000"/>
          <w:sz w:val="24"/>
          <w:szCs w:val="24"/>
        </w:rPr>
        <w:t xml:space="preserve">La securite des systemes IA est un pilier fondamental de l'architecture. Chaque modele IA est soumis a un processus rigoureux de validation avant deploiement, incluant des tests d'adversarial (prompt injection, data poisoning, model extraction), des evaluations de biais (discrimination par genre, age, origine, handicap), et des tests de robustesse (comportement face aux entrees hors distribution). Le systeme RAG (Retrieval-Augmented Generation) utilise une base de connaissances vectorielle (Pinecone/Weaviate) pour ancrer les reponses de l'IA dans des faits verifies, reduisant drastiquement le risque d'hallucination. Chaque reponse de l'IA inclut les sources consultees, permettant a l'utilisateur de verifier les informations. Un systeme de guardrails filtre les demandes hors sujet, les tentatives de manipulation, et les contenus inappropries avant qu'ils n'atteignent le modele. Les modeles sont monitorés en production avec des metriques de qualite (pertinence, exactitude, coherence) et des alertes automatiques en cas de degradation. Le cycle de vie des modeles suit un processus MLOps complet : versioning, A/B testing, canary deployment, rollback automatique, et reentrainement periodique sur les donnees les plus recentes.</w:t>
      </w:r>
    </w:p>
    <w:p>
      <w:pPr>
        <w:pStyle w:val="Heading1"/>
        <w:spacing w:after="240" w:before="480"/>
      </w:pPr>
      <w:bookmarkStart w:id="100038" w:name="_Toc100038"/>
      <w:r>
        <w:rPr>
          <w:rFonts w:ascii="Times New Roman" w:eastAsia="SimHei"/>
          <w:b/>
          <w:bCs/>
          <w:color w:val="0A1628"/>
          <w:sz w:val="32"/>
          <w:szCs w:val="32"/>
        </w:rPr>
        <w:t xml:space="preserve">PARTIE 6 — Monetisation</w:t>
      </w:r>
      <w:bookmarkEnd w:id="100038"/>
    </w:p>
    <w:p>
      <w:pPr>
        <w:pStyle w:val="Heading2"/>
        <w:spacing w:after="180" w:before="360"/>
      </w:pPr>
      <w:bookmarkStart w:id="100039" w:name="_Toc100039"/>
      <w:r>
        <w:rPr>
          <w:rFonts w:ascii="Times New Roman" w:eastAsia="SimHei"/>
          <w:b/>
          <w:bCs/>
          <w:color w:val="0A1628"/>
          <w:sz w:val="28"/>
          <w:szCs w:val="28"/>
        </w:rPr>
        <w:t xml:space="preserve">6.1 Modele B2C : Offres Individuelles</w:t>
      </w:r>
      <w:bookmarkEnd w:id="100039"/>
    </w:p>
    <w:p>
      <w:pPr>
        <w:spacing w:after="60" w:line="312"/>
        <w:ind w:firstLine="480"/>
        <w:jc w:val="both"/>
      </w:pPr>
      <w:r>
        <w:rPr>
          <w:rFonts w:ascii="Times New Roman" w:eastAsia="Microsoft YaHei"/>
          <w:color w:val="000000"/>
          <w:sz w:val="24"/>
          <w:szCs w:val="24"/>
        </w:rPr>
        <w:t xml:space="preserve">Le modele de revenus B2C repose sur une strategie freemium avec quatre niveaux d'abonnement, concus pour maximiser la conversion tout en offrant une valeur reelle meme aux utilisateurs gratuits. Le niveau Free offre l'acces a 20% des cours theoriques, 5 quiz par mois, un examen blanc basique, et un suivi de progression limite. Ce niveau sert de portail d'entree et de demonstration de la valeur de la plateforme. Le niveau Basic (9,99 EUR/mois) debloque 100% des cours theoriques, 30 quiz par mois, les examens blancs illimités, le suivi de progression complet, et l'acces a l'IA Coach en mode standard. Le niveau Premium (19,99 EUR/mois) ajoute l'acces au simulateur de conduite 3D, les sessions de coaching IA illimitees, les analyses detaillees de performance, les certificats numeriques, et le mode hors-ligne. Le niveau Expert (39,99 EUR/mois) inclut tout le Premium plus un coaching IA avance avec analyse comportementale, l'acces aux cours de conduite speciale (neige, nuit, eco-driving), les simulations d'examen proctorees, et la certification blockchain.</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gridCol w:w="100"/>
      </w:tblGrid>
      <w:tr>
        <w:trPr>
          <w:tblHeader/>
        </w:trPr>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Fonctionnalite</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Free</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Basic (9,99 EUR)</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Premium (19,99 EUR)</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Expert (39,99 EUR)</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Cours theoriques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20%</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100%</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100%</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100%</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Quiz / mois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5</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30</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Illimite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Illimite</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Examens blancs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1 basique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Illimites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Illimites + analyse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Illimites + proctoring</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IA Coach</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Standard</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Illimite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Avance + comportemental</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Simulateur 3D</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Oui</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Oui + scenarios avances</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Certificat numerique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Oui</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Blockchain</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Mode hors-ligne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Oui</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Oui</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Conduite speciale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Neige, nuit, eco-driving</w:t>
            </w:r>
          </w:p>
        </w:tc>
      </w:tr>
    </w:tbl>
    <w:p>
      <w:pPr>
        <w:pStyle w:val="Heading2"/>
        <w:spacing w:after="180" w:before="360"/>
      </w:pPr>
      <w:bookmarkStart w:id="100040" w:name="_Toc100040"/>
      <w:r>
        <w:rPr>
          <w:rFonts w:ascii="Times New Roman" w:eastAsia="SimHei"/>
          <w:b/>
          <w:bCs/>
          <w:color w:val="0A1628"/>
          <w:sz w:val="28"/>
          <w:szCs w:val="28"/>
        </w:rPr>
        <w:t xml:space="preserve">6.2 Modele B2B : Auto-ecoles, Entreprises, Institutions</w:t>
      </w:r>
      <w:bookmarkEnd w:id="100040"/>
    </w:p>
    <w:p>
      <w:pPr>
        <w:spacing w:after="60" w:line="312"/>
        <w:ind w:firstLine="480"/>
        <w:jc w:val="both"/>
      </w:pPr>
      <w:r>
        <w:rPr>
          <w:rFonts w:ascii="Times New Roman" w:eastAsia="Microsoft YaHei"/>
          <w:color w:val="000000"/>
          <w:sz w:val="24"/>
          <w:szCs w:val="24"/>
        </w:rPr>
        <w:t xml:space="preserve">Le modele B2B repose sur des abonnements SaaS annuels avec un prix base par nombre d'eleves actifs. Le plan Starter (299 EUR/mois) est destine aux petites auto-ecoles de moins de 50 eleves, incluant la gestion complete, le CRM basique, la facturation, et les statistiques standard. Le plan Professional (799 EUR/mois) convient aux auto-ecoles de 50-500 eleves, ajoutant le CRM avance avec scoring IA, le marketing automatise, la gestion du parc vehicules, et l'IA Business Analyst. Le plan Enterprise (sur devis) est personnalise pour les grandes chaines d'auto-ecoles et les entreprises avec flottes, incluant une instance dediee, une API complete, un SLA garanti (99,99%), un account manager dedie, et des integrations sur mesure. Pour les institutions gouvernementales, ADSO propose un modele de licence avec un prix par nombre de citoyens formes, incluant la personnalisation complete du contenu, l'integration avec les systemes gouvernementaux existants, et un programme de formation des formateurs. Les prix sont adaptes par pays selon le pouvoir d'achat local, avec un facteur d'ajustement base sur l'indice Big Mac et le PIB par habitant.</w:t>
      </w:r>
    </w:p>
    <w:p>
      <w:pPr>
        <w:pStyle w:val="Heading2"/>
        <w:spacing w:after="180" w:before="360"/>
      </w:pPr>
      <w:bookmarkStart w:id="100041" w:name="_Toc100041"/>
      <w:r>
        <w:rPr>
          <w:rFonts w:ascii="Times New Roman" w:eastAsia="SimHei"/>
          <w:b/>
          <w:bCs/>
          <w:color w:val="0A1628"/>
          <w:sz w:val="28"/>
          <w:szCs w:val="28"/>
        </w:rPr>
        <w:t xml:space="preserve">6.3 Marketplace et Commissions</w:t>
      </w:r>
      <w:bookmarkEnd w:id="100041"/>
    </w:p>
    <w:p>
      <w:pPr>
        <w:spacing w:after="60" w:line="312"/>
        <w:ind w:firstLine="480"/>
        <w:jc w:val="both"/>
      </w:pPr>
      <w:r>
        <w:rPr>
          <w:rFonts w:ascii="Times New Roman" w:eastAsia="Microsoft YaHei"/>
          <w:color w:val="000000"/>
          <w:sz w:val="24"/>
          <w:szCs w:val="24"/>
        </w:rPr>
        <w:t xml:space="preserve">La marketplace ADSO connecte les eleves avec les auto-ecoles partenaires pour les lecons de conduite pratiques, generant des commissions sur chaque reservation. Le taux de commission standard est de 15% par lecon reservee via la plateforme, avec des niveaux de volume : 12% pour plus de 500 lecons/mois et 10% pour plus de 2000 lecons/mois. La marketplace inclut egalement la vente de contenus premium crees par des moniteurs experts (cours specialises, video tuto, guides) avec une repartition 70/30 en faveur du createur. Les assurances partenaires proposent des offres exclusives aux utilisateurs ADSO, generant des commissions par police souscrite. Les constructeurs automobiles peuvent sponsoriser des contenus pedagogiques lies a leurs vehicules et technologies, creant une source de revenus publicitaires non intrusive et pertinente pour les utilisateurs.</w:t>
      </w:r>
    </w:p>
    <w:p>
      <w:pPr>
        <w:pStyle w:val="Heading2"/>
        <w:spacing w:after="180" w:before="360"/>
      </w:pPr>
      <w:bookmarkStart w:id="100042" w:name="_Toc100042"/>
      <w:r>
        <w:rPr>
          <w:rFonts w:ascii="Times New Roman" w:eastAsia="SimHei"/>
          <w:b/>
          <w:bCs/>
          <w:color w:val="0A1628"/>
          <w:sz w:val="28"/>
          <w:szCs w:val="28"/>
        </w:rPr>
        <w:t xml:space="preserve">6.4 API et Partenariats</w:t>
      </w:r>
      <w:bookmarkEnd w:id="100042"/>
    </w:p>
    <w:p>
      <w:pPr>
        <w:spacing w:after="60" w:line="312"/>
        <w:ind w:firstLine="480"/>
        <w:jc w:val="both"/>
      </w:pPr>
      <w:r>
        <w:rPr>
          <w:rFonts w:ascii="Times New Roman" w:eastAsia="Microsoft YaHei"/>
          <w:color w:val="000000"/>
          <w:sz w:val="24"/>
          <w:szCs w:val="24"/>
        </w:rPr>
        <w:t xml:space="preserve">L'API ADSO est commercialisee sous forme d'abonnement developpeur avec trois niveaux : Sandbox (gratuit, 1000 requetes/jour) pour les prototypes et tests, Production (99 EUR/mois, 100 000 requetes/jour) pour les integrations operationnelles, et Enterprise (sur devis, requetes illimitees) pour les grands partenaires. Les cas d'usage de l'API incluent l'integration de la verification de permis dans les applications de location de vehicules, l'acces aux donnees de formation pour les assureurs, la verification de competences pour les recruteurs de chauffeurs, et l'integration de modules de formation dans les applications tierces. Les partenariats strategiques avec les constructeurs automobiles incluent des integrations dans les systemes embarques (formation continue des conducteurs directement depuis le vehicule), des programmes de co-branding sur les nouveaux vehicules, et l'acces aux donnees telematiques pour enrichir les modeles de formation.</w:t>
      </w:r>
    </w:p>
    <w:p>
      <w:pPr>
        <w:pStyle w:val="Heading2"/>
        <w:spacing w:after="180" w:before="360"/>
      </w:pPr>
      <w:bookmarkStart w:id="100043" w:name="_Toc100043"/>
      <w:r>
        <w:rPr>
          <w:rFonts w:ascii="Times New Roman" w:eastAsia="SimHei"/>
          <w:b/>
          <w:bCs/>
          <w:color w:val="0A1628"/>
          <w:sz w:val="28"/>
          <w:szCs w:val="28"/>
        </w:rPr>
        <w:t xml:space="preserve">6.5 Strategie Prix par Pays</w:t>
      </w:r>
      <w:bookmarkEnd w:id="100043"/>
    </w:p>
    <w:p>
      <w:pPr>
        <w:spacing w:after="60" w:line="312"/>
        <w:ind w:firstLine="480"/>
        <w:jc w:val="both"/>
      </w:pPr>
      <w:r>
        <w:rPr>
          <w:rFonts w:ascii="Times New Roman" w:eastAsia="Microsoft YaHei"/>
          <w:color w:val="000000"/>
          <w:sz w:val="24"/>
          <w:szCs w:val="24"/>
        </w:rPr>
        <w:t xml:space="preserve">La strategie de prix utilise un modele de parite de pouvoir d'achat (PPA) avec quatre zones tarifaires. La Zone 1 (Europe de l'Ouest, Amérique du Nord, Japon, Australie) applique les prix de reference complets. La Zone 2 (Europe de l'Est, Amérique latine, Moyen-Orient, Chine) applique un coefficient de 0,6 sur les prix de reference. La Zone 3 (Afrique du Nord, Asie du Sud-Est, Inde) applique un coefficient de 0,35. La Zone 4 (Afrique subsaharienne, Asie du Sud) applique un coefficient de 0,2, avec un programme de subvention pour les utilisateurs etablissant une preuve de faible revenu. Les paiements sont acceptes dans plus de 135 devises via Stripe, avec des methodes de paiement locales (Mobile Money en Afrique, PIX au Bresil, UPI en Inde, Alipay/WeChat Pay en Chine). La facturation est automatisee avec generation de factures conforme aux normes fiscales locales, et la TVA/Taxes est calculee automatiquement en fonction de la jurisdiction de l'acheteur.</w:t>
      </w:r>
    </w:p>
    <w:p>
      <w:pPr>
        <w:pStyle w:val="Heading1"/>
        <w:spacing w:after="240" w:before="480"/>
      </w:pPr>
      <w:bookmarkStart w:id="100044" w:name="_Toc100044"/>
      <w:r>
        <w:rPr>
          <w:rFonts w:ascii="Times New Roman" w:eastAsia="SimHei"/>
          <w:b/>
          <w:bCs/>
          <w:color w:val="0A1628"/>
          <w:sz w:val="32"/>
          <w:szCs w:val="32"/>
        </w:rPr>
        <w:t xml:space="preserve">PARTIE 7 — Securite Entreprise (CISO)</w:t>
      </w:r>
      <w:bookmarkEnd w:id="100044"/>
    </w:p>
    <w:p>
      <w:pPr>
        <w:pStyle w:val="Heading2"/>
        <w:spacing w:after="180" w:before="360"/>
      </w:pPr>
      <w:bookmarkStart w:id="100045" w:name="_Toc100045"/>
      <w:r>
        <w:rPr>
          <w:rFonts w:ascii="Times New Roman" w:eastAsia="SimHei"/>
          <w:b/>
          <w:bCs/>
          <w:color w:val="0A1628"/>
          <w:sz w:val="28"/>
          <w:szCs w:val="28"/>
        </w:rPr>
        <w:t xml:space="preserve">7.1 Protection des Donnees Utilisateurs</w:t>
      </w:r>
      <w:bookmarkEnd w:id="100045"/>
    </w:p>
    <w:p>
      <w:pPr>
        <w:spacing w:after="60" w:line="312"/>
        <w:ind w:firstLine="480"/>
        <w:jc w:val="both"/>
      </w:pPr>
      <w:r>
        <w:rPr>
          <w:rFonts w:ascii="Times New Roman" w:eastAsia="Microsoft YaHei"/>
          <w:color w:val="000000"/>
          <w:sz w:val="24"/>
          <w:szCs w:val="24"/>
        </w:rPr>
        <w:t xml:space="preserve">La protection des donnees personnelles est un engagement fondamental d'ADSO, conforme au RGPD (Europe), au CCPA (Californie), a la LGPD (Bresil), au PIPA (Coree du Sud) et a toutes les legislations locales applicables. Les donnees personnelles sont classees en trois categories : donnees d'identite (nom, email, date de naissance), donnees sensibles (donnees de sante liees a l'aptitude a la conduite, donnees biometriques pour l'authentification), et donnees comportementales (historique d'apprentissage, performances de conduite, donnees telematiques). Chaque categorie est soumise a des regles de traitement et de retention specifiques. Les donnees d'identite sont chiffrees au repos (AES-256) et en transit (TLS 1.3), avec un controle d'acces strict limite aux services necessitant ces donnees. Les donnees sensibles necessitent un consentement explicite et eclairé, sont stockees dans des vaults dedies, et ne sont jamais partagees avec des tiers sans accord contractuel. Les donnees comportementales sont anonymisees avant utilisation a des fins analytiques, avec une technique de k-anonymat garantissant qu'un individu ne peut etre réidentifié.</w:t>
      </w:r>
    </w:p>
    <w:p>
      <w:pPr>
        <w:pStyle w:val="Heading2"/>
        <w:spacing w:after="180" w:before="360"/>
      </w:pPr>
      <w:bookmarkStart w:id="100046" w:name="_Toc100046"/>
      <w:r>
        <w:rPr>
          <w:rFonts w:ascii="Times New Roman" w:eastAsia="SimHei"/>
          <w:b/>
          <w:bCs/>
          <w:color w:val="0A1628"/>
          <w:sz w:val="28"/>
          <w:szCs w:val="28"/>
        </w:rPr>
        <w:t xml:space="preserve">7.2 Chiffrement et Infrastructure</w:t>
      </w:r>
      <w:bookmarkEnd w:id="100046"/>
    </w:p>
    <w:p>
      <w:pPr>
        <w:spacing w:after="60" w:line="312"/>
        <w:ind w:firstLine="480"/>
        <w:jc w:val="both"/>
      </w:pPr>
      <w:r>
        <w:rPr>
          <w:rFonts w:ascii="Times New Roman" w:eastAsia="Microsoft YaHei"/>
          <w:color w:val="000000"/>
          <w:sz w:val="24"/>
          <w:szCs w:val="24"/>
        </w:rPr>
        <w:t xml:space="preserve">Toutes les donnees sont chiffrees au repos et en transit. Le chiffrement au repos utilise AES-256-GCM avec des cles de chiffrement gerees par AWS KMS (Key Management Service), avec une rotation automatique des cles tous les 90 jours. Les donnees en transit sont protegees par TLS 1.3 avec des certificats TLS geres automatiquement par AWS Certificate Manager et renouveles avant expiration. Les secrets applicatifs (cles API, mots de passe de base de donnees, tokens d'integration) sont stockes dans HashiCorp Vault avec un chiffrement enveloppe et un controle d'acces base sur les politiques Vault. L'infrastructure reseau utilise des VPC (Virtual Private Cloud) isoles avec des sous-reseaux prives pour les services backend, et des Network ACLs et Security Groups restrictifs ne permettant que le trafic strictement necessaire. Un WAF (Web Application Firewall) protege les points d'entree publics contre les attaques courantes (OWASP Top 10), et un DDoS Protection (AWS Shield Advanced) absorbe les attaques par deni de service distribue.</w:t>
      </w:r>
    </w:p>
    <w:p>
      <w:pPr>
        <w:pStyle w:val="Heading2"/>
        <w:spacing w:after="180" w:before="360"/>
      </w:pPr>
      <w:bookmarkStart w:id="100047" w:name="_Toc100047"/>
      <w:r>
        <w:rPr>
          <w:rFonts w:ascii="Times New Roman" w:eastAsia="SimHei"/>
          <w:b/>
          <w:bCs/>
          <w:color w:val="0A1628"/>
          <w:sz w:val="28"/>
          <w:szCs w:val="28"/>
        </w:rPr>
        <w:t xml:space="preserve">7.3 Authentification MFA et RBAC</w:t>
      </w:r>
      <w:bookmarkEnd w:id="100047"/>
    </w:p>
    <w:p>
      <w:pPr>
        <w:spacing w:after="60" w:line="312"/>
        <w:ind w:firstLine="480"/>
        <w:jc w:val="both"/>
      </w:pPr>
      <w:r>
        <w:rPr>
          <w:rFonts w:ascii="Times New Roman" w:eastAsia="Microsoft YaHei"/>
          <w:color w:val="000000"/>
          <w:sz w:val="24"/>
          <w:szCs w:val="24"/>
        </w:rPr>
        <w:t xml:space="preserve">L'authentification multi-facteurs est obligatoire pour tous les comptes administratifs et fortement recommandee pour les comptes moniteurs et eleves. Les methodes MFA supportees incluent les applications TOTP (Google Authenticator, Authy), les SMS OTP comme methode de secours, les clefs de securite FIDO2/WebAuthn comme methode premium, et la biometrie (Face ID, empreinte) sur les appareils mobiles. Le systeme RBAC implémente le principe du moindre privilege : chaque utilisateur ne dispose que des permissions strictement necessaires a son role. Les permissions sont definies par des politiques declaratives en format CEL (Common Expression Language) et evaluees a chaque requete par le middleware d'autorisation. Les acces privilegies (administration, gestion des paiements, export de donnees) necessitent une re-authentification systematique et sont journalises dans l'audit trail.</w:t>
      </w:r>
    </w:p>
    <w:p>
      <w:pPr>
        <w:pStyle w:val="Heading2"/>
        <w:spacing w:after="180" w:before="360"/>
      </w:pPr>
      <w:bookmarkStart w:id="100048" w:name="_Toc100048"/>
      <w:r>
        <w:rPr>
          <w:rFonts w:ascii="Times New Roman" w:eastAsia="SimHei"/>
          <w:b/>
          <w:bCs/>
          <w:color w:val="0A1628"/>
          <w:sz w:val="28"/>
          <w:szCs w:val="28"/>
        </w:rPr>
        <w:t xml:space="preserve">7.4 Audit Logs, Prevention et Conformite</w:t>
      </w:r>
      <w:bookmarkEnd w:id="100048"/>
    </w:p>
    <w:p>
      <w:pPr>
        <w:spacing w:after="60" w:line="312"/>
        <w:ind w:firstLine="480"/>
        <w:jc w:val="both"/>
      </w:pPr>
      <w:r>
        <w:rPr>
          <w:rFonts w:ascii="Times New Roman" w:eastAsia="Microsoft YaHei"/>
          <w:color w:val="000000"/>
          <w:sz w:val="24"/>
          <w:szCs w:val="24"/>
        </w:rPr>
        <w:t xml:space="preserve">Un systeme d'audit logging complet enregistre toute action modifiant l'etat du systeme : connexion, deconnexion, modification de donnees, changement de permissions, export de donnees, operations de paiement. Les logs sont stockes dans un systeme immuable (Amazon S3 Object Lock avec compliancy mode) pendant une duree de retention de 5 ans, conformement aux exigences reglementaires. La prevention des injections SQL est assuree par l'utilisation exclusive de requetes paramétrées (Prisma ORM), la validation et la sanitisation de toutes les entrees utilisateur, et l'utilisation de WAF rules specifiques. La prevention XSS est assuree par l'echappement automatique des sorties dans React (protection par defaut), les politiques CSP (Content Security Policy) restrictives, et le sandboxing des contenus user-generated. La conformite internationale est maintenue par un programme continu de conformite avec des audits annuels externes (SOC 2 Type II, ISO 27001), des tests de penetration trimestriels, et un bug bounty program pour encourager la recherche de vulnerabilites par la communaute.</w:t>
      </w:r>
    </w:p>
    <w:p>
      <w:pPr>
        <w:pStyle w:val="Heading2"/>
        <w:spacing w:after="180" w:before="360"/>
      </w:pPr>
      <w:bookmarkStart w:id="100049" w:name="_Toc100049"/>
      <w:r>
        <w:rPr>
          <w:rFonts w:ascii="Times New Roman" w:eastAsia="SimHei"/>
          <w:b/>
          <w:bCs/>
          <w:color w:val="0A1628"/>
          <w:sz w:val="28"/>
          <w:szCs w:val="28"/>
        </w:rPr>
        <w:t xml:space="preserve">7.5 Sauvegardes et Reprise Apres Incident</w:t>
      </w:r>
      <w:bookmarkEnd w:id="100049"/>
    </w:p>
    <w:p>
      <w:pPr>
        <w:spacing w:after="60" w:line="312"/>
        <w:ind w:firstLine="480"/>
        <w:jc w:val="both"/>
      </w:pPr>
      <w:r>
        <w:rPr>
          <w:rFonts w:ascii="Times New Roman" w:eastAsia="Microsoft YaHei"/>
          <w:color w:val="000000"/>
          <w:sz w:val="24"/>
          <w:szCs w:val="24"/>
        </w:rPr>
        <w:t xml:space="preserve">La strategie de sauvegarde suit la regle 3-2-1 : trois copies des donnees, sur deux supports differents, avec une copie hors site. Les sauvegardes de la base de donnees PostgreSQL sont realisees toutes les heures (WAL archiving + pg_basebackup) avec une retention de 30 jours, et une sauvegarde complete quotidienne avec une retention d'un an. Les sauvegardes des fichiers (S3) utilisent le versionning et le Cross-Region Replication vers une region AWS differente. Le plan de reprise apres incident (DRP) definit des objectifs de RPO (Recovery Point Objective) de 1 heure et de RTO (Recovery Time Objective) de 4 heures pour les services critiques. Des exercices de simulation de disaster recovery sont realises trimestriellement, avec des rapports detailles et des plans d'amelioration. Le systeme de failover automatique bascule vers la region de secours en moins de 5 minutes en cas de panne majeure de l'infrastructure primaire.</w:t>
      </w:r>
    </w:p>
    <w:p>
      <w:pPr>
        <w:pStyle w:val="Heading1"/>
        <w:spacing w:after="240" w:before="480"/>
      </w:pPr>
      <w:bookmarkStart w:id="100050" w:name="_Toc100050"/>
      <w:r>
        <w:rPr>
          <w:rFonts w:ascii="Times New Roman" w:eastAsia="SimHei"/>
          <w:b/>
          <w:bCs/>
          <w:color w:val="0A1628"/>
          <w:sz w:val="32"/>
          <w:szCs w:val="32"/>
        </w:rPr>
        <w:t xml:space="preserve">PARTIE 8 — Internationalisation</w:t>
      </w:r>
      <w:bookmarkEnd w:id="100050"/>
    </w:p>
    <w:p>
      <w:pPr>
        <w:pStyle w:val="Heading2"/>
        <w:spacing w:after="180" w:before="360"/>
      </w:pPr>
      <w:bookmarkStart w:id="100051" w:name="_Toc100051"/>
      <w:r>
        <w:rPr>
          <w:rFonts w:ascii="Times New Roman" w:eastAsia="SimHei"/>
          <w:b/>
          <w:bCs/>
          <w:color w:val="0A1628"/>
          <w:sz w:val="28"/>
          <w:szCs w:val="28"/>
        </w:rPr>
        <w:t xml:space="preserve">8.1 Multi-Pays et Localisation Reglementaire</w:t>
      </w:r>
      <w:bookmarkEnd w:id="100051"/>
    </w:p>
    <w:p>
      <w:pPr>
        <w:spacing w:after="60" w:line="312"/>
        <w:ind w:firstLine="480"/>
        <w:jc w:val="both"/>
      </w:pPr>
      <w:r>
        <w:rPr>
          <w:rFonts w:ascii="Times New Roman" w:eastAsia="Microsoft YaHei"/>
          <w:color w:val="000000"/>
          <w:sz w:val="24"/>
          <w:szCs w:val="24"/>
        </w:rPr>
        <w:t xml:space="preserve">L'internationalisation d'ADSO est concue comme un pilier fondamental de l'architecture, pas comme un ajout retrospectif. Chaque pays dispose d'un "Country Pack" comprenant le code de la route local traduit et adapte, les procedures d'examen officielles (nombre de questions, bareme de notation, duree), les signalisations routieres specifiques avec images vectorielles, les regles particulieres (limites de vitesse, priorites, equipements obligatoires), les exigences d'age et de sante, et les procédures administratives (délivrance du permis, echange international). Les Country Packs sont developpes en collaboration avec des experts locaux (auto-ecoles, moniteurs, autorites) et valides par un processus de revele indépendant. Le premier cycle de deploiement cible 30 pays couvrant 80% du marche mondial de la formation a la conduite, avec une expansion progressive vers 120+ pays d'ici 2030. Le systeme de gestion des Country Packs est centralise dans le CMS et permet des mises a jour independantes de chaque pays sans impact sur les autres.</w:t>
      </w:r>
    </w:p>
    <w:p>
      <w:pPr>
        <w:pStyle w:val="Heading2"/>
        <w:spacing w:after="180" w:before="360"/>
      </w:pPr>
      <w:bookmarkStart w:id="100052" w:name="_Toc100052"/>
      <w:r>
        <w:rPr>
          <w:rFonts w:ascii="Times New Roman" w:eastAsia="SimHei"/>
          <w:b/>
          <w:bCs/>
          <w:color w:val="0A1628"/>
          <w:sz w:val="28"/>
          <w:szCs w:val="28"/>
        </w:rPr>
        <w:t xml:space="preserve">8.2 Multi-Langues et RTL</w:t>
      </w:r>
      <w:bookmarkEnd w:id="100052"/>
    </w:p>
    <w:p>
      <w:pPr>
        <w:spacing w:after="60" w:line="312"/>
        <w:ind w:firstLine="480"/>
        <w:jc w:val="both"/>
      </w:pPr>
      <w:r>
        <w:rPr>
          <w:rFonts w:ascii="Times New Roman" w:eastAsia="Microsoft YaHei"/>
          <w:color w:val="000000"/>
          <w:sz w:val="24"/>
          <w:szCs w:val="24"/>
        </w:rPr>
        <w:t xml:space="preserve">La plateforme supporte 50+ langues au lancement, avec un objectif de 80 langues d'ici 2028. L'infrastructure i18n est basee sur next-intl avec des fichiers de traduction JSON par locale et par composant, permettant un chargement dynamique et une mise a jour sans redeployment. Les langues sont gérées par une matrice de couverture : langue de l'interface (50+ langues), langue des contenus (variable par pays et par module), langue des quiz (adaptee au pays), et langue de l'IA Coach (conversationnelle, 30+ langues). Le support RTL (Right-to-Left) est natif pour l'arabe, l'hebreu, le farsi et l'urdu, avec une inversion automatique des mises en page, des icones directionnelles et des animations. Le systeme gere egalement les langues a ecriture complexe (chinois, japonais, coreen, thai, hindi, arabe) avec des polices optimisees et une typographie appropriee. La qualite des traductions est assuree par une combinaison de traduction IA (pour la vitesse et la couverture) et de revision humaine (pour la precision et le ton), avec un processus de feedback continu integre.</w:t>
      </w:r>
    </w:p>
    <w:p>
      <w:pPr>
        <w:pStyle w:val="Heading2"/>
        <w:spacing w:after="180" w:before="360"/>
      </w:pPr>
      <w:bookmarkStart w:id="100053" w:name="_Toc100053"/>
      <w:r>
        <w:rPr>
          <w:rFonts w:ascii="Times New Roman" w:eastAsia="SimHei"/>
          <w:b/>
          <w:bCs/>
          <w:color w:val="0A1628"/>
          <w:sz w:val="28"/>
          <w:szCs w:val="28"/>
        </w:rPr>
        <w:t xml:space="preserve">8.3 Devises et Paiements Locaux</w:t>
      </w:r>
      <w:bookmarkEnd w:id="100053"/>
    </w:p>
    <w:p>
      <w:pPr>
        <w:spacing w:after="60" w:line="312"/>
        <w:ind w:firstLine="480"/>
        <w:jc w:val="both"/>
      </w:pPr>
      <w:r>
        <w:rPr>
          <w:rFonts w:ascii="Times New Roman" w:eastAsia="Microsoft YaHei"/>
          <w:color w:val="000000"/>
          <w:sz w:val="24"/>
          <w:szCs w:val="24"/>
        </w:rPr>
        <w:t xml:space="preserve">ADSO accepte les paiements dans plus de 135 devises via l'infrastructure Stripe, avec des methodes de paiement locales pour maximiser la conversion dans chaque marche. En plus des cartes bancaires internationales (Visa, Mastercard, Amex), la plateforme supporte les wallets mobiles (Apple Pay, Google Pay), les virements bancaires locaux (SEPA en Europe, ACH aux Etats-Unis, PIX au Bresil), les paiements mobiles (M-Pesa en Afrique de l'Est, Mobile Money en Afrique de l'Ouest, UPI en Inde, GCash aux Philippines), et les paiements par cash (points de vente autorises dans les pays a faible bancarisation). Les prix sont affiches dans la devise locale avec conversion transparente, et la TVA/taxes est calculee automatiquement selon la jurisdiction de l'acheteur. Les factures sont generees dans la langue et la devise locales, conformes aux obligations fiscales du pays de l'acheteur. Un systeme de gestion des taux de change avec mise a jour quotidienne garantit la coherence des prix entre les differentes devises.</w:t>
      </w:r>
    </w:p>
    <w:p>
      <w:pPr>
        <w:pStyle w:val="Heading1"/>
        <w:spacing w:after="240" w:before="480"/>
      </w:pPr>
      <w:bookmarkStart w:id="100054" w:name="_Toc100054"/>
      <w:r>
        <w:rPr>
          <w:rFonts w:ascii="Times New Roman" w:eastAsia="SimHei"/>
          <w:b/>
          <w:bCs/>
          <w:color w:val="0A1628"/>
          <w:sz w:val="32"/>
          <w:szCs w:val="32"/>
        </w:rPr>
        <w:t xml:space="preserve">PARTIE 9 — UX/UI Design</w:t>
      </w:r>
      <w:bookmarkEnd w:id="100054"/>
    </w:p>
    <w:p>
      <w:pPr>
        <w:pStyle w:val="Heading2"/>
        <w:spacing w:after="180" w:before="360"/>
      </w:pPr>
      <w:bookmarkStart w:id="100055" w:name="_Toc100055"/>
      <w:r>
        <w:rPr>
          <w:rFonts w:ascii="Times New Roman" w:eastAsia="SimHei"/>
          <w:b/>
          <w:bCs/>
          <w:color w:val="0A1628"/>
          <w:sz w:val="28"/>
          <w:szCs w:val="28"/>
        </w:rPr>
        <w:t xml:space="preserve">9.1 Design System</w:t>
      </w:r>
      <w:bookmarkEnd w:id="100055"/>
    </w:p>
    <w:p>
      <w:pPr>
        <w:spacing w:after="60" w:line="312"/>
        <w:ind w:firstLine="480"/>
        <w:jc w:val="both"/>
      </w:pPr>
      <w:r>
        <w:rPr>
          <w:rFonts w:ascii="Times New Roman" w:eastAsia="Microsoft YaHei"/>
          <w:color w:val="000000"/>
          <w:sz w:val="24"/>
          <w:szCs w:val="24"/>
        </w:rPr>
        <w:t xml:space="preserve">Le design system d'ADSO est construit sur une fondation de composants atomiques reutilisables, organisés en trois niveaux : atoms (boutons, inputs, badges, icons, typographie), molecules (champs de formulaire, cartes de cours, cellules de planning, barres de progression), et organisms (en-tetes, navigations, tableaux de bord, modales). Le systeme utilise des design tokens (couleurs, espacements, typographie, ombres, rayons de bordure) definis dans un theme central et variant selon le contexte (eleve, moniteur, administrateur). La palette de couleurs est concue pour etre inclusive et accessible, avec un contraste minimum de 4.5:1 pour le texte normal et 3:1 pour le texte large, conforme aux exigences WCAG 2.2 AA. La typographie utilise une hierarchie claire avec des tailles, graisses et espacements calcules sur une grille de 4px, garantissant une coherence visuelle sur l'ensemble de la plateforme. Les composants sont documentes dans Storybook avec des exemples interactifs, des guidelines d'utilisation, et des tests d'accessibilite automatises.</w:t>
      </w:r>
    </w:p>
    <w:p>
      <w:pPr>
        <w:pStyle w:val="Heading2"/>
        <w:spacing w:after="180" w:before="360"/>
      </w:pPr>
      <w:bookmarkStart w:id="100056" w:name="_Toc100056"/>
      <w:r>
        <w:rPr>
          <w:rFonts w:ascii="Times New Roman" w:eastAsia="SimHei"/>
          <w:b/>
          <w:bCs/>
          <w:color w:val="0A1628"/>
          <w:sz w:val="28"/>
          <w:szCs w:val="28"/>
        </w:rPr>
        <w:t xml:space="preserve">9.2 Experience Mobile et Accessibilite</w:t>
      </w:r>
      <w:bookmarkEnd w:id="100056"/>
    </w:p>
    <w:p>
      <w:pPr>
        <w:spacing w:after="60" w:line="312"/>
        <w:ind w:firstLine="480"/>
        <w:jc w:val="both"/>
      </w:pPr>
      <w:r>
        <w:rPr>
          <w:rFonts w:ascii="Times New Roman" w:eastAsia="Microsoft YaHei"/>
          <w:color w:val="000000"/>
          <w:sz w:val="24"/>
          <w:szCs w:val="24"/>
        </w:rPr>
        <w:t xml:space="preserve">L'experience mobile est la priorite absolue du design, car 85% des eleves accedent a la plateforme depuis un smartphone. Le design mobile-first garantit une utilisation confortable sur des ecrans de 320px a 428px de largeur, avec des zones de touch cibles d'au moins 44x44px, une navigation thumb-friendly avec les actions principales en bas de l'ecran, et des gestes intuitifs (swipe pour naviguer entre les cours, pull-to-refresh pour les donnees, pinch-to-zoom pour les schémas). L'accessibilite va au-dela de la conformite WCAG 2.2 AA : le support des lecteurs d'ecran est complet avec des labels ARIA, l'alternative textuelle est fournie pour tous les contenus visuels, les animations respectent la preference de mouvement reduit (prefers-reduced-motion), et un mode haute visibilite ameliore le contraste pour les utilisateurs malvoyants. La plateforme supporte egalement la navigation au clavier complete et la commande vocale pour les utilisateurs a mobilite reduite.</w:t>
      </w:r>
    </w:p>
    <w:p>
      <w:pPr>
        <w:pStyle w:val="Heading2"/>
        <w:spacing w:after="180" w:before="360"/>
      </w:pPr>
      <w:bookmarkStart w:id="100057" w:name="_Toc100057"/>
      <w:r>
        <w:rPr>
          <w:rFonts w:ascii="Times New Roman" w:eastAsia="SimHei"/>
          <w:b/>
          <w:bCs/>
          <w:color w:val="0A1628"/>
          <w:sz w:val="28"/>
          <w:szCs w:val="28"/>
        </w:rPr>
        <w:t xml:space="preserve">9.3 Parcours Utilisateur et Conversion</w:t>
      </w:r>
      <w:bookmarkEnd w:id="100057"/>
    </w:p>
    <w:p>
      <w:pPr>
        <w:spacing w:after="60" w:line="312"/>
        <w:ind w:firstLine="480"/>
        <w:jc w:val="both"/>
      </w:pPr>
      <w:r>
        <w:rPr>
          <w:rFonts w:ascii="Times New Roman" w:eastAsia="Microsoft YaHei"/>
          <w:color w:val="000000"/>
          <w:sz w:val="24"/>
          <w:szCs w:val="24"/>
        </w:rPr>
        <w:t xml:space="preserve">Le parcours utilisateur est optimise pour maximiser l'engagement et la conversion Free vers Premium. Le funnel d'onboarding comprend quatre etapes : inscription (30 secondes), quiz diagnostique (3 minutes), presentation du parcours personnalise par l'IA Coach (instantané), et proposition d'essai gratuit Premium de 7 jours. Les points de conversion strategiques sont places apres les premiers succes (reussite d'un quiz, completion d'un module) avec des messages contextuels montrant la valeur ajoutee du plan Premium. La gamification est integree de maniere subtile mais efficace : badges pour les achievements, niveaux de progression visibles, classements amicaux optionnels, et defis hebdomadaires. Le systeme de notifications intelligentes envoie des rappels personnalises au moment optimal (base sur l'historique de connexion de chaque utilisateur) sans jamais etre intrusif. Le design des tableaux de bord utilise les principes du data storytelling : les metriques les plus importantes sont mises en avant, les tendances sont visuellement evidentes, et les actions recommandees sont clairement identifiables.</w:t>
      </w:r>
    </w:p>
    <w:p>
      <w:pPr>
        <w:pStyle w:val="Heading1"/>
        <w:spacing w:after="240" w:before="480"/>
      </w:pPr>
      <w:bookmarkStart w:id="100058" w:name="_Toc100058"/>
      <w:r>
        <w:rPr>
          <w:rFonts w:ascii="Times New Roman" w:eastAsia="SimHei"/>
          <w:b/>
          <w:bCs/>
          <w:color w:val="0A1628"/>
          <w:sz w:val="32"/>
          <w:szCs w:val="32"/>
        </w:rPr>
        <w:t xml:space="preserve">PARTIE 10 — Data et Analytics</w:t>
      </w:r>
      <w:bookmarkEnd w:id="100058"/>
    </w:p>
    <w:p>
      <w:pPr>
        <w:pStyle w:val="Heading2"/>
        <w:spacing w:after="180" w:before="360"/>
      </w:pPr>
      <w:bookmarkStart w:id="100059" w:name="_Toc100059"/>
      <w:r>
        <w:rPr>
          <w:rFonts w:ascii="Times New Roman" w:eastAsia="SimHei"/>
          <w:b/>
          <w:bCs/>
          <w:color w:val="0A1628"/>
          <w:sz w:val="28"/>
          <w:szCs w:val="28"/>
        </w:rPr>
        <w:t xml:space="preserve">10.1 Tableaux de Bord et KPIs</w:t>
      </w:r>
      <w:bookmarkEnd w:id="100059"/>
    </w:p>
    <w:p>
      <w:pPr>
        <w:spacing w:after="60" w:line="312"/>
        <w:ind w:firstLine="480"/>
        <w:jc w:val="both"/>
      </w:pPr>
      <w:r>
        <w:rPr>
          <w:rFonts w:ascii="Times New Roman" w:eastAsia="Microsoft YaHei"/>
          <w:color w:val="000000"/>
          <w:sz w:val="24"/>
          <w:szCs w:val="24"/>
        </w:rPr>
        <w:t xml:space="preserve">Le systeme d'analytics d'ADSO fournit trois niveaux de tableaux de bord adaptes a chaque type d'utilisateur. Le tableau de bord eleve affiche la progression globale (pourcentage de completion du parcours), les performances par module (scores des quiz, temps d'apprentissage), les objectifs personnalises par l'IA Coach, et les prochaines étapes recommandées. Le tableau de bord moniteur presente la liste des eleves avec leur statut, les lecons du jour, les alertes sur les eleves en difficulte, et les statistiques personnelles du moniteur (taux de reussite, nombre d'heures, satisfaction). Le tableau de bord auto-ecole offre une vue operationnelle complete : revenus et depenses, taux d'occupation des vehicules, performance des moniteurs, pipeline de leads, et comparaison avec les moyennes nationales. Chaque tableau de bord est interactif avec des filtres par date, par pays, par moniteur, et par type de permis, et supporte l'export en PDF et Excel.</w:t>
      </w:r>
    </w:p>
    <w:p>
      <w:pPr>
        <w:pStyle w:val="Heading2"/>
        <w:spacing w:after="180" w:before="360"/>
      </w:pPr>
      <w:bookmarkStart w:id="100060" w:name="_Toc100060"/>
      <w:r>
        <w:rPr>
          <w:rFonts w:ascii="Times New Roman" w:eastAsia="SimHei"/>
          <w:b/>
          <w:bCs/>
          <w:color w:val="0A1628"/>
          <w:sz w:val="28"/>
          <w:szCs w:val="28"/>
        </w:rPr>
        <w:t xml:space="preserve">10.2 Business Intelligence et Predictions IA</w:t>
      </w:r>
      <w:bookmarkEnd w:id="100060"/>
    </w:p>
    <w:p>
      <w:pPr>
        <w:spacing w:after="60" w:line="312"/>
        <w:ind w:firstLine="480"/>
        <w:jc w:val="both"/>
      </w:pPr>
      <w:r>
        <w:rPr>
          <w:rFonts w:ascii="Times New Roman" w:eastAsia="Microsoft YaHei"/>
          <w:color w:val="000000"/>
          <w:sz w:val="24"/>
          <w:szCs w:val="24"/>
        </w:rPr>
        <w:t xml:space="preserve">Le module de Business Intelligence utilise un entrepôt de donnees construit sur dbt (data build tool) et BigQuery, avec des pipelines ETL gérés par Airflow. Les modeles de donnees suivent le framework dimensionnel (star schema) avec des tables de faits (evenements d'apprentissage, transactions, sessions d'examen) et des tables de dimensions (utilisateurs, cours, pays, temps). Les predictions IA couvrent plusieurs domaines critiques : prediction de churn (quels eleves risquent d'abandonner, avec des recommandations d'action), prediction de reussite aux examens (probabilite de succes avec identification des facteurs d'echec), prediction de demande (volume attendu de nouvelles inscriptions par pays et par periode), optimisation tarifaire (prix optimal par segment et par pays pour maximiser le revenu), et scoring de risque (identification des moniteurs sous-performants). Les modeles sont entraines hebdomadairement sur les donnees les plus recentes et leurs performances sont suivies via des metriques de calibration (AUC-ROC, F1-score, MAE) avec des alertes automatiques en cas de degradation.</w:t>
      </w:r>
    </w:p>
    <w:p>
      <w:pPr>
        <w:pStyle w:val="Heading2"/>
        <w:spacing w:after="180" w:before="360"/>
      </w:pPr>
      <w:bookmarkStart w:id="100061" w:name="_Toc100061"/>
      <w:r>
        <w:rPr>
          <w:rFonts w:ascii="Times New Roman" w:eastAsia="SimHei"/>
          <w:b/>
          <w:bCs/>
          <w:color w:val="0A1628"/>
          <w:sz w:val="28"/>
          <w:szCs w:val="28"/>
        </w:rPr>
        <w:t xml:space="preserve">10.3 Metriques Cles</w:t>
      </w:r>
      <w:bookmarkEnd w:id="100061"/>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tblHeader/>
        </w:trPr>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Metrique</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Definition</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Objectif</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Frequence</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MAU (Monthly Active Users)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Utilisateurs uniques actifs par mois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&gt;10M (2027)</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Quotidienne</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MRR (Monthly Recurring Revenue)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Revenus recurants mensuels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&gt;50M EUR (2028)</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Quotidienne</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Taux de conversion Free-Premium</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 d'utilisateurs passant a Premium</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&gt;8%</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Hebdomadaire</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Retention D30</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 d'utilisateurs actifs a J+30</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&gt;45%</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Hebdomadaire</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Taux de reussite examens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 de reussite aux examens ADSO vs national</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+15 pts vs national</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Mensuelle</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NPS (Net Promoter Score)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Score de recommandation utilisateur</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&gt;60</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Trimestrielle</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CSAT Support</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Satisfaction client support</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&gt;90%</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Quotidienne</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Churn mensuel</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 d'abonnements résiliés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&lt;3%</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Mensuelle</w:t>
            </w:r>
          </w:p>
        </w:tc>
      </w:tr>
    </w:tbl>
    <w:p>
      <w:pPr>
        <w:pStyle w:val="Heading1"/>
        <w:spacing w:after="240" w:before="480"/>
      </w:pPr>
      <w:bookmarkStart w:id="100062" w:name="_Toc100062"/>
      <w:r>
        <w:rPr>
          <w:rFonts w:ascii="Times New Roman" w:eastAsia="SimHei"/>
          <w:b/>
          <w:bCs/>
          <w:color w:val="0A1628"/>
          <w:sz w:val="32"/>
          <w:szCs w:val="32"/>
        </w:rPr>
        <w:t xml:space="preserve">PARTIE 11 — DevOps Production</w:t>
      </w:r>
      <w:bookmarkEnd w:id="100062"/>
    </w:p>
    <w:p>
      <w:pPr>
        <w:pStyle w:val="Heading2"/>
        <w:spacing w:after="180" w:before="360"/>
      </w:pPr>
      <w:bookmarkStart w:id="100063" w:name="_Toc100063"/>
      <w:r>
        <w:rPr>
          <w:rFonts w:ascii="Times New Roman" w:eastAsia="SimHei"/>
          <w:b/>
          <w:bCs/>
          <w:color w:val="0A1628"/>
          <w:sz w:val="28"/>
          <w:szCs w:val="28"/>
        </w:rPr>
        <w:t xml:space="preserve">11.1 Git Workflow et CI/CD</w:t>
      </w:r>
      <w:bookmarkEnd w:id="100063"/>
    </w:p>
    <w:p>
      <w:pPr>
        <w:spacing w:after="60" w:line="312"/>
        <w:ind w:firstLine="480"/>
        <w:jc w:val="both"/>
      </w:pPr>
      <w:r>
        <w:rPr>
          <w:rFonts w:ascii="Times New Roman" w:eastAsia="Microsoft YaHei"/>
          <w:color w:val="000000"/>
          <w:sz w:val="24"/>
          <w:szCs w:val="24"/>
        </w:rPr>
        <w:t xml:space="preserve">Le workflow Git suit le modele GitHub Flow simplifié avec des branches feature, des pull requests obligatoires, et des reviews de code par au moins un pair. Chaque PR declenche un pipeline CI complet incluant : linting (ESLint, Prettier), analyse statique (TypeScript strict, SonarQube), tests unitaires (Jest, couverture minimale 80%), tests d'integration (Playwright API), scan de vulnerabilites (Snyk, Trivy), et build de production. Le pipeline CD deploie automatiquement sur l'environnement de staging apres merge sur la branche main, et sur la production apres validation manuelle (one-click deploy) ou automatiquement pour les changements non-breaking. Les deploiements utilisent une strategie canary : 5% du trafic est dirige vers la nouvelle version pendant 15 minutes, avec un monitoring automatique des erreurs et des performances. Si les metriques sont dans les seuils acceptables, le deploiement est etendu a 100%. En cas de regression, un rollback automatique est declenche en moins de 60 secondes.</w:t>
      </w:r>
    </w:p>
    <w:p>
      <w:pPr>
        <w:pStyle w:val="Heading2"/>
        <w:spacing w:after="180" w:before="360"/>
      </w:pPr>
      <w:bookmarkStart w:id="100064" w:name="_Toc100064"/>
      <w:r>
        <w:rPr>
          <w:rFonts w:ascii="Times New Roman" w:eastAsia="SimHei"/>
          <w:b/>
          <w:bCs/>
          <w:color w:val="0A1628"/>
          <w:sz w:val="28"/>
          <w:szCs w:val="28"/>
        </w:rPr>
        <w:t xml:space="preserve">11.2 Environnements et Monitoring</w:t>
      </w:r>
      <w:bookmarkEnd w:id="100064"/>
    </w:p>
    <w:p>
      <w:pPr>
        <w:spacing w:after="60" w:line="312"/>
        <w:ind w:firstLine="480"/>
        <w:jc w:val="both"/>
      </w:pPr>
      <w:r>
        <w:rPr>
          <w:rFonts w:ascii="Times New Roman" w:eastAsia="Microsoft YaHei"/>
          <w:color w:val="000000"/>
          <w:sz w:val="24"/>
          <w:szCs w:val="24"/>
        </w:rPr>
        <w:t xml:space="preserve">Quatre environnements sont maintenus : Development (chaque developpeur dispose d'un environnement cloud personnel via des previews deployees automatiquement par Vercel/Neon), Staging (replica exacte de la production avec des donnees anonymisees, utilisee pour les tests de bout en bout et la validation), Pre-Production (environnement identique a la production pour les tests de performance et les validations finales), et Production (environnement de service avec deploiement multi-region). Le monitoring est implemente a quatre niveaux : infrastructure (Prometheus + Grafana pour les metriques serveurs, CPU, memoire, reseau), application (OpenTelemetry pour les traces distribuees, logs structures en JSON vers Loki, APM pour les performances des requetes), business (tableaux de bord Grafana avec les KPIs metier en temps reel), et用户体验 (Sentry pour les erreurs frontend, LogRocket pour les sessions utilisateur, Hotjar pour les heatmaps). Les alertes sont configurees dans PagerDuty avec des policies d'escalade : P1 (incident critique, temps de reponse 15 minutes), P2 (incident majeur, temps de reponse 1 heure), P3 (incident mineur, temps de reponse 4 heures).</w:t>
      </w:r>
    </w:p>
    <w:p>
      <w:pPr>
        <w:pStyle w:val="Heading2"/>
        <w:spacing w:after="180" w:before="360"/>
      </w:pPr>
      <w:bookmarkStart w:id="100065" w:name="_Toc100065"/>
      <w:r>
        <w:rPr>
          <w:rFonts w:ascii="Times New Roman" w:eastAsia="SimHei"/>
          <w:b/>
          <w:bCs/>
          <w:color w:val="0A1628"/>
          <w:sz w:val="28"/>
          <w:szCs w:val="28"/>
        </w:rPr>
        <w:t xml:space="preserve">11.3 Scalabilite et Performance</w:t>
      </w:r>
      <w:bookmarkEnd w:id="100065"/>
    </w:p>
    <w:p>
      <w:pPr>
        <w:spacing w:after="60" w:line="312"/>
        <w:ind w:firstLine="480"/>
        <w:jc w:val="both"/>
      </w:pPr>
      <w:r>
        <w:rPr>
          <w:rFonts w:ascii="Times New Roman" w:eastAsia="Microsoft YaHei"/>
          <w:color w:val="000000"/>
          <w:sz w:val="24"/>
          <w:szCs w:val="24"/>
        </w:rPr>
        <w:t xml:space="preserve">L'architecture est concue pour supporter une croissance de 100x sans changement architectural majeur. Kubernetes orchestre le scaling horizontal automatique (HPA) base sur l'utilisation CPU, memoire et le nombre de requetes par seconde. Les bases de donnees utilisent le read-scaling via des replicas PostgreSQL et le connection pooling via PgBouncer. Le cache Redis reduit la charge sur la base de donnees de 70-80% pour les lectures frequentes. Le CDN CloudFront sert les contenus statiques avec un taux de hit cache superieur a 95%. Les services serverless (AWS Lambda) scalent automatiquement de zero a des milliers d'instances pour les taches asynchrones. Les objectives de performance sont : temps de reponse API p99 inferieur a 500ms, temps de chargement de la page d'accueil inferieur a 2 secondes, uptime superieur a 99,99% (soit moins de 52 minutes d'indisponibilite par an). Des tests de charge sont executes mensuellement avec k6 pour verifier que les objectifs de performance sont maintenus a mesure que la base d'utilisateurs croit.</w:t>
      </w:r>
    </w:p>
    <w:p>
      <w:pPr>
        <w:pStyle w:val="Heading1"/>
        <w:spacing w:after="240" w:before="480"/>
      </w:pPr>
      <w:bookmarkStart w:id="100066" w:name="_Toc100066"/>
      <w:r>
        <w:rPr>
          <w:rFonts w:ascii="Times New Roman" w:eastAsia="SimHei"/>
          <w:b/>
          <w:bCs/>
          <w:color w:val="0A1628"/>
          <w:sz w:val="32"/>
          <w:szCs w:val="32"/>
        </w:rPr>
        <w:t xml:space="preserve">PARTIE 12 — Plan de Construction (Roadmap)</w:t>
      </w:r>
      <w:bookmarkEnd w:id="100066"/>
    </w:p>
    <w:p>
      <w:pPr>
        <w:pStyle w:val="Heading2"/>
        <w:spacing w:after="180" w:before="360"/>
      </w:pPr>
      <w:bookmarkStart w:id="100067" w:name="_Toc100067"/>
      <w:r>
        <w:rPr>
          <w:rFonts w:ascii="Times New Roman" w:eastAsia="SimHei"/>
          <w:b/>
          <w:bCs/>
          <w:color w:val="0A1628"/>
          <w:sz w:val="28"/>
          <w:szCs w:val="28"/>
        </w:rPr>
        <w:t xml:space="preserve">12.1 Phase 1 : Fondation (Mois 1-6)</w:t>
      </w:r>
      <w:bookmarkEnd w:id="100067"/>
    </w:p>
    <w:p>
      <w:pPr>
        <w:spacing w:after="60" w:line="312"/>
        <w:ind w:firstLine="480"/>
        <w:jc w:val="both"/>
      </w:pPr>
      <w:r>
        <w:rPr>
          <w:rFonts w:ascii="Times New Roman" w:eastAsia="Microsoft YaHei"/>
          <w:color w:val="000000"/>
          <w:sz w:val="24"/>
          <w:szCs w:val="24"/>
        </w:rPr>
        <w:t xml:space="preserve">La premiere phase est consacree a l'establishment des fondations techniques et produit de la plateforme. Les objectifs principaux sont la mise en place de l'infrastructure cloud (Kubernetes sur AWS), le developpement de l'architecture de base (authentification, gestion des utilisateurs, API Gateway), la creation du design system et des composants UI fondamentaux, le developpement du MVP de l'application eleve (inscription, cours de base, quiz simples), et la mise en place du pipeline CI/CD. Les fonctionnalites cles incluent le systeme d'authentification multi-methode, le profil utilisateur de base, la bibliotheque de cours pour 5 pays pilotes (France, Espagne, Allemagne, Royaume-Uni, Bresil), le module de quiz avec correction automatique, et le suivi de progression basique. L'architecture est un monolithe modulaire deploye comme un ensemble de services logiques dans une seule application Next.js, avec une base de donnees PostgreSQL unique. Les tests couvrent un minimum de 70% du code.</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gridCol w:w="100"/>
      </w:tblGrid>
      <w:tr>
        <w:trPr>
          <w:tblHeader/>
        </w:trPr>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Objectif</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Fonctionnalites</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Architecture</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Tests</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Criteres de Reussite</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Auth &amp; Users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Inscription, login, profils, roles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Next.js monolithe, PostgreSQL, Redis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Unitaires 70%</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&gt;1000 beta-testeurs inscrits</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Cours MVP</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Cours textes + images, 5 pays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CMS markdown, S3 storage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Integration 10 scénarios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&gt;500 cours publies</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Quiz MVP</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QCM a choix unique, scoring</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API REST, PostgreSQL</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Unitaires + e2e</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&gt;10 000 quiz complétés</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CI/CD</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Lint, test, build, deploy staging</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GitHub Actions, Vercel</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Pipeline &lt;15 min</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&gt;100 deploiements reussis</w:t>
            </w:r>
          </w:p>
        </w:tc>
      </w:tr>
    </w:tbl>
    <w:p>
      <w:pPr>
        <w:pStyle w:val="Heading2"/>
        <w:spacing w:after="180" w:before="360"/>
      </w:pPr>
      <w:bookmarkStart w:id="100068" w:name="_Toc100068"/>
      <w:r>
        <w:rPr>
          <w:rFonts w:ascii="Times New Roman" w:eastAsia="SimHei"/>
          <w:b/>
          <w:bCs/>
          <w:color w:val="0A1628"/>
          <w:sz w:val="28"/>
          <w:szCs w:val="28"/>
        </w:rPr>
        <w:t xml:space="preserve">12.2 Phase 2 : SaaS et Paiement (Mois 7-12)</w:t>
      </w:r>
      <w:bookmarkEnd w:id="100068"/>
    </w:p>
    <w:p>
      <w:pPr>
        <w:spacing w:after="60" w:line="312"/>
        <w:ind w:firstLine="480"/>
        <w:jc w:val="both"/>
      </w:pPr>
      <w:r>
        <w:rPr>
          <w:rFonts w:ascii="Times New Roman" w:eastAsia="Microsoft YaHei"/>
          <w:color w:val="000000"/>
          <w:sz w:val="24"/>
          <w:szCs w:val="24"/>
        </w:rPr>
        <w:t xml:space="preserve">La deuxieme phase transforme le MVP en produit commercialisable avec l'ajout de la plateforme SaaS pour auto-ecoles et le systeme de paiement. Les objectifs principaux sont le developpement de la plateforme auto-ecole (CRM, planning, facturation, statistiques), l'integration de Stripe pour les paiements multi-devises, le lancement des offres B2C avec la conversion Free vers Premium, et le developpement de l'application moniteur. Les fonctionnalites cles incluent le CRM avec scoring des leads, le planning intelligent avec geolocalisation, la facturation automatique conforme aux normes fiscales, les tableaux de bord analytiques pour les auto-ecoles, le systeme d'abonnement avec gestion des cycles de facturation, et les notifications multi-canal (email, SMS, push). L'architecture migre vers des microservices dedies pour le paiement, les notifications et les analytics, communiquant via Kafka. Le nombre de pays supportes passe a 15, et les tests atteignent 80% de couverture.</w:t>
      </w:r>
    </w:p>
    <w:p>
      <w:pPr>
        <w:pStyle w:val="Heading2"/>
        <w:spacing w:after="180" w:before="360"/>
      </w:pPr>
      <w:bookmarkStart w:id="100069" w:name="_Toc100069"/>
      <w:r>
        <w:rPr>
          <w:rFonts w:ascii="Times New Roman" w:eastAsia="SimHei"/>
          <w:b/>
          <w:bCs/>
          <w:color w:val="0A1628"/>
          <w:sz w:val="28"/>
          <w:szCs w:val="28"/>
        </w:rPr>
        <w:t xml:space="preserve">12.3 Phase 3 : IA Avancee (Mois 13-24)</w:t>
      </w:r>
      <w:bookmarkEnd w:id="100069"/>
    </w:p>
    <w:p>
      <w:pPr>
        <w:spacing w:after="60" w:line="312"/>
        <w:ind w:firstLine="480"/>
        <w:jc w:val="both"/>
      </w:pPr>
      <w:r>
        <w:rPr>
          <w:rFonts w:ascii="Times New Roman" w:eastAsia="Microsoft YaHei"/>
          <w:color w:val="000000"/>
          <w:sz w:val="24"/>
          <w:szCs w:val="24"/>
        </w:rPr>
        <w:t xml:space="preserve">La troisieme phase est le tournant strategique avec l'integration complete de l'intelligence artificielle dans tous les composants de la plateforme. Les objectifs principaux sont le deploiement de l'IA Coach personnalise pour les eleves, le lancement de l'AI Examiner pour les examens adaptatifs, le deploiement de l'AI Simulator 3D, la mise en place du systeme AI-SCOS pour l'automatisation operationnelle, et le lancement de la plateforme entreprise pour les flottes. Les fonctionnalites IA incluent le coaching conversationnel multilingue, la generation automatique de parcours personnalises, les examens dynamiques avec proctoring IA, les simulations de conduite interactives, les analyses predictives pour les auto-ecoles, et le support client IA. Le systeme RAG est deployé avec une base de connaissances vectorielle couvrant les codes de la route de tous les pays actifs. Le nombre de pays supportes atteint 40, et les tests atteignent 85% de couverture avec des tests specifiques pour les composants IA.</w:t>
      </w:r>
    </w:p>
    <w:p>
      <w:pPr>
        <w:pStyle w:val="Heading2"/>
        <w:spacing w:after="180" w:before="360"/>
      </w:pPr>
      <w:bookmarkStart w:id="100070" w:name="_Toc100070"/>
      <w:r>
        <w:rPr>
          <w:rFonts w:ascii="Times New Roman" w:eastAsia="SimHei"/>
          <w:b/>
          <w:bCs/>
          <w:color w:val="0A1628"/>
          <w:sz w:val="28"/>
          <w:szCs w:val="28"/>
        </w:rPr>
        <w:t xml:space="preserve">12.4 Phase 4 : Marketplace (Mois 25-36)</w:t>
      </w:r>
      <w:bookmarkEnd w:id="100070"/>
    </w:p>
    <w:p>
      <w:pPr>
        <w:spacing w:after="60" w:line="312"/>
        <w:ind w:firstLine="480"/>
        <w:jc w:val="both"/>
      </w:pPr>
      <w:r>
        <w:rPr>
          <w:rFonts w:ascii="Times New Roman" w:eastAsia="Microsoft YaHei"/>
          <w:color w:val="000000"/>
          <w:sz w:val="24"/>
          <w:szCs w:val="24"/>
        </w:rPr>
        <w:t xml:space="preserve">La quatrieme phase ouvre la plateforme a l'ecosysteme etendu avec le lancement de la marketplace. Les objectifs principaux sont le lancement de la marketplace de lecons de conduite pratiques (connexion eleves-auto-ecoles), le developpement du programme de partenariats (assureurs, constructeurs), le lancement de l'API publique pour les developpeurs tiers, et le deploiement de la plateforme d'administration centrale avancee. Les fonctionnalites cles incluent le systeme de reservation de lecons avec geolocalisation, le systeme de commissions multi-niveaux, le tableau de bord partenaire, le portail API avec documentation interactive (Swagger), les webhooks en temps reel, et les outils de moderation et de gestion des contenus user-generated. Le nombre de pays supportes atteint 80, et la plateforme genere ses premiers revenus significatifs via la marketplace et les partenariats. Les objectifs de revenus sont fixés a 10M EUR ARR a la fin de cette phase.</w:t>
      </w:r>
    </w:p>
    <w:p>
      <w:pPr>
        <w:pStyle w:val="Heading2"/>
        <w:spacing w:after="180" w:before="360"/>
      </w:pPr>
      <w:bookmarkStart w:id="100071" w:name="_Toc100071"/>
      <w:r>
        <w:rPr>
          <w:rFonts w:ascii="Times New Roman" w:eastAsia="SimHei"/>
          <w:b/>
          <w:bCs/>
          <w:color w:val="0A1628"/>
          <w:sz w:val="28"/>
          <w:szCs w:val="28"/>
        </w:rPr>
        <w:t xml:space="preserve">12.5 Phase 5 : Expansion Mondiale (Mois 37-48)</w:t>
      </w:r>
      <w:bookmarkEnd w:id="100071"/>
    </w:p>
    <w:p>
      <w:pPr>
        <w:spacing w:after="60" w:line="312"/>
        <w:ind w:firstLine="480"/>
        <w:jc w:val="both"/>
      </w:pPr>
      <w:r>
        <w:rPr>
          <w:rFonts w:ascii="Times New Roman" w:eastAsia="Microsoft YaHei"/>
          <w:color w:val="000000"/>
          <w:sz w:val="24"/>
          <w:szCs w:val="24"/>
        </w:rPr>
        <w:t xml:space="preserve">La cinquieme et derniere phase de la roadmap initiale est consacree a l'expansion mondiale massive et a la consolidation de la position de leader. Les objectifs principaux sont le deploiement dans 120+ pays, le lancement des certifications blockchain reconnues internationalement, l'integration avec les vehicules connectes et les systemes telematiques, le deploiement de l'AI Simulator en realite augmentee (AR/VR), et l'atteinte de la rentabilite. Les fonctionnalites cles incluent les certificats blockchain avec verification mondiale, l'integration OBD-II pour le suivi des comportements de conduite reels, le mode AR pour l'apprentissage en situation reelle, lesCountry Packs pour les derniers pays cibles, et les optimisations de performance pour les marches a faible bande passante. Les objectifs strategiques sont 100M d'utilisateurs actifs, 500M EUR ARR, une couverture de 120+ pays, et un positionnement clair comme leader mondial incontesté de l'education automobile en ligne. Les tests atteignent 90% de couverture avec des tests de charge pour supporter 1 million d'utilisateurs simultanés.</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gridCol w:w="100"/>
      </w:tblGrid>
      <w:tr>
        <w:trPr>
          <w:tblHeader/>
        </w:trPr>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Phase</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Periode</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Equipe</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Budget Estime</w:t>
            </w:r>
          </w:p>
        </w:tc>
        <w:tc>
          <w:tcPr>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pPr>
              <w:spacing w:line="312"/>
              <w:jc w:val="center"/>
            </w:pPr>
            <w:r>
              <w:rPr>
                <w:rFonts w:ascii="Times New Roman"/>
                <w:b/>
                <w:bCs/>
                <w:color w:val="FFFFFF"/>
                <w:sz w:val="20"/>
                <w:szCs w:val="20"/>
              </w:rPr>
              <w:t xml:space="preserve">Revenus Cibles</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Phase 1 : Fondation</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M1-M6</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15 personnes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2M EUR</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0 (produit en dev)</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Phase 2 : SaaS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M7-M12</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35 personnes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5M EUR</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1M EUR ARR</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Phase 3 : IA</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M13-M24</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80 personnes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15M EUR</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10M EUR ARR</w:t>
            </w:r>
          </w:p>
        </w:tc>
      </w:tr>
      <w:tr>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Phase 4 : Marketplace</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M25-M36</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150 personnes</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30M EUR</w:t>
            </w:r>
          </w:p>
        </w:tc>
        <w:tc>
          <w:tcPr>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spacing w:line="312"/>
            </w:pPr>
            <w:r>
              <w:rPr>
                <w:rFonts w:ascii="Times New Roman" w:eastAsia="Microsoft YaHei"/>
                <w:color w:val="000000"/>
                <w:sz w:val="20"/>
                <w:szCs w:val="20"/>
              </w:rPr>
              <w:t xml:space="preserve">50M EUR ARR</w:t>
            </w:r>
          </w:p>
        </w:tc>
      </w:tr>
      <w:tr>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Phase 5 : Expansion</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M37-M48</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300 personnes</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60M EUR</w:t>
            </w:r>
          </w:p>
        </w:tc>
        <w:tc>
          <w:tcPr>
            <w:tcBorders>
              <w:top w:val="none" w:color="FFFFFF" w:sz="0"/>
              <w:left w:val="none" w:color="FFFFFF" w:sz="0"/>
              <w:bottom w:val="none" w:color="FFFFFF" w:sz="0"/>
              <w:right w:val="none" w:color="FFFFFF" w:sz="0"/>
            </w:tcBorders>
            <w:shd w:fill="EDF3F5" w:val="clear"/>
            <w:tcMar>
              <w:top w:type="dxa" w:w="40"/>
              <w:left w:type="dxa" w:w="100"/>
              <w:bottom w:type="dxa" w:w="40"/>
              <w:right w:type="dxa" w:w="100"/>
            </w:tcMar>
          </w:tcPr>
          <w:p>
            <w:pPr>
              <w:spacing w:line="312"/>
            </w:pPr>
            <w:r>
              <w:rPr>
                <w:rFonts w:ascii="Times New Roman" w:eastAsia="Microsoft YaHei"/>
                <w:color w:val="000000"/>
                <w:sz w:val="20"/>
                <w:szCs w:val="20"/>
              </w:rPr>
              <w:t xml:space="preserve">500M EUR ARR</w:t>
            </w:r>
          </w:p>
        </w:tc>
      </w:tr>
    </w:tbl>
    <w:p>
      <w:pPr>
        <w:pStyle w:val="Heading1"/>
        <w:spacing w:after="240" w:before="480"/>
      </w:pPr>
      <w:bookmarkStart w:id="100072" w:name="_Toc100072"/>
      <w:r>
        <w:rPr>
          <w:rFonts w:ascii="Times New Roman" w:eastAsia="SimHei"/>
          <w:b/>
          <w:bCs/>
          <w:color w:val="0A1628"/>
          <w:sz w:val="32"/>
          <w:szCs w:val="32"/>
        </w:rPr>
        <w:t xml:space="preserve">PARTIE 13 — Directives pour les IA de Developpement</w:t>
      </w:r>
      <w:bookmarkEnd w:id="100072"/>
    </w:p>
    <w:p>
      <w:pPr>
        <w:pStyle w:val="Heading2"/>
        <w:spacing w:after="180" w:before="360"/>
      </w:pPr>
      <w:bookmarkStart w:id="100073" w:name="_Toc100073"/>
      <w:r>
        <w:rPr>
          <w:rFonts w:ascii="Times New Roman" w:eastAsia="SimHei"/>
          <w:b/>
          <w:bCs/>
          <w:color w:val="0A1628"/>
          <w:sz w:val="28"/>
          <w:szCs w:val="28"/>
        </w:rPr>
        <w:t xml:space="preserve">13.1 Principes Fondamentaux</w:t>
      </w:r>
      <w:bookmarkEnd w:id="100073"/>
    </w:p>
    <w:p>
      <w:pPr>
        <w:spacing w:after="60" w:line="312"/>
        <w:ind w:firstLine="480"/>
        <w:jc w:val="both"/>
      </w:pPr>
      <w:r>
        <w:rPr>
          <w:rFonts w:ascii="Times New Roman" w:eastAsia="Microsoft YaHei"/>
          <w:color w:val="000000"/>
          <w:sz w:val="24"/>
          <w:szCs w:val="24"/>
        </w:rPr>
        <w:t xml:space="preserve">Les directives suivantes constituent le cadre de reference obligatoire pour toute IA de developpement travaillant sur le projet ADSO. Ces regles garantissent la coherence, la qualite et la securite du code produit, que ce soit par des developpeurs humains ou des agents IA. Chaque regle est non negociable et doit etre respectee scrupuleusement lors de chaque intervention sur le codebase. Le non-respect de ces directives constitue une violation du processus de developpement et peut entrainer le rejet de la contribution.</w:t>
      </w:r>
    </w:p>
    <w:p>
      <w:pPr>
        <w:pStyle w:val="Heading3"/>
        <w:spacing w:after="120" w:before="240"/>
      </w:pPr>
      <w:bookmarkStart w:id="100074" w:name="_Toc100074"/>
      <w:r>
        <w:rPr>
          <w:rFonts w:ascii="Times New Roman" w:eastAsia="SimHei"/>
          <w:b/>
          <w:bCs/>
          <w:color w:val="0A1628"/>
          <w:sz w:val="24"/>
          <w:szCs w:val="24"/>
        </w:rPr>
        <w:t xml:space="preserve">13.1.1 Toujours Analyser Avant de Coder</w:t>
      </w:r>
      <w:bookmarkEnd w:id="100074"/>
    </w:p>
    <w:p>
      <w:pPr>
        <w:spacing w:after="60" w:line="312"/>
        <w:ind w:firstLine="480"/>
        <w:jc w:val="both"/>
      </w:pPr>
      <w:r>
        <w:rPr>
          <w:rFonts w:ascii="Times New Roman" w:eastAsia="Microsoft YaHei"/>
          <w:color w:val="000000"/>
          <w:sz w:val="24"/>
          <w:szCs w:val="24"/>
        </w:rPr>
        <w:t xml:space="preserve">Avant toute modification ou creation de code, l'IA de developpement doit obligatoirement : lire et comprendre le code existant impacté par le changement, identifier toutes les dependances et les effets de bord potentiels, consulter l'architecture documentee et les decisions techniques enregistrees (ADRs), verifier qu'il n'existe pas deja une solution ou un composant reutilisable, et proposer une approche ecrite avant de commencer le codage. Cette analyse prealable doit etre documentee dans un commentaire de la PR ou du commit, expliquant le raisonnement, les alternatives considerees, et les compromis acceptes. L'approche "code first, think later" est strictement interdite.</w:t>
      </w:r>
    </w:p>
    <w:p>
      <w:pPr>
        <w:pStyle w:val="Heading3"/>
        <w:spacing w:after="120" w:before="240"/>
      </w:pPr>
      <w:bookmarkStart w:id="100075" w:name="_Toc100075"/>
      <w:r>
        <w:rPr>
          <w:rFonts w:ascii="Times New Roman" w:eastAsia="SimHei"/>
          <w:b/>
          <w:bCs/>
          <w:color w:val="0A1628"/>
          <w:sz w:val="24"/>
          <w:szCs w:val="24"/>
        </w:rPr>
        <w:t xml:space="preserve">13.1.2 Produire une Architecture Claire</w:t>
      </w:r>
      <w:bookmarkEnd w:id="100075"/>
    </w:p>
    <w:p>
      <w:pPr>
        <w:spacing w:after="60" w:line="312"/>
        <w:ind w:firstLine="480"/>
        <w:jc w:val="both"/>
      </w:pPr>
      <w:r>
        <w:rPr>
          <w:rFonts w:ascii="Times New Roman" w:eastAsia="Microsoft YaHei"/>
          <w:color w:val="000000"/>
          <w:sz w:val="24"/>
          <w:szCs w:val="24"/>
        </w:rPr>
        <w:t xml:space="preserve">Chaque nouvelle fonctionnalite ou composant doit etre accompagne d'une description architecturale incluant : le diagramme de composants (ASCII ou mermaid), les interfaces publiques (types TypeScript, schemas d'API), les flux de donnees (entrees, transformations, sorties), les decisions de stockage (quelles donnees, ou, comment), et les considerations de securite (authentification, autorisation, validation). L'architecture doit suivre les principes SOLID, le domaine-driven design, et les patterns etablis du projet. Les monolithes de fonctions (&gt;500 lignes) sont interdits ; chaque fonctionnalite doit etre decomposee en modules coherents et testables independamment.</w:t>
      </w:r>
    </w:p>
    <w:p>
      <w:pPr>
        <w:pStyle w:val="Heading3"/>
        <w:spacing w:after="120" w:before="240"/>
      </w:pPr>
      <w:bookmarkStart w:id="100076" w:name="_Toc100076"/>
      <w:r>
        <w:rPr>
          <w:rFonts w:ascii="Times New Roman" w:eastAsia="SimHei"/>
          <w:b/>
          <w:bCs/>
          <w:color w:val="0A1628"/>
          <w:sz w:val="24"/>
          <w:szCs w:val="24"/>
        </w:rPr>
        <w:t xml:space="preserve">13.1.3 Ecrire des Tests Comprehensifs</w:t>
      </w:r>
      <w:bookmarkEnd w:id="100076"/>
    </w:p>
    <w:p>
      <w:pPr>
        <w:spacing w:after="60" w:line="312"/>
        <w:ind w:firstLine="480"/>
        <w:jc w:val="both"/>
      </w:pPr>
      <w:r>
        <w:rPr>
          <w:rFonts w:ascii="Times New Roman" w:eastAsia="Microsoft YaHei"/>
          <w:color w:val="000000"/>
          <w:sz w:val="24"/>
          <w:szCs w:val="24"/>
        </w:rPr>
        <w:t xml:space="preserve">Tout nouveau code doit etre accompagne de tests unitaires couvrant les cas nominaux, les cas limites (boundary conditions), les cas d'erreur (inputs invalides, reseau en panne, timeout), et les cas de securite (injection, depassement de permissions). Les tests d'integration doivent couvrir les flows utilisateurs critiques (inscription, paiement, examen). Les tests e2e doivent couvrir les parcours principaux de chaque type d'utilisateur (eleve, moniteur, admin). La couverture de tests ne doit jamais descendre en dessous de 80% pour les nouveaux fichiers et 70% pour les fichiers existants modifiés. Les tests doivent etre deterministes (pas de dependance a l'ordre d'execution, pas de dependance a l'horloge), rapides (&lt;5ms par test unitaire), et lisibles (le nom du test doit decrire clairement le scénario et le resultat attendu).</w:t>
      </w:r>
    </w:p>
    <w:p>
      <w:pPr>
        <w:pStyle w:val="Heading3"/>
        <w:spacing w:after="120" w:before="240"/>
      </w:pPr>
      <w:bookmarkStart w:id="100077" w:name="_Toc100077"/>
      <w:r>
        <w:rPr>
          <w:rFonts w:ascii="Times New Roman" w:eastAsia="SimHei"/>
          <w:b/>
          <w:bCs/>
          <w:color w:val="0A1628"/>
          <w:sz w:val="24"/>
          <w:szCs w:val="24"/>
        </w:rPr>
        <w:t xml:space="preserve">13.1.4 Documenter Systematiquement</w:t>
      </w:r>
      <w:bookmarkEnd w:id="100077"/>
    </w:p>
    <w:p>
      <w:pPr>
        <w:spacing w:after="60" w:line="312"/>
        <w:ind w:firstLine="480"/>
        <w:jc w:val="both"/>
      </w:pPr>
      <w:r>
        <w:rPr>
          <w:rFonts w:ascii="Times New Roman" w:eastAsia="Microsoft YaHei"/>
          <w:color w:val="000000"/>
          <w:sz w:val="24"/>
          <w:szCs w:val="24"/>
        </w:rPr>
        <w:t xml:space="preserve">La documentation est une obligation, pas une option. Chaque fonction, classe, module et API doit etre documenté avec : une description claire de son role et de son comportement, les parametres d'entree avec leurs types et contraintes, la valeur de retour et les cas d'erreur possibles, des exemples d'utilisation concrets, et les dependances et effets de bord. Les decisions architecturales doivent etre enregistrees dans le dossier ADR (Architecture Decision Records) avec le contexte, la decision, les alternatives considerees et les consequences. Le README de chaque service doit etre a jour avec : la description du service, les endpoints exposes, les variables d'environnement requises, les commandes de dev/test/deploy, et les dependances externes.</w:t>
      </w:r>
    </w:p>
    <w:p>
      <w:pPr>
        <w:pStyle w:val="Heading3"/>
        <w:spacing w:after="120" w:before="240"/>
      </w:pPr>
      <w:bookmarkStart w:id="100078" w:name="_Toc100078"/>
      <w:r>
        <w:rPr>
          <w:rFonts w:ascii="Times New Roman" w:eastAsia="SimHei"/>
          <w:b/>
          <w:bCs/>
          <w:color w:val="0A1628"/>
          <w:sz w:val="24"/>
          <w:szCs w:val="24"/>
        </w:rPr>
        <w:t xml:space="preserve">13.1.5 Ne Jamais Casser l'Existant</w:t>
      </w:r>
      <w:bookmarkEnd w:id="100078"/>
    </w:p>
    <w:p>
      <w:pPr>
        <w:spacing w:after="60" w:line="312"/>
        <w:ind w:firstLine="480"/>
        <w:jc w:val="both"/>
      </w:pPr>
      <w:r>
        <w:rPr>
          <w:rFonts w:ascii="Times New Roman" w:eastAsia="Microsoft YaHei"/>
          <w:color w:val="000000"/>
          <w:sz w:val="24"/>
          <w:szCs w:val="24"/>
        </w:rPr>
        <w:t xml:space="preserve">Le principe de non-regression est absolu. Avant toute modification, l'IA doit verifier que tous les tests existants passent. Les changements breaking (modifications d'API, changement de schema BDD, suppression de fonctionnalites) sont interdits sans un plan de migration documente et approuve. Les depreciations doivent suivre un cycle de 90 jours minimum avec des avertissements explicites dans les logs et la documentation. Les modifications de la base de donnees doivent utiliser des migrations reversibilisables (UP et DOWN), et chaque migration doit etre testee sur une copie des donnees de production avant deploiement. En cas de doute sur l'impact d'un changement, l'IA doit demander une revue humaine plutot que de prendre un risque.</w:t>
      </w:r>
    </w:p>
    <w:p>
      <w:pPr>
        <w:pStyle w:val="Heading3"/>
        <w:spacing w:after="120" w:before="240"/>
      </w:pPr>
      <w:bookmarkStart w:id="100079" w:name="_Toc100079"/>
      <w:r>
        <w:rPr>
          <w:rFonts w:ascii="Times New Roman" w:eastAsia="SimHei"/>
          <w:b/>
          <w:bCs/>
          <w:color w:val="0A1628"/>
          <w:sz w:val="24"/>
          <w:szCs w:val="24"/>
        </w:rPr>
        <w:t xml:space="preserve">13.1.6 Respecter la Securite</w:t>
      </w:r>
      <w:bookmarkEnd w:id="100079"/>
    </w:p>
    <w:p>
      <w:pPr>
        <w:spacing w:after="60" w:line="312"/>
        <w:ind w:firstLine="480"/>
        <w:jc w:val="both"/>
      </w:pPr>
      <w:r>
        <w:rPr>
          <w:rFonts w:ascii="Times New Roman" w:eastAsia="Microsoft YaHei"/>
          <w:color w:val="000000"/>
          <w:sz w:val="24"/>
          <w:szCs w:val="24"/>
        </w:rPr>
        <w:t xml:space="preserve">Chaque ligne de code produite doit respecter les standards de securite definis dans la Partie 7 de ce document. Regles specifiques : jamais de credentials en dur dans le code (utiliser les variables d'environnement et le Vault), toujours valider et sanitiser les entrees utilisateur (params, body, query), toujours utiliser des requetes paramétrées (jamais de concatenation SQL), toujours echapper les sorties (protection XSS), toujours verifier les permissions avant chaque operation sensible, jamais exposer de donnees sensibles dans les logs ou les reponses API, et toujours utiliser les versions les plus recentes des dependances avec des mises a jour de securite automatiques. Tout contournement de ces regles, meme temporaire, est strictement interdit.</w:t>
      </w:r>
    </w:p>
    <w:p>
      <w:pPr>
        <w:pStyle w:val="Heading3"/>
        <w:spacing w:after="120" w:before="240"/>
      </w:pPr>
      <w:bookmarkStart w:id="100080" w:name="_Toc100080"/>
      <w:r>
        <w:rPr>
          <w:rFonts w:ascii="Times New Roman" w:eastAsia="SimHei"/>
          <w:b/>
          <w:bCs/>
          <w:color w:val="0A1628"/>
          <w:sz w:val="24"/>
          <w:szCs w:val="24"/>
        </w:rPr>
        <w:t xml:space="preserve">13.1.7 Optimiser la Performance</w:t>
      </w:r>
      <w:bookmarkEnd w:id="100080"/>
    </w:p>
    <w:p>
      <w:pPr>
        <w:spacing w:after="60" w:line="312"/>
        <w:ind w:firstLine="480"/>
        <w:jc w:val="both"/>
      </w:pPr>
      <w:r>
        <w:rPr>
          <w:rFonts w:ascii="Times New Roman" w:eastAsia="Microsoft YaHei"/>
          <w:color w:val="000000"/>
          <w:sz w:val="24"/>
          <w:szCs w:val="24"/>
        </w:rPr>
        <w:t xml:space="preserve">L'optimisation de la performance est une preoccupation permanente, pas une etape finale. Regles specifiques : utiliser la pagination pour toutes les requetes listant des donnees (max 100 items par page), implementer le caching pour les donnees frequentement accedees et rarement modifiees, utiliser les connexions persistantes pour les appels de base de donnees et API, minimiser les N+1 queries avec l'eager loading ou le DataLoader, compresser les reponses API (gzip/brotli), utiliser les indices de base de donnees pour les colonnes frequemment filtrees, et profiler regulierement les requetes lentes. Les objectifs de performance par defaut sont : reponse API p50 &lt; 100ms, p99 &lt; 500ms, page load &lt; 2s, bundle JS &lt; 200KB (gzipped).</w:t>
      </w:r>
    </w:p>
    <w:sectPr>
      <w:headerReference w:type="default" r:id="rId9"/>
      <w:footerReference w:type="default" r:id="rId10"/>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8"/>
        <w:szCs w:val="18"/>
      </w:rPr>
      <w:t xml:space="preserve">Page </w:t>
    </w:r>
    <w:r>
      <w:rPr>
        <w:rFonts w:ascii="Calibri"/>
        <w:color w:val="5A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8"/>
        <w:szCs w:val="18"/>
      </w:rPr>
      <w:t xml:space="preserve">Page </w:t>
    </w:r>
    <w:r>
      <w:rPr>
        <w:rFonts w:ascii="Calibri"/>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olor w:val="5A6080"/>
        <w:sz w:val="16"/>
        <w:szCs w:val="16"/>
      </w:rPr>
      <w:t xml:space="preserve">ADSO — Global AI Driving Education Ecosystem Blueprint 2026-2030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olor w:val="5A6080"/>
        <w:sz w:val="16"/>
        <w:szCs w:val="16"/>
      </w:rPr>
      <w:t xml:space="preserve">ADSO — Global AI Driving Education Ecosystem Blueprint 2026-2030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Times New Roman" w:eastAsia="SimHei"/>
      <w:b/>
      <w:bCs/>
      <w:color w:val="0A1628"/>
      <w:sz w:val="32"/>
      <w:szCs w:val="32"/>
    </w:rPr>
  </w:style>
  <w:style w:type="paragraph" w:styleId="Heading2">
    <w:name w:val="Heading 2"/>
    <w:basedOn w:val="Normal"/>
    <w:next w:val="Normal"/>
    <w:qFormat/>
    <w:pPr>
      <w:spacing w:after="180" w:before="360"/>
      <w:outlineLvl w:val="1"/>
    </w:pPr>
    <w:rPr>
      <w:rFonts w:ascii="Times New Roman" w:eastAsia="SimHei"/>
      <w:b/>
      <w:bCs/>
      <w:color w:val="0A1628"/>
      <w:sz w:val="28"/>
      <w:szCs w:val="28"/>
    </w:rPr>
  </w:style>
  <w:style w:type="paragraph" w:styleId="Heading3">
    <w:name w:val="Heading 3"/>
    <w:basedOn w:val="Normal"/>
    <w:next w:val="Normal"/>
    <w:qFormat/>
    <w:pPr>
      <w:spacing w:after="120" w:before="240"/>
      <w:outlineLvl w:val="2"/>
    </w:pPr>
    <w:rPr>
      <w:rFonts w:ascii="Times New Roman"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2026-08-02T18:54:57.956Z</dcterms:created>
  <dcterms:modified xsi:type="dcterms:W3CDTF">2026-08-02T18:54:57.957Z</dcterms:modified>
</cp:coreProperties>
</file>

<file path=docProps/custom.xml><?xml version="1.0" encoding="utf-8"?>
<Properties xmlns="http://schemas.openxmlformats.org/officeDocument/2006/custom-properties" xmlns:vt="http://schemas.openxmlformats.org/officeDocument/2006/docPropsVTypes"/>
</file>