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0"/>
        <w:spacing w:before="45" w:line="189" w:lineRule="auto"/>
        <w:outlineLvl w:val="0"/>
        <w:rPr>
          <w:sz w:val="22"/>
          <w:szCs w:val="22"/>
        </w:rPr>
      </w:pPr>
      <w:r>
        <w:rPr>
          <w:sz w:val="22"/>
          <w:szCs w:val="22"/>
          <w:spacing w:val="13"/>
        </w:rPr>
        <w:t>第</w:t>
      </w:r>
      <w:r>
        <w:rPr>
          <w:rFonts w:ascii="Times New Roman" w:hAnsi="Times New Roman" w:eastAsia="Times New Roman" w:cs="Times New Roman"/>
          <w:sz w:val="26"/>
          <w:szCs w:val="26"/>
          <w:b/>
          <w:bCs/>
          <w:spacing w:val="13"/>
        </w:rPr>
        <w:t>2</w:t>
      </w:r>
      <w:r>
        <w:rPr>
          <w:sz w:val="22"/>
          <w:szCs w:val="22"/>
          <w:spacing w:val="13"/>
        </w:rPr>
        <w:t>节 授信额度及审批</w:t>
      </w:r>
    </w:p>
    <w:p>
      <w:pPr>
        <w:pStyle w:val="BodyText"/>
        <w:ind w:left="9"/>
        <w:spacing w:before="200" w:line="182" w:lineRule="auto"/>
        <w:rPr/>
      </w:pPr>
      <w:r>
        <w:rPr>
          <w:spacing w:val="8"/>
        </w:rPr>
        <w:t>考点</w:t>
      </w:r>
      <w:r>
        <w:rPr>
          <w:rFonts w:ascii="Times New Roman" w:hAnsi="Times New Roman" w:eastAsia="Times New Roman" w:cs="Times New Roman"/>
          <w:sz w:val="22"/>
          <w:szCs w:val="22"/>
          <w:b/>
          <w:bCs/>
          <w:spacing w:val="8"/>
        </w:rPr>
        <w:t>1</w:t>
      </w:r>
      <w:r>
        <w:rPr>
          <w:spacing w:val="8"/>
        </w:rPr>
        <w:t>：</w:t>
      </w:r>
      <w:r>
        <w:rPr>
          <w:spacing w:val="-31"/>
        </w:rPr>
        <w:t xml:space="preserve"> </w:t>
      </w:r>
      <w:r>
        <w:rPr>
          <w:spacing w:val="8"/>
        </w:rPr>
        <w:t>授信额度的含义（ </w:t>
      </w:r>
      <w:r>
        <w:rPr>
          <w:rFonts w:ascii="Times New Roman" w:hAnsi="Times New Roman" w:eastAsia="Times New Roman" w:cs="Times New Roman"/>
          <w:sz w:val="22"/>
          <w:szCs w:val="22"/>
          <w:b/>
          <w:bCs/>
          <w:spacing w:val="8"/>
        </w:rPr>
        <w:t>1</w:t>
      </w:r>
      <w:r>
        <w:rPr>
          <w:spacing w:val="8"/>
        </w:rPr>
        <w:t>）★★</w:t>
      </w:r>
    </w:p>
    <w:p>
      <w:pPr>
        <w:pStyle w:val="BodyText"/>
        <w:ind w:left="19"/>
        <w:spacing w:before="136" w:line="337" w:lineRule="exact"/>
        <w:rPr/>
      </w:pPr>
      <w:r>
        <w:rPr>
          <w:rFonts w:ascii="Times New Roman" w:hAnsi="Times New Roman" w:eastAsia="Times New Roman" w:cs="Times New Roman"/>
          <w:sz w:val="22"/>
          <w:szCs w:val="22"/>
          <w:spacing w:val="-2"/>
          <w:position w:val="3"/>
        </w:rPr>
        <w:t>• </w:t>
      </w:r>
      <w:r>
        <w:rPr>
          <w:spacing w:val="-2"/>
          <w:position w:val="3"/>
        </w:rPr>
        <w:t>授信额度的定义</w:t>
      </w:r>
    </w:p>
    <w:p>
      <w:pPr>
        <w:pStyle w:val="BodyText"/>
        <w:ind w:left="115"/>
        <w:spacing w:before="95" w:line="248" w:lineRule="auto"/>
        <w:rPr/>
      </w:pPr>
      <w:r>
        <w:rPr>
          <w:rFonts w:ascii="Times New Roman" w:hAnsi="Times New Roman" w:eastAsia="Times New Roman" w:cs="Times New Roman"/>
          <w:sz w:val="22"/>
          <w:szCs w:val="22"/>
        </w:rPr>
        <w:t>• </w:t>
      </w:r>
      <w:r>
        <w:rPr/>
        <w:t>在客户授信限额内给予客户的</w:t>
      </w:r>
      <w:r>
        <w:rPr>
          <w:u w:val="single" w:color="auto"/>
        </w:rPr>
        <w:t>授信总额</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包括贷款额度、贸易融资额度、保函额度、承兑汇票额度、透支额度等</w:t>
      </w:r>
      <w:r>
        <w:rPr>
          <w:u w:val="single" w:color="auto"/>
          <w:spacing w:val="1"/>
        </w:rPr>
        <w:t>各类信贷业务额度</w:t>
      </w:r>
    </w:p>
    <w:p>
      <w:pPr>
        <w:pStyle w:val="BodyText"/>
        <w:ind w:left="115"/>
        <w:spacing w:before="96" w:line="244" w:lineRule="auto"/>
        <w:rPr/>
      </w:pPr>
      <w:r>
        <w:rPr>
          <w:rFonts w:ascii="Times New Roman" w:hAnsi="Times New Roman" w:eastAsia="Times New Roman" w:cs="Times New Roman"/>
          <w:sz w:val="22"/>
          <w:szCs w:val="22"/>
          <w:spacing w:val="1"/>
        </w:rPr>
        <w:t>• </w:t>
      </w:r>
      <w:r>
        <w:rPr>
          <w:spacing w:val="1"/>
        </w:rPr>
        <w:t>可分为</w:t>
      </w:r>
      <w:r>
        <w:rPr>
          <w:u w:val="single" w:color="auto"/>
          <w:spacing w:val="1"/>
        </w:rPr>
        <w:t>集团</w:t>
      </w:r>
      <w:r>
        <w:rPr>
          <w:spacing w:val="1"/>
        </w:rPr>
        <w:t>授信额度、</w:t>
      </w:r>
      <w:r>
        <w:rPr>
          <w:u w:val="single" w:color="auto"/>
          <w:spacing w:val="1"/>
        </w:rPr>
        <w:t>客户</w:t>
      </w:r>
      <w:r>
        <w:rPr>
          <w:spacing w:val="1"/>
        </w:rPr>
        <w:t>授信（信用）额度、</w:t>
      </w:r>
      <w:r>
        <w:rPr>
          <w:u w:val="single" w:color="auto"/>
          <w:spacing w:val="1"/>
        </w:rPr>
        <w:t>单项</w:t>
      </w:r>
      <w:r>
        <w:rPr>
          <w:spacing w:val="1"/>
        </w:rPr>
        <w:t>信贷额度</w:t>
      </w:r>
    </w:p>
    <w:p>
      <w:pPr>
        <w:pStyle w:val="BodyText"/>
        <w:ind w:left="19"/>
        <w:spacing w:before="100" w:line="337" w:lineRule="exact"/>
        <w:rPr/>
      </w:pPr>
      <w:r>
        <w:rPr>
          <w:rFonts w:ascii="Times New Roman" w:hAnsi="Times New Roman" w:eastAsia="Times New Roman" w:cs="Times New Roman"/>
          <w:sz w:val="22"/>
          <w:szCs w:val="22"/>
          <w:spacing w:val="-2"/>
          <w:position w:val="3"/>
        </w:rPr>
        <w:t>• </w:t>
      </w:r>
      <w:r>
        <w:rPr>
          <w:spacing w:val="-2"/>
          <w:position w:val="3"/>
        </w:rPr>
        <w:t>集团授信额度</w:t>
      </w:r>
    </w:p>
    <w:p>
      <w:pPr>
        <w:pStyle w:val="BodyText"/>
        <w:ind w:left="115"/>
        <w:spacing w:before="95" w:line="248" w:lineRule="auto"/>
        <w:rPr/>
      </w:pPr>
      <w:r>
        <w:rPr>
          <w:rFonts w:ascii="Times New Roman" w:hAnsi="Times New Roman" w:eastAsia="Times New Roman" w:cs="Times New Roman"/>
          <w:sz w:val="22"/>
          <w:szCs w:val="22"/>
        </w:rPr>
        <w:t>• </w:t>
      </w:r>
      <w:r>
        <w:rPr/>
        <w:t>授予集团</w:t>
      </w:r>
      <w:r>
        <w:rPr>
          <w:u w:val="single" w:color="auto"/>
        </w:rPr>
        <w:t>各成员</w:t>
      </w:r>
      <w:r>
        <w:rPr/>
        <w:t>的授信额度的</w:t>
      </w:r>
      <w:r>
        <w:rPr>
          <w:u w:val="single" w:color="auto"/>
        </w:rPr>
        <w:t>总和</w:t>
      </w:r>
    </w:p>
    <w:p>
      <w:pPr>
        <w:pStyle w:val="BodyText"/>
        <w:ind w:left="115"/>
        <w:spacing w:before="96" w:line="248" w:lineRule="auto"/>
        <w:rPr/>
      </w:pPr>
      <w:r>
        <w:rPr>
          <w:rFonts w:ascii="Times New Roman" w:hAnsi="Times New Roman" w:eastAsia="Times New Roman" w:cs="Times New Roman"/>
          <w:sz w:val="22"/>
          <w:szCs w:val="22"/>
        </w:rPr>
        <w:t>• </w:t>
      </w:r>
      <w:r>
        <w:rPr/>
        <w:t>企业集团的</w:t>
      </w:r>
      <w:r>
        <w:rPr>
          <w:u w:val="single" w:color="auto"/>
        </w:rPr>
        <w:t>结构</w:t>
      </w:r>
      <w:r>
        <w:rPr/>
        <w:t>和组成通常较为</w:t>
      </w:r>
      <w:r>
        <w:rPr>
          <w:u w:val="single" w:color="auto"/>
        </w:rPr>
        <w:t>复杂</w:t>
      </w:r>
      <w:r>
        <w:rPr>
          <w:spacing w:val="-24"/>
        </w:rPr>
        <w:t xml:space="preserve"> </w:t>
      </w:r>
      <w:r>
        <w:rPr/>
        <w:t>，更容易产生潜在</w:t>
      </w:r>
      <w:r>
        <w:rPr>
          <w:u w:val="single" w:color="auto"/>
        </w:rPr>
        <w:t>信用风险</w:t>
      </w:r>
    </w:p>
    <w:p>
      <w:pPr>
        <w:pStyle w:val="BodyText"/>
        <w:ind w:left="211"/>
        <w:spacing w:before="95" w:line="248" w:lineRule="auto"/>
        <w:rPr/>
      </w:pPr>
      <w:r>
        <w:rPr>
          <w:rFonts w:ascii="Times New Roman" w:hAnsi="Times New Roman" w:eastAsia="Times New Roman" w:cs="Times New Roman"/>
          <w:sz w:val="22"/>
          <w:szCs w:val="22"/>
        </w:rPr>
        <w:t>• </w:t>
      </w:r>
      <w:r>
        <w:rPr/>
        <w:t>贷款可能被</w:t>
      </w:r>
      <w:r>
        <w:rPr>
          <w:u w:val="single" w:color="auto"/>
        </w:rPr>
        <w:t>转移</w:t>
      </w:r>
      <w:r>
        <w:rPr/>
        <w:t>到集团的其他公司</w:t>
      </w:r>
    </w:p>
    <w:p>
      <w:pPr>
        <w:pStyle w:val="BodyText"/>
        <w:ind w:left="211"/>
        <w:spacing w:before="95" w:line="249" w:lineRule="auto"/>
        <w:rPr/>
      </w:pPr>
      <w:r>
        <w:rPr>
          <w:rFonts w:ascii="Times New Roman" w:hAnsi="Times New Roman" w:eastAsia="Times New Roman" w:cs="Times New Roman"/>
          <w:sz w:val="22"/>
          <w:szCs w:val="22"/>
        </w:rPr>
        <w:t>• </w:t>
      </w:r>
      <w:r>
        <w:rPr/>
        <w:t>容易发生</w:t>
      </w:r>
      <w:r>
        <w:rPr>
          <w:u w:val="single" w:color="auto"/>
        </w:rPr>
        <w:t>不公允</w:t>
      </w:r>
      <w:r>
        <w:rPr/>
        <w:t>的</w:t>
      </w:r>
      <w:r>
        <w:rPr>
          <w:u w:val="single" w:color="auto"/>
        </w:rPr>
        <w:t>关联交易</w:t>
      </w:r>
    </w:p>
    <w:p>
      <w:pPr>
        <w:pStyle w:val="BodyText"/>
        <w:ind w:left="211"/>
        <w:spacing w:before="94" w:line="249" w:lineRule="auto"/>
        <w:rPr/>
      </w:pPr>
      <w:r>
        <w:rPr>
          <w:rFonts w:ascii="Times New Roman" w:hAnsi="Times New Roman" w:eastAsia="Times New Roman" w:cs="Times New Roman"/>
          <w:sz w:val="22"/>
          <w:szCs w:val="22"/>
          <w:spacing w:val="1"/>
        </w:rPr>
        <w:t>• </w:t>
      </w:r>
      <w:r>
        <w:rPr>
          <w:spacing w:val="1"/>
        </w:rPr>
        <w:t>发生在集团的</w:t>
      </w:r>
      <w:r>
        <w:rPr>
          <w:u w:val="single" w:color="auto"/>
          <w:spacing w:val="1"/>
        </w:rPr>
        <w:t>其他公司的问题</w:t>
      </w:r>
      <w:r>
        <w:rPr>
          <w:spacing w:val="1"/>
        </w:rPr>
        <w:t>有可能</w:t>
      </w:r>
      <w:r>
        <w:rPr>
          <w:u w:val="single" w:color="auto"/>
          <w:spacing w:val="1"/>
        </w:rPr>
        <w:t>影响</w:t>
      </w:r>
      <w:r>
        <w:rPr>
          <w:spacing w:val="1"/>
        </w:rPr>
        <w:t>到借</w:t>
      </w:r>
      <w:r>
        <w:rPr/>
        <w:t>款企业</w:t>
      </w:r>
    </w:p>
    <w:p>
      <w:pPr>
        <w:pStyle w:val="BodyText"/>
        <w:ind w:left="115"/>
        <w:spacing w:before="94" w:line="248" w:lineRule="auto"/>
        <w:rPr/>
      </w:pPr>
      <w:r>
        <w:rPr>
          <w:rFonts w:ascii="Times New Roman" w:hAnsi="Times New Roman" w:eastAsia="Times New Roman" w:cs="Times New Roman"/>
          <w:sz w:val="22"/>
          <w:szCs w:val="22"/>
          <w:spacing w:val="1"/>
        </w:rPr>
        <w:t>• </w:t>
      </w:r>
      <w:r>
        <w:rPr>
          <w:spacing w:val="1"/>
        </w:rPr>
        <w:t>必要时</w:t>
      </w:r>
      <w:r>
        <w:rPr>
          <w:spacing w:val="-33"/>
        </w:rPr>
        <w:t xml:space="preserve"> </w:t>
      </w:r>
      <w:r>
        <w:rPr>
          <w:spacing w:val="1"/>
        </w:rPr>
        <w:t>，可要求集团客户聘请独立的具有公证效</w:t>
      </w:r>
      <w:r>
        <w:rPr/>
        <w:t>力的</w:t>
      </w:r>
      <w:r>
        <w:rPr>
          <w:u w:val="single" w:color="auto"/>
        </w:rPr>
        <w:t>第三方出具资料真实性证明</w:t>
      </w:r>
    </w:p>
    <w:p>
      <w:pPr>
        <w:pStyle w:val="BodyText"/>
        <w:ind w:left="115"/>
        <w:spacing w:before="96" w:line="248" w:lineRule="auto"/>
        <w:rPr/>
      </w:pPr>
      <w:r>
        <w:rPr>
          <w:rFonts w:ascii="Times New Roman" w:hAnsi="Times New Roman" w:eastAsia="Times New Roman" w:cs="Times New Roman"/>
          <w:sz w:val="22"/>
          <w:szCs w:val="22"/>
          <w:spacing w:val="1"/>
        </w:rPr>
        <w:t>• </w:t>
      </w:r>
      <w:r>
        <w:rPr>
          <w:spacing w:val="1"/>
        </w:rPr>
        <w:t>商业银行总行</w:t>
      </w:r>
      <w:r>
        <w:rPr>
          <w:u w:val="single" w:color="auto"/>
          <w:spacing w:val="1"/>
        </w:rPr>
        <w:t>每年</w:t>
      </w:r>
      <w:r>
        <w:rPr>
          <w:spacing w:val="1"/>
        </w:rPr>
        <w:t>应对全行集团客户授信风险作一次综合评估</w:t>
      </w:r>
    </w:p>
    <w:p>
      <w:pPr>
        <w:pStyle w:val="BodyText"/>
        <w:ind w:left="115"/>
        <w:spacing w:before="94" w:line="249" w:lineRule="auto"/>
        <w:rPr/>
      </w:pPr>
      <w:r>
        <w:rPr>
          <w:rFonts w:ascii="Times New Roman" w:hAnsi="Times New Roman" w:eastAsia="Times New Roman" w:cs="Times New Roman"/>
          <w:sz w:val="22"/>
          <w:szCs w:val="22"/>
          <w:spacing w:val="1"/>
        </w:rPr>
        <w:t>• </w:t>
      </w:r>
      <w:r>
        <w:rPr>
          <w:spacing w:val="1"/>
        </w:rPr>
        <w:t>商业银行</w:t>
      </w:r>
      <w:r>
        <w:rPr>
          <w:u w:val="single" w:color="auto"/>
          <w:spacing w:val="1"/>
        </w:rPr>
        <w:t>每年</w:t>
      </w:r>
      <w:r>
        <w:rPr>
          <w:spacing w:val="1"/>
        </w:rPr>
        <w:t>应至少向银行业监督管理机构提交一次相关风险评估报告</w:t>
      </w:r>
    </w:p>
    <w:p>
      <w:pPr>
        <w:pStyle w:val="BodyText"/>
        <w:ind w:left="26" w:right="168" w:firstLine="89"/>
        <w:spacing w:before="95" w:line="200" w:lineRule="auto"/>
        <w:rPr/>
      </w:pPr>
      <w:r>
        <w:rPr>
          <w:rFonts w:ascii="Times New Roman" w:hAnsi="Times New Roman" w:eastAsia="Times New Roman" w:cs="Times New Roman"/>
          <w:sz w:val="22"/>
          <w:szCs w:val="22"/>
          <w:spacing w:val="1"/>
        </w:rPr>
        <w:t>• </w:t>
      </w:r>
      <w:r>
        <w:rPr>
          <w:spacing w:val="1"/>
        </w:rPr>
        <w:t>当一个集团客户授信需求超过一家银行风险的承受能力时</w:t>
      </w:r>
      <w:r>
        <w:rPr>
          <w:spacing w:val="-33"/>
        </w:rPr>
        <w:t xml:space="preserve"> </w:t>
      </w:r>
      <w:r>
        <w:rPr>
          <w:spacing w:val="1"/>
        </w:rPr>
        <w:t>，银行应采取组织</w:t>
      </w:r>
      <w:r>
        <w:rPr>
          <w:u w:val="single" w:color="auto"/>
          <w:spacing w:val="1"/>
        </w:rPr>
        <w:t>银团贷款</w:t>
      </w:r>
      <w:r>
        <w:rPr>
          <w:u w:val="single" w:color="auto"/>
          <w:spacing w:val="-49"/>
        </w:rPr>
        <w:t xml:space="preserve"> </w:t>
      </w:r>
      <w:r>
        <w:rPr>
          <w:spacing w:val="-42"/>
        </w:rPr>
        <w:t xml:space="preserve"> </w:t>
      </w:r>
      <w:r>
        <w:rPr/>
        <w:t>、</w:t>
      </w:r>
      <w:r>
        <w:rPr>
          <w:u w:val="single" w:color="auto"/>
        </w:rPr>
        <w:t>联合贷款</w:t>
      </w:r>
      <w:r>
        <w:rPr/>
        <w:t>和</w:t>
      </w:r>
      <w:r>
        <w:rPr>
          <w:u w:val="single" w:color="auto"/>
        </w:rPr>
        <w:t>贷款转让</w:t>
      </w:r>
      <w:r>
        <w:rPr/>
        <w:t>等措施分散风 </w:t>
      </w:r>
      <w:r>
        <w:rPr/>
        <w:t>险</w:t>
      </w:r>
    </w:p>
    <w:p>
      <w:pPr>
        <w:pStyle w:val="BodyText"/>
        <w:ind w:left="9"/>
        <w:spacing w:before="176" w:line="182" w:lineRule="auto"/>
        <w:rPr/>
      </w:pPr>
      <w:r>
        <w:rPr>
          <w:spacing w:val="8"/>
        </w:rPr>
        <w:t>考点</w:t>
      </w:r>
      <w:r>
        <w:rPr>
          <w:rFonts w:ascii="Times New Roman" w:hAnsi="Times New Roman" w:eastAsia="Times New Roman" w:cs="Times New Roman"/>
          <w:sz w:val="22"/>
          <w:szCs w:val="22"/>
          <w:b/>
          <w:bCs/>
          <w:spacing w:val="8"/>
        </w:rPr>
        <w:t>1</w:t>
      </w:r>
      <w:r>
        <w:rPr>
          <w:spacing w:val="8"/>
        </w:rPr>
        <w:t>：</w:t>
      </w:r>
      <w:r>
        <w:rPr>
          <w:spacing w:val="-31"/>
        </w:rPr>
        <w:t xml:space="preserve"> </w:t>
      </w:r>
      <w:r>
        <w:rPr>
          <w:spacing w:val="8"/>
        </w:rPr>
        <w:t>授信额度的含义（ </w:t>
      </w:r>
      <w:r>
        <w:rPr>
          <w:rFonts w:ascii="Times New Roman" w:hAnsi="Times New Roman" w:eastAsia="Times New Roman" w:cs="Times New Roman"/>
          <w:sz w:val="22"/>
          <w:szCs w:val="22"/>
          <w:b/>
          <w:bCs/>
          <w:spacing w:val="8"/>
        </w:rPr>
        <w:t>2</w:t>
      </w:r>
      <w:r>
        <w:rPr>
          <w:spacing w:val="8"/>
        </w:rPr>
        <w:t>）★★</w:t>
      </w:r>
    </w:p>
    <w:p>
      <w:pPr>
        <w:pStyle w:val="BodyText"/>
        <w:ind w:left="19"/>
        <w:spacing w:before="137" w:line="332" w:lineRule="exact"/>
        <w:rPr/>
      </w:pPr>
      <w:r>
        <w:rPr>
          <w:rFonts w:ascii="Times New Roman" w:hAnsi="Times New Roman" w:eastAsia="Times New Roman" w:cs="Times New Roman"/>
          <w:sz w:val="22"/>
          <w:szCs w:val="22"/>
          <w:spacing w:val="-1"/>
          <w:position w:val="4"/>
        </w:rPr>
        <w:t>• </w:t>
      </w:r>
      <w:r>
        <w:rPr>
          <w:spacing w:val="-1"/>
          <w:position w:val="4"/>
        </w:rPr>
        <w:t>客户授信（信用）额度</w:t>
      </w:r>
    </w:p>
    <w:p>
      <w:pPr>
        <w:pStyle w:val="BodyText"/>
        <w:ind w:left="115"/>
        <w:spacing w:before="101" w:line="248" w:lineRule="auto"/>
        <w:rPr/>
      </w:pPr>
      <w:r>
        <w:rPr>
          <w:rFonts w:ascii="Times New Roman" w:hAnsi="Times New Roman" w:eastAsia="Times New Roman" w:cs="Times New Roman"/>
          <w:sz w:val="22"/>
          <w:szCs w:val="22"/>
          <w:spacing w:val="1"/>
        </w:rPr>
        <w:t>• </w:t>
      </w:r>
      <w:r>
        <w:rPr>
          <w:spacing w:val="1"/>
        </w:rPr>
        <w:t>是指银行对</w:t>
      </w:r>
      <w:r>
        <w:rPr>
          <w:u w:val="single" w:color="auto"/>
          <w:spacing w:val="1"/>
        </w:rPr>
        <w:t>借款企业</w:t>
      </w:r>
      <w:r>
        <w:rPr>
          <w:spacing w:val="1"/>
        </w:rPr>
        <w:t>确定的能够和愿意承担的</w:t>
      </w:r>
      <w:r>
        <w:rPr>
          <w:u w:val="single" w:color="auto"/>
          <w:spacing w:val="1"/>
        </w:rPr>
        <w:t>风险</w:t>
      </w:r>
      <w:r>
        <w:rPr>
          <w:u w:val="single" w:color="auto"/>
        </w:rPr>
        <w:t>总量</w:t>
      </w:r>
    </w:p>
    <w:p>
      <w:pPr>
        <w:pStyle w:val="BodyText"/>
        <w:ind w:left="115"/>
        <w:spacing w:before="94" w:line="337" w:lineRule="exact"/>
        <w:rPr/>
      </w:pPr>
      <w:r>
        <w:rPr>
          <w:rFonts w:ascii="Times New Roman" w:hAnsi="Times New Roman" w:eastAsia="Times New Roman" w:cs="Times New Roman"/>
          <w:sz w:val="22"/>
          <w:szCs w:val="22"/>
          <w:spacing w:val="1"/>
          <w:position w:val="3"/>
        </w:rPr>
        <w:t>• </w:t>
      </w:r>
      <w:r>
        <w:rPr>
          <w:spacing w:val="1"/>
          <w:position w:val="3"/>
        </w:rPr>
        <w:t>银行对借款企业提供的各类信用余额之和不得超过该客户的授信额度</w:t>
      </w:r>
      <w:r>
        <w:rPr>
          <w:spacing w:val="-33"/>
          <w:position w:val="3"/>
        </w:rPr>
        <w:t xml:space="preserve"> </w:t>
      </w:r>
      <w:r>
        <w:rPr>
          <w:spacing w:val="1"/>
          <w:position w:val="3"/>
        </w:rPr>
        <w:t>，额度可</w:t>
      </w:r>
      <w:r>
        <w:rPr>
          <w:position w:val="3"/>
        </w:rPr>
        <w:t>在有效期内使用</w:t>
      </w:r>
    </w:p>
    <w:p>
      <w:pPr>
        <w:pStyle w:val="BodyText"/>
        <w:ind w:left="19"/>
        <w:spacing w:before="96" w:line="336" w:lineRule="exact"/>
        <w:rPr/>
      </w:pPr>
      <w:r>
        <w:rPr>
          <w:rFonts w:ascii="Times New Roman" w:hAnsi="Times New Roman" w:eastAsia="Times New Roman" w:cs="Times New Roman"/>
          <w:sz w:val="22"/>
          <w:szCs w:val="22"/>
          <w:spacing w:val="-2"/>
          <w:position w:val="3"/>
        </w:rPr>
        <w:t>• </w:t>
      </w:r>
      <w:r>
        <w:rPr>
          <w:spacing w:val="-2"/>
          <w:position w:val="3"/>
        </w:rPr>
        <w:t>单项信贷额度</w:t>
      </w:r>
    </w:p>
    <w:p>
      <w:pPr>
        <w:pStyle w:val="BodyText"/>
        <w:ind w:left="115"/>
        <w:spacing w:before="96" w:line="248" w:lineRule="auto"/>
        <w:rPr/>
      </w:pPr>
      <w:r>
        <w:rPr>
          <w:rFonts w:ascii="Times New Roman" w:hAnsi="Times New Roman" w:eastAsia="Times New Roman" w:cs="Times New Roman"/>
          <w:sz w:val="22"/>
          <w:szCs w:val="22"/>
          <w:spacing w:val="1"/>
        </w:rPr>
        <w:t>• </w:t>
      </w:r>
      <w:r>
        <w:rPr>
          <w:spacing w:val="1"/>
        </w:rPr>
        <w:t>是指在客户授信总额之下</w:t>
      </w:r>
      <w:r>
        <w:rPr>
          <w:spacing w:val="-33"/>
        </w:rPr>
        <w:t xml:space="preserve"> </w:t>
      </w:r>
      <w:r>
        <w:rPr>
          <w:spacing w:val="1"/>
        </w:rPr>
        <w:t>，为客户</w:t>
      </w:r>
      <w:r>
        <w:rPr>
          <w:u w:val="single" w:color="auto"/>
          <w:spacing w:val="1"/>
        </w:rPr>
        <w:t>不同信贷品种</w:t>
      </w:r>
      <w:r>
        <w:rPr>
          <w:spacing w:val="1"/>
        </w:rPr>
        <w:t>设置的分类管理额</w:t>
      </w:r>
      <w:r>
        <w:rPr/>
        <w:t>度</w:t>
      </w:r>
      <w:r>
        <w:rPr>
          <w:spacing w:val="-33"/>
        </w:rPr>
        <w:t xml:space="preserve"> </w:t>
      </w:r>
      <w:r>
        <w:rPr/>
        <w:t>，如流动资金贷款额度、固定资产贷款额度等</w:t>
      </w:r>
    </w:p>
    <w:p>
      <w:pPr>
        <w:pStyle w:val="BodyText"/>
        <w:ind w:left="115"/>
        <w:spacing w:before="95" w:line="339" w:lineRule="exact"/>
        <w:rPr/>
      </w:pPr>
      <w:r>
        <w:rPr>
          <w:rFonts w:ascii="Times New Roman" w:hAnsi="Times New Roman" w:eastAsia="Times New Roman" w:cs="Times New Roman"/>
          <w:sz w:val="22"/>
          <w:szCs w:val="22"/>
          <w:spacing w:val="-2"/>
          <w:position w:val="3"/>
        </w:rPr>
        <w:t>• </w:t>
      </w:r>
      <w:r>
        <w:rPr>
          <w:spacing w:val="-2"/>
          <w:position w:val="3"/>
        </w:rPr>
        <w:t>精细化管理</w:t>
      </w:r>
    </w:p>
    <w:p>
      <w:pPr>
        <w:pStyle w:val="BodyText"/>
        <w:ind w:left="211"/>
        <w:spacing w:before="93" w:line="337" w:lineRule="exact"/>
        <w:rPr/>
      </w:pPr>
      <w:r>
        <w:rPr>
          <w:rFonts w:ascii="Times New Roman" w:hAnsi="Times New Roman" w:eastAsia="Times New Roman" w:cs="Times New Roman"/>
          <w:sz w:val="22"/>
          <w:szCs w:val="22"/>
          <w:position w:val="3"/>
        </w:rPr>
        <w:t>• </w:t>
      </w:r>
      <w:r>
        <w:rPr>
          <w:position w:val="3"/>
        </w:rPr>
        <w:t>按还款后是否可续借</w:t>
      </w:r>
      <w:r>
        <w:rPr>
          <w:spacing w:val="-32"/>
          <w:position w:val="3"/>
        </w:rPr>
        <w:t xml:space="preserve"> </w:t>
      </w:r>
      <w:r>
        <w:rPr>
          <w:position w:val="3"/>
        </w:rPr>
        <w:t>，设置可循环额度和不可循环额度</w:t>
      </w:r>
    </w:p>
    <w:p>
      <w:pPr>
        <w:pStyle w:val="BodyText"/>
        <w:ind w:left="14" w:right="3721" w:firstLine="197"/>
        <w:spacing w:before="95" w:line="270" w:lineRule="auto"/>
        <w:rPr/>
      </w:pPr>
      <w:r>
        <w:rPr>
          <w:rFonts w:ascii="Times New Roman" w:hAnsi="Times New Roman" w:eastAsia="Times New Roman" w:cs="Times New Roman"/>
          <w:sz w:val="22"/>
          <w:szCs w:val="22"/>
          <w:spacing w:val="1"/>
        </w:rPr>
        <w:t>• </w:t>
      </w:r>
      <w:r>
        <w:rPr>
          <w:spacing w:val="1"/>
        </w:rPr>
        <w:t>按单项信贷额度是否可被同其他品种调剂或</w:t>
      </w:r>
      <w:r>
        <w:rPr/>
        <w:t>串用</w:t>
      </w:r>
      <w:r>
        <w:rPr>
          <w:spacing w:val="-33"/>
        </w:rPr>
        <w:t xml:space="preserve"> </w:t>
      </w:r>
      <w:r>
        <w:rPr/>
        <w:t>，分为专项额度和非专项额度 </w:t>
      </w:r>
      <w:r>
        <w:rPr>
          <w:spacing w:val="7"/>
        </w:rPr>
        <w:t>实战演练</w:t>
      </w:r>
    </w:p>
    <w:p>
      <w:pPr>
        <w:pStyle w:val="BodyText"/>
        <w:spacing w:before="179" w:line="177" w:lineRule="auto"/>
        <w:jc w:val="right"/>
        <w:rPr/>
      </w:pPr>
      <w:r>
        <w:rPr>
          <w:u w:val="single" w:color="auto"/>
          <w:spacing w:val="1"/>
        </w:rPr>
        <w:t>单选：</w:t>
      </w:r>
      <w:r>
        <w:rPr>
          <w:u w:val="single" w:color="auto"/>
          <w:spacing w:val="-30"/>
        </w:rPr>
        <w:t xml:space="preserve"> </w:t>
      </w:r>
      <w:r>
        <w:rPr>
          <w:spacing w:val="1"/>
        </w:rPr>
        <w:t>当一家集团客户授信需求超过一家银行的承受能力时</w:t>
      </w:r>
      <w:r>
        <w:rPr>
          <w:spacing w:val="-33"/>
        </w:rPr>
        <w:t xml:space="preserve"> </w:t>
      </w:r>
      <w:r>
        <w:rPr>
          <w:spacing w:val="1"/>
        </w:rPr>
        <w:t>，商业银行应该采取组</w:t>
      </w:r>
      <w:r>
        <w:rPr/>
        <w:t>织银团贷款、</w:t>
      </w:r>
      <w:r>
        <w:rPr>
          <w:spacing w:val="-12"/>
        </w:rPr>
        <w:t>（</w:t>
      </w:r>
      <w:r>
        <w:rPr>
          <w:spacing w:val="3"/>
        </w:rPr>
        <w:t xml:space="preserve">       </w:t>
      </w:r>
      <w:r>
        <w:rPr>
          <w:spacing w:val="-12"/>
        </w:rPr>
        <w:t>）</w:t>
      </w:r>
      <w:r>
        <w:rPr/>
        <w:t>、贷款转让等措施分</w:t>
      </w:r>
    </w:p>
    <w:p>
      <w:pPr>
        <w:pStyle w:val="BodyText"/>
        <w:ind w:left="14"/>
        <w:spacing w:before="1" w:line="186" w:lineRule="auto"/>
        <w:rPr/>
      </w:pPr>
      <w:r>
        <w:rPr>
          <w:spacing w:val="-1"/>
        </w:rPr>
        <w:t>散风险。</w:t>
      </w:r>
    </w:p>
    <w:p>
      <w:pPr>
        <w:pStyle w:val="BodyText"/>
        <w:ind w:left="10" w:right="9470" w:hanging="1"/>
        <w:spacing w:before="181" w:line="317" w:lineRule="auto"/>
        <w:rPr/>
      </w:pPr>
      <w:r>
        <w:rPr>
          <w:rFonts w:ascii="Times New Roman" w:hAnsi="Times New Roman" w:eastAsia="Times New Roman" w:cs="Times New Roman"/>
          <w:sz w:val="22"/>
          <w:szCs w:val="22"/>
          <w:spacing w:val="-4"/>
        </w:rPr>
        <w:t>A</w:t>
      </w:r>
      <w:r>
        <w:rPr>
          <w:spacing w:val="-4"/>
        </w:rPr>
        <w:t>．项目贷款</w:t>
      </w:r>
      <w:r>
        <w:rPr>
          <w:spacing w:val="4"/>
        </w:rPr>
        <w:t xml:space="preserve"> </w:t>
      </w:r>
      <w:r>
        <w:rPr>
          <w:rFonts w:ascii="Times New Roman" w:hAnsi="Times New Roman" w:eastAsia="Times New Roman" w:cs="Times New Roman"/>
          <w:sz w:val="22"/>
          <w:szCs w:val="22"/>
          <w:spacing w:val="-4"/>
        </w:rPr>
        <w:t>B</w:t>
      </w:r>
      <w:r>
        <w:rPr>
          <w:spacing w:val="-4"/>
        </w:rPr>
        <w:t>．联合贷款</w:t>
      </w:r>
      <w:r>
        <w:rPr>
          <w:spacing w:val="2"/>
        </w:rPr>
        <w:t xml:space="preserve"> </w:t>
      </w:r>
      <w:r>
        <w:rPr>
          <w:rFonts w:ascii="Times New Roman" w:hAnsi="Times New Roman" w:eastAsia="Times New Roman" w:cs="Times New Roman"/>
          <w:sz w:val="22"/>
          <w:szCs w:val="22"/>
          <w:spacing w:val="-2"/>
        </w:rPr>
        <w:t>C</w:t>
      </w:r>
      <w:r>
        <w:rPr>
          <w:spacing w:val="-2"/>
        </w:rPr>
        <w:t>．表外授信</w:t>
      </w:r>
    </w:p>
    <w:p>
      <w:pPr>
        <w:pStyle w:val="BodyText"/>
        <w:ind w:right="9086" w:firstLine="11"/>
        <w:spacing w:before="3"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D</w:t>
      </w:r>
      <w:r>
        <w:rPr>
          <w:spacing w:val="-3"/>
        </w:rPr>
        <w:t>．流动资金贷款</w:t>
      </w:r>
      <w:r>
        <w:rPr>
          <w:spacing w:val="6"/>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7" w:right="144" w:hanging="17"/>
        <w:spacing w:before="1" w:line="182" w:lineRule="auto"/>
        <w:rPr/>
      </w:pPr>
      <w:r>
        <w:rPr>
          <w:spacing w:val="2"/>
        </w:rPr>
        <w:t>【解析】 当一个集团客户授信需求超过一家银行风险的承受能力时</w:t>
      </w:r>
      <w:r>
        <w:rPr>
          <w:spacing w:val="-33"/>
        </w:rPr>
        <w:t xml:space="preserve"> </w:t>
      </w:r>
      <w:r>
        <w:rPr>
          <w:spacing w:val="1"/>
        </w:rPr>
        <w:t>，商业银行应当采取组织银团贷款、联合贷款和贷款转让</w:t>
      </w:r>
      <w:r>
        <w:rPr/>
        <w:t xml:space="preserve"> </w:t>
      </w:r>
      <w:r>
        <w:rPr>
          <w:spacing w:val="1"/>
        </w:rPr>
        <w:t>等措施分散风险 。</w:t>
      </w:r>
    </w:p>
    <w:p>
      <w:pPr>
        <w:pStyle w:val="BodyText"/>
        <w:ind w:left="24"/>
        <w:spacing w:before="179" w:line="182" w:lineRule="auto"/>
        <w:rPr/>
      </w:pPr>
      <w:r>
        <w:rPr>
          <w:u w:val="single" w:color="auto"/>
        </w:rPr>
        <w:t>多选：</w:t>
      </w:r>
      <w:r>
        <w:rPr/>
        <w:t>集团客户相比一般客户而言</w:t>
      </w:r>
      <w:r>
        <w:rPr>
          <w:spacing w:val="-32"/>
        </w:rPr>
        <w:t xml:space="preserve"> </w:t>
      </w:r>
      <w:r>
        <w:rPr/>
        <w:t>，贷后管理的难度更大</w:t>
      </w:r>
      <w:r>
        <w:rPr>
          <w:spacing w:val="-33"/>
        </w:rPr>
        <w:t xml:space="preserve"> </w:t>
      </w:r>
      <w:r>
        <w:rPr/>
        <w:t>，其原因在</w:t>
      </w:r>
      <w:r>
        <w:rPr>
          <w:spacing w:val="-1"/>
        </w:rPr>
        <w:t>于</w:t>
      </w:r>
      <w:r>
        <w:rPr>
          <w:spacing w:val="-12"/>
        </w:rPr>
        <w:t>（</w:t>
      </w:r>
      <w:r>
        <w:rPr>
          <w:spacing w:val="6"/>
        </w:rPr>
        <w:t xml:space="preserve">       </w:t>
      </w:r>
      <w:r>
        <w:rPr>
          <w:spacing w:val="-12"/>
        </w:rPr>
        <w:t>）</w:t>
      </w:r>
      <w:r>
        <w:rPr>
          <w:spacing w:val="-1"/>
        </w:rPr>
        <w:t>。</w:t>
      </w:r>
    </w:p>
    <w:p>
      <w:pPr>
        <w:pStyle w:val="BodyText"/>
        <w:ind w:left="9"/>
        <w:spacing w:before="185" w:line="186" w:lineRule="auto"/>
        <w:rPr/>
      </w:pPr>
      <w:r>
        <w:rPr>
          <w:rFonts w:ascii="Times New Roman" w:hAnsi="Times New Roman" w:eastAsia="Times New Roman" w:cs="Times New Roman"/>
          <w:sz w:val="22"/>
          <w:szCs w:val="22"/>
          <w:spacing w:val="-3"/>
        </w:rPr>
        <w:t>A</w:t>
      </w:r>
      <w:r>
        <w:rPr>
          <w:spacing w:val="-3"/>
        </w:rPr>
        <w:t>．</w:t>
      </w:r>
      <w:r>
        <w:rPr>
          <w:spacing w:val="-23"/>
        </w:rPr>
        <w:t xml:space="preserve"> </w:t>
      </w:r>
      <w:r>
        <w:rPr>
          <w:spacing w:val="-3"/>
        </w:rPr>
        <w:t>易发生不公允的关联交易</w:t>
      </w:r>
    </w:p>
    <w:p>
      <w:pPr>
        <w:spacing w:line="186" w:lineRule="auto"/>
        <w:sectPr>
          <w:pgSz w:w="11900" w:h="16840"/>
          <w:pgMar w:top="532" w:right="671" w:bottom="0" w:left="657" w:header="0" w:footer="0" w:gutter="0"/>
        </w:sectPr>
        <w:rPr/>
      </w:pPr>
    </w:p>
    <w:p>
      <w:pPr>
        <w:pStyle w:val="BodyText"/>
        <w:ind w:left="13"/>
        <w:spacing w:before="39" w:line="186" w:lineRule="auto"/>
        <w:rPr/>
      </w:pPr>
      <w:r>
        <w:rPr>
          <w:rFonts w:ascii="Times New Roman" w:hAnsi="Times New Roman" w:eastAsia="Times New Roman" w:cs="Times New Roman"/>
          <w:sz w:val="22"/>
          <w:szCs w:val="22"/>
          <w:spacing w:val="-2"/>
        </w:rPr>
        <w:t>B</w:t>
      </w:r>
      <w:r>
        <w:rPr>
          <w:spacing w:val="-2"/>
        </w:rPr>
        <w:t>．企业结构更加复杂</w:t>
      </w:r>
    </w:p>
    <w:p>
      <w:pPr>
        <w:pStyle w:val="BodyText"/>
        <w:ind w:left="17"/>
        <w:spacing w:before="179" w:line="186" w:lineRule="auto"/>
        <w:rPr/>
      </w:pPr>
      <w:r>
        <w:rPr>
          <w:rFonts w:ascii="Times New Roman" w:hAnsi="Times New Roman" w:eastAsia="Times New Roman" w:cs="Times New Roman"/>
          <w:sz w:val="22"/>
          <w:szCs w:val="22"/>
          <w:spacing w:val="1"/>
        </w:rPr>
        <w:t>C</w:t>
      </w:r>
      <w:r>
        <w:rPr>
          <w:spacing w:val="1"/>
        </w:rPr>
        <w:t>．发生在集团的其他公司的问题有可能影响到借款企业</w:t>
      </w:r>
    </w:p>
    <w:p>
      <w:pPr>
        <w:pStyle w:val="BodyText"/>
        <w:ind w:left="13" w:right="6733"/>
        <w:spacing w:before="178" w:line="317" w:lineRule="auto"/>
        <w:rPr/>
      </w:pPr>
      <w:r>
        <w:rPr>
          <w:rFonts w:ascii="Times New Roman" w:hAnsi="Times New Roman" w:eastAsia="Times New Roman" w:cs="Times New Roman"/>
          <w:sz w:val="22"/>
          <w:szCs w:val="22"/>
        </w:rPr>
        <w:t>D</w:t>
      </w:r>
      <w:r>
        <w:rPr/>
        <w:t>．借款资金有可能被转移到集团的其他公司</w:t>
      </w:r>
      <w:r>
        <w:rPr>
          <w:spacing w:val="6"/>
        </w:rPr>
        <w:t xml:space="preserve"> </w:t>
      </w:r>
      <w:r>
        <w:rPr>
          <w:rFonts w:ascii="Times New Roman" w:hAnsi="Times New Roman" w:eastAsia="Times New Roman" w:cs="Times New Roman"/>
          <w:sz w:val="22"/>
          <w:szCs w:val="22"/>
          <w:spacing w:val="-1"/>
        </w:rPr>
        <w:t>E</w:t>
      </w:r>
      <w:r>
        <w:rPr>
          <w:spacing w:val="-1"/>
        </w:rPr>
        <w:t>．相比较而言</w:t>
      </w:r>
      <w:r>
        <w:rPr>
          <w:spacing w:val="-33"/>
        </w:rPr>
        <w:t xml:space="preserve"> </w:t>
      </w:r>
      <w:r>
        <w:rPr>
          <w:spacing w:val="-1"/>
        </w:rPr>
        <w:t>，集团客户整体实力更强大</w:t>
      </w:r>
    </w:p>
    <w:p>
      <w:pPr>
        <w:pStyle w:val="BodyText"/>
        <w:ind w:left="1"/>
        <w:spacing w:before="2" w:line="187" w:lineRule="auto"/>
        <w:rPr>
          <w:rFonts w:ascii="Times New Roman" w:hAnsi="Times New Roman" w:eastAsia="Times New Roman" w:cs="Times New Roman"/>
          <w:sz w:val="22"/>
          <w:szCs w:val="22"/>
        </w:rPr>
      </w:pPr>
      <w:r>
        <w:rPr>
          <w:spacing w:val="-5"/>
        </w:rPr>
        <w:t>【答案】</w:t>
      </w:r>
      <w:r>
        <w:rPr>
          <w:spacing w:val="-18"/>
        </w:rPr>
        <w:t xml:space="preserve"> </w:t>
      </w:r>
      <w:r>
        <w:rPr>
          <w:rFonts w:ascii="Times New Roman" w:hAnsi="Times New Roman" w:eastAsia="Times New Roman" w:cs="Times New Roman"/>
          <w:sz w:val="22"/>
          <w:szCs w:val="22"/>
          <w:spacing w:val="-5"/>
        </w:rPr>
        <w:t>ABCD</w:t>
      </w:r>
    </w:p>
    <w:p>
      <w:pPr>
        <w:pStyle w:val="BodyText"/>
        <w:ind w:left="12" w:right="49" w:hanging="11"/>
        <w:spacing w:before="178" w:line="181" w:lineRule="auto"/>
        <w:rPr/>
      </w:pPr>
      <w:r>
        <w:rPr/>
        <w:t>【解析】</w:t>
      </w:r>
      <w:r>
        <w:rPr>
          <w:spacing w:val="-7"/>
        </w:rPr>
        <w:t xml:space="preserve"> </w:t>
      </w:r>
      <w:r>
        <w:rPr/>
        <w:t>企业集团的结构和组成通常不容易识别和理解</w:t>
      </w:r>
      <w:r>
        <w:rPr>
          <w:spacing w:val="-33"/>
        </w:rPr>
        <w:t xml:space="preserve"> </w:t>
      </w:r>
      <w:r>
        <w:rPr/>
        <w:t>，复杂企业结构更容易产生潜在的信用风险</w:t>
      </w:r>
      <w:r>
        <w:rPr>
          <w:spacing w:val="-33"/>
        </w:rPr>
        <w:t xml:space="preserve"> </w:t>
      </w:r>
      <w:r>
        <w:rPr/>
        <w:t>，其具体原因包括</w:t>
      </w:r>
      <w:r>
        <w:rPr>
          <w:rFonts w:ascii="Times New Roman" w:hAnsi="Times New Roman" w:eastAsia="Times New Roman" w:cs="Times New Roman"/>
          <w:sz w:val="22"/>
          <w:szCs w:val="22"/>
        </w:rPr>
        <w:t>A</w:t>
      </w:r>
      <w:r>
        <w:rPr/>
        <w:t>、</w:t>
      </w:r>
      <w:r>
        <w:rPr>
          <w:rFonts w:ascii="Times New Roman" w:hAnsi="Times New Roman" w:eastAsia="Times New Roman" w:cs="Times New Roman"/>
          <w:sz w:val="22"/>
          <w:szCs w:val="22"/>
        </w:rPr>
        <w:t>C</w:t>
      </w:r>
      <w:r>
        <w:rPr/>
        <w:t>、 </w:t>
      </w:r>
      <w:r>
        <w:rPr>
          <w:rFonts w:ascii="Times New Roman" w:hAnsi="Times New Roman" w:eastAsia="Times New Roman" w:cs="Times New Roman"/>
          <w:sz w:val="22"/>
          <w:szCs w:val="22"/>
          <w:spacing w:val="-1"/>
        </w:rPr>
        <w:t>D</w:t>
      </w:r>
      <w:r>
        <w:rPr>
          <w:spacing w:val="-1"/>
        </w:rPr>
        <w:t>。</w:t>
      </w:r>
      <w:r>
        <w:rPr>
          <w:rFonts w:ascii="Times New Roman" w:hAnsi="Times New Roman" w:eastAsia="Times New Roman" w:cs="Times New Roman"/>
          <w:sz w:val="22"/>
          <w:szCs w:val="22"/>
          <w:spacing w:val="-1"/>
        </w:rPr>
        <w:t>E</w:t>
      </w:r>
      <w:r>
        <w:rPr>
          <w:spacing w:val="-1"/>
        </w:rPr>
        <w:t>项集团客户实力强大在一定程度上会减少潜在的风险。</w:t>
      </w:r>
    </w:p>
    <w:p>
      <w:pPr>
        <w:pStyle w:val="BodyText"/>
        <w:ind w:left="18"/>
        <w:spacing w:before="180" w:line="177" w:lineRule="auto"/>
        <w:rPr/>
      </w:pPr>
      <w:r>
        <w:rPr>
          <w:u w:val="single" w:color="auto"/>
          <w:spacing w:val="1"/>
        </w:rPr>
        <w:t>单选：</w:t>
      </w:r>
      <w:r>
        <w:rPr>
          <w:spacing w:val="1"/>
        </w:rPr>
        <w:t>商业银行总行每年应对全行集团客户授信风险作</w:t>
      </w:r>
      <w:r>
        <w:rPr>
          <w:spacing w:val="-24"/>
        </w:rPr>
        <w:t xml:space="preserve"> </w:t>
      </w:r>
      <w:r>
        <w:rPr>
          <w:spacing w:val="-10"/>
        </w:rPr>
        <w:t>（</w:t>
      </w:r>
      <w:r>
        <w:rPr>
          <w:spacing w:val="6"/>
        </w:rPr>
        <w:t xml:space="preserve">       </w:t>
      </w:r>
      <w:r>
        <w:rPr>
          <w:spacing w:val="-10"/>
        </w:rPr>
        <w:t>）</w:t>
      </w:r>
      <w:r>
        <w:rPr/>
        <w:t>次综合评估</w:t>
      </w:r>
      <w:r>
        <w:rPr>
          <w:spacing w:val="-31"/>
        </w:rPr>
        <w:t xml:space="preserve"> </w:t>
      </w:r>
      <w:r>
        <w:rPr/>
        <w:t>，</w:t>
      </w:r>
      <w:r>
        <w:rPr>
          <w:spacing w:val="-28"/>
        </w:rPr>
        <w:t xml:space="preserve"> </w:t>
      </w:r>
      <w:r>
        <w:rPr/>
        <w:t>同时应当检查分支机构对相关制度的执行情</w:t>
      </w:r>
    </w:p>
    <w:p>
      <w:pPr>
        <w:pStyle w:val="BodyText"/>
        <w:ind w:left="18"/>
        <w:spacing w:before="1" w:line="181" w:lineRule="auto"/>
        <w:rPr/>
      </w:pPr>
      <w:r>
        <w:rPr>
          <w:spacing w:val="1"/>
        </w:rPr>
        <w:t>况</w:t>
      </w:r>
      <w:r>
        <w:rPr>
          <w:spacing w:val="-33"/>
        </w:rPr>
        <w:t xml:space="preserve"> </w:t>
      </w:r>
      <w:r>
        <w:rPr>
          <w:spacing w:val="1"/>
        </w:rPr>
        <w:t>，对违反规定的行为应当严肃查处</w:t>
      </w:r>
      <w:r>
        <w:rPr>
          <w:spacing w:val="-30"/>
        </w:rPr>
        <w:t xml:space="preserve"> </w:t>
      </w:r>
      <w:r>
        <w:rPr>
          <w:spacing w:val="1"/>
        </w:rPr>
        <w:t>。商业银行每</w:t>
      </w:r>
      <w:r>
        <w:rPr/>
        <w:t>年应至少向银行业监督管理机构提交</w:t>
      </w:r>
      <w:r>
        <w:rPr>
          <w:spacing w:val="-18"/>
        </w:rPr>
        <w:t>（</w:t>
      </w:r>
      <w:r>
        <w:rPr>
          <w:spacing w:val="6"/>
        </w:rPr>
        <w:t xml:space="preserve">       </w:t>
      </w:r>
      <w:r>
        <w:rPr>
          <w:spacing w:val="-18"/>
        </w:rPr>
        <w:t>）</w:t>
      </w:r>
      <w:r>
        <w:rPr/>
        <w:t>次相关风险评估报告。</w:t>
      </w:r>
    </w:p>
    <w:p>
      <w:pPr>
        <w:pStyle w:val="BodyText"/>
        <w:ind w:left="1" w:right="7711"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A</w:t>
      </w:r>
      <w:r>
        <w:rPr>
          <w:sz w:val="20"/>
          <w:szCs w:val="20"/>
          <w:i/>
          <w:iCs/>
          <w:spacing w:val="-14"/>
        </w:rPr>
        <w:t>．</w:t>
      </w:r>
      <w:r>
        <w:rPr>
          <w:rFonts w:ascii="Times New Roman" w:hAnsi="Times New Roman" w:eastAsia="Times New Roman" w:cs="Times New Roman"/>
          <w:sz w:val="22"/>
          <w:szCs w:val="22"/>
          <w:spacing w:val="-14"/>
        </w:rPr>
        <w:t>2</w:t>
      </w:r>
      <w:r>
        <w:rPr>
          <w:sz w:val="20"/>
          <w:szCs w:val="20"/>
          <w:i/>
          <w:iCs/>
          <w:spacing w:val="-14"/>
        </w:rPr>
        <w:t>；</w:t>
      </w:r>
      <w:r>
        <w:rPr>
          <w:rFonts w:ascii="Times New Roman" w:hAnsi="Times New Roman" w:eastAsia="Times New Roman" w:cs="Times New Roman"/>
          <w:sz w:val="22"/>
          <w:szCs w:val="22"/>
          <w:spacing w:val="-14"/>
        </w:rPr>
        <w:t>2B</w:t>
      </w:r>
      <w:r>
        <w:rPr>
          <w:sz w:val="20"/>
          <w:szCs w:val="20"/>
          <w:i/>
          <w:iCs/>
          <w:spacing w:val="-14"/>
        </w:rPr>
        <w:t>．</w:t>
      </w:r>
      <w:r>
        <w:rPr>
          <w:rFonts w:ascii="Times New Roman" w:hAnsi="Times New Roman" w:eastAsia="Times New Roman" w:cs="Times New Roman"/>
          <w:sz w:val="22"/>
          <w:szCs w:val="22"/>
          <w:spacing w:val="-14"/>
        </w:rPr>
        <w:t>1</w:t>
      </w:r>
      <w:r>
        <w:rPr>
          <w:sz w:val="20"/>
          <w:szCs w:val="20"/>
          <w:i/>
          <w:iCs/>
          <w:spacing w:val="-14"/>
        </w:rPr>
        <w:t>；</w:t>
      </w:r>
      <w:r>
        <w:rPr>
          <w:rFonts w:ascii="Times New Roman" w:hAnsi="Times New Roman" w:eastAsia="Times New Roman" w:cs="Times New Roman"/>
          <w:sz w:val="22"/>
          <w:szCs w:val="22"/>
          <w:spacing w:val="-14"/>
        </w:rPr>
        <w:t>2C</w:t>
      </w:r>
      <w:r>
        <w:rPr>
          <w:sz w:val="20"/>
          <w:szCs w:val="20"/>
          <w:i/>
          <w:iCs/>
          <w:spacing w:val="-14"/>
        </w:rPr>
        <w:t>．</w:t>
      </w:r>
      <w:r>
        <w:rPr>
          <w:rFonts w:ascii="Times New Roman" w:hAnsi="Times New Roman" w:eastAsia="Times New Roman" w:cs="Times New Roman"/>
          <w:sz w:val="22"/>
          <w:szCs w:val="22"/>
          <w:spacing w:val="-14"/>
        </w:rPr>
        <w:t>1</w:t>
      </w:r>
      <w:r>
        <w:rPr>
          <w:sz w:val="20"/>
          <w:szCs w:val="20"/>
          <w:i/>
          <w:iCs/>
          <w:spacing w:val="-14"/>
        </w:rPr>
        <w:t>；</w:t>
      </w:r>
      <w:r>
        <w:rPr>
          <w:rFonts w:ascii="Times New Roman" w:hAnsi="Times New Roman" w:eastAsia="Times New Roman" w:cs="Times New Roman"/>
          <w:sz w:val="22"/>
          <w:szCs w:val="22"/>
          <w:spacing w:val="-14"/>
        </w:rPr>
        <w:t>1D</w:t>
      </w:r>
      <w:r>
        <w:rPr>
          <w:sz w:val="20"/>
          <w:szCs w:val="20"/>
          <w:i/>
          <w:iCs/>
          <w:spacing w:val="-14"/>
        </w:rPr>
        <w:t>．</w:t>
      </w:r>
      <w:r>
        <w:rPr>
          <w:rFonts w:ascii="Times New Roman" w:hAnsi="Times New Roman" w:eastAsia="Times New Roman" w:cs="Times New Roman"/>
          <w:sz w:val="22"/>
          <w:szCs w:val="22"/>
          <w:spacing w:val="-14"/>
        </w:rPr>
        <w:t>2</w:t>
      </w:r>
      <w:r>
        <w:rPr>
          <w:sz w:val="20"/>
          <w:szCs w:val="20"/>
          <w:i/>
          <w:iCs/>
          <w:spacing w:val="-14"/>
        </w:rPr>
        <w:t>；</w:t>
      </w: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rPr>
        <w:t xml:space="preserve">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6" w:right="96" w:hanging="15"/>
        <w:spacing w:before="3" w:line="181" w:lineRule="auto"/>
        <w:rPr/>
      </w:pPr>
      <w:r>
        <w:rPr>
          <w:spacing w:val="1"/>
        </w:rPr>
        <w:t>【解析】</w:t>
      </w:r>
      <w:r>
        <w:rPr>
          <w:spacing w:val="-12"/>
        </w:rPr>
        <w:t xml:space="preserve"> </w:t>
      </w:r>
      <w:r>
        <w:rPr>
          <w:spacing w:val="1"/>
        </w:rPr>
        <w:t>商业银行总行每年应对全行集团客户授信风险作一次综合评估</w:t>
      </w:r>
      <w:r>
        <w:rPr>
          <w:spacing w:val="-33"/>
        </w:rPr>
        <w:t xml:space="preserve"> </w:t>
      </w:r>
      <w:r>
        <w:rPr>
          <w:spacing w:val="1"/>
        </w:rPr>
        <w:t>，</w:t>
      </w:r>
      <w:r>
        <w:rPr>
          <w:spacing w:val="-27"/>
        </w:rPr>
        <w:t xml:space="preserve"> </w:t>
      </w:r>
      <w:r>
        <w:rPr>
          <w:spacing w:val="1"/>
        </w:rPr>
        <w:t>同时应当检查分支机构对相关</w:t>
      </w:r>
      <w:r>
        <w:rPr/>
        <w:t>制度的执行情况</w:t>
      </w:r>
      <w:r>
        <w:rPr>
          <w:spacing w:val="-33"/>
        </w:rPr>
        <w:t xml:space="preserve"> </w:t>
      </w:r>
      <w:r>
        <w:rPr/>
        <w:t>，对 </w:t>
      </w:r>
      <w:r>
        <w:rPr>
          <w:spacing w:val="1"/>
        </w:rPr>
        <w:t>违反规定的行为应当严肃查处</w:t>
      </w:r>
      <w:r>
        <w:rPr>
          <w:spacing w:val="-20"/>
        </w:rPr>
        <w:t xml:space="preserve"> </w:t>
      </w:r>
      <w:r>
        <w:rPr>
          <w:spacing w:val="1"/>
        </w:rPr>
        <w:t>。商业银行每年应至少向银行业监督管理机构提交一次相关风险评估报告。</w:t>
      </w:r>
    </w:p>
    <w:p>
      <w:pPr>
        <w:pStyle w:val="BodyText"/>
        <w:ind w:left="11"/>
        <w:spacing w:before="179" w:line="186" w:lineRule="auto"/>
        <w:rPr/>
      </w:pPr>
      <w:r>
        <w:rPr>
          <w:spacing w:val="10"/>
        </w:rPr>
        <w:t>考点</w:t>
      </w:r>
      <w:r>
        <w:rPr>
          <w:rFonts w:ascii="Times New Roman" w:hAnsi="Times New Roman" w:eastAsia="Times New Roman" w:cs="Times New Roman"/>
          <w:sz w:val="22"/>
          <w:szCs w:val="22"/>
          <w:b/>
          <w:bCs/>
          <w:spacing w:val="10"/>
        </w:rPr>
        <w:t>2</w:t>
      </w:r>
      <w:r>
        <w:rPr>
          <w:spacing w:val="10"/>
        </w:rPr>
        <w:t>：</w:t>
      </w:r>
      <w:r>
        <w:rPr>
          <w:spacing w:val="-22"/>
        </w:rPr>
        <w:t xml:space="preserve"> </w:t>
      </w:r>
      <w:r>
        <w:rPr>
          <w:spacing w:val="10"/>
        </w:rPr>
        <w:t>集团客户的定义★</w:t>
      </w:r>
    </w:p>
    <w:p>
      <w:pPr>
        <w:pStyle w:val="BodyText"/>
        <w:ind w:left="20"/>
        <w:spacing w:before="131" w:line="337" w:lineRule="exact"/>
        <w:rPr/>
      </w:pPr>
      <w:r>
        <w:rPr>
          <w:rFonts w:ascii="Times New Roman" w:hAnsi="Times New Roman" w:eastAsia="Times New Roman" w:cs="Times New Roman"/>
          <w:sz w:val="22"/>
          <w:szCs w:val="22"/>
          <w:spacing w:val="1"/>
          <w:position w:val="3"/>
        </w:rPr>
        <w:t>• </w:t>
      </w:r>
      <w:r>
        <w:rPr>
          <w:spacing w:val="1"/>
          <w:position w:val="3"/>
        </w:rPr>
        <w:t>集团客户是指具有以下特征的商业银行的企事业法人授信对象：</w:t>
      </w:r>
    </w:p>
    <w:p>
      <w:pPr>
        <w:pStyle w:val="BodyText"/>
        <w:ind w:left="117"/>
        <w:spacing w:before="95" w:line="244" w:lineRule="auto"/>
        <w:rPr/>
      </w:pP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23"/>
        </w:rPr>
        <w:t xml:space="preserve"> </w:t>
      </w:r>
      <w:r>
        <w:rPr>
          <w:spacing w:val="2"/>
        </w:rPr>
        <w:t>（一）在股权上或者经营决策上</w:t>
      </w:r>
      <w:r>
        <w:rPr>
          <w:u w:val="single" w:color="auto"/>
          <w:spacing w:val="2"/>
        </w:rPr>
        <w:t>直接或间接控制其他</w:t>
      </w:r>
      <w:r>
        <w:rPr>
          <w:spacing w:val="2"/>
        </w:rPr>
        <w:t>企事业法人或</w:t>
      </w:r>
      <w:r>
        <w:rPr>
          <w:u w:val="single" w:color="auto"/>
          <w:spacing w:val="2"/>
        </w:rPr>
        <w:t>被</w:t>
      </w:r>
      <w:r>
        <w:rPr>
          <w:spacing w:val="2"/>
        </w:rPr>
        <w:t>其他企事业法人</w:t>
      </w:r>
      <w:r>
        <w:rPr>
          <w:u w:val="single" w:color="auto"/>
          <w:spacing w:val="2"/>
        </w:rPr>
        <w:t>控</w:t>
      </w:r>
      <w:r>
        <w:rPr>
          <w:u w:val="single" w:color="auto"/>
          <w:spacing w:val="1"/>
        </w:rPr>
        <w:t>制</w:t>
      </w:r>
      <w:r>
        <w:rPr>
          <w:spacing w:val="1"/>
        </w:rPr>
        <w:t>的</w:t>
      </w:r>
    </w:p>
    <w:p>
      <w:pPr>
        <w:pStyle w:val="BodyText"/>
        <w:ind w:left="117"/>
        <w:spacing w:before="101" w:line="244"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7"/>
        </w:rPr>
        <w:t xml:space="preserve"> </w:t>
      </w:r>
      <w:r>
        <w:rPr>
          <w:spacing w:val="1"/>
        </w:rPr>
        <w:t>（二）</w:t>
      </w:r>
      <w:r>
        <w:rPr>
          <w:u w:val="single" w:color="auto"/>
          <w:spacing w:val="1"/>
        </w:rPr>
        <w:t>共同被</w:t>
      </w:r>
      <w:r>
        <w:rPr>
          <w:spacing w:val="1"/>
        </w:rPr>
        <w:t>第三方企事业法人所</w:t>
      </w:r>
      <w:r>
        <w:rPr>
          <w:u w:val="single" w:color="auto"/>
          <w:spacing w:val="1"/>
        </w:rPr>
        <w:t>控制</w:t>
      </w:r>
      <w:r>
        <w:rPr>
          <w:spacing w:val="1"/>
        </w:rPr>
        <w:t>的</w:t>
      </w:r>
    </w:p>
    <w:p>
      <w:pPr>
        <w:pStyle w:val="BodyText"/>
        <w:ind w:left="18" w:right="120" w:firstLine="98"/>
        <w:spacing w:before="100" w:line="200" w:lineRule="auto"/>
        <w:rPr/>
      </w:pP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24"/>
        </w:rPr>
        <w:t xml:space="preserve"> </w:t>
      </w:r>
      <w:r>
        <w:rPr>
          <w:spacing w:val="2"/>
        </w:rPr>
        <w:t>（三）主要投资者个人、关键管理人员或与其近亲属（包括三代以内直系亲属关系和二代以内旁系亲属关系）共同直接控</w:t>
      </w:r>
      <w:r>
        <w:rPr/>
        <w:t xml:space="preserve"> </w:t>
      </w:r>
      <w:r>
        <w:rPr/>
        <w:t>制或间接控制的</w:t>
      </w:r>
    </w:p>
    <w:p>
      <w:pPr>
        <w:pStyle w:val="BodyText"/>
        <w:ind w:left="15" w:right="696" w:firstLine="101"/>
        <w:spacing w:before="130" w:line="270" w:lineRule="auto"/>
        <w:rPr/>
      </w:pP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0"/>
        </w:rPr>
        <w:t xml:space="preserve"> </w:t>
      </w:r>
      <w:r>
        <w:rPr>
          <w:spacing w:val="1"/>
        </w:rPr>
        <w:t>（四）存在其他关联关系</w:t>
      </w:r>
      <w:r>
        <w:rPr>
          <w:spacing w:val="-33"/>
        </w:rPr>
        <w:t xml:space="preserve"> </w:t>
      </w:r>
      <w:r>
        <w:rPr>
          <w:spacing w:val="1"/>
        </w:rPr>
        <w:t>，可能不按公允价格原则转移资产和利润</w:t>
      </w:r>
      <w:r>
        <w:rPr>
          <w:spacing w:val="-33"/>
        </w:rPr>
        <w:t xml:space="preserve"> </w:t>
      </w:r>
      <w:r>
        <w:rPr>
          <w:spacing w:val="1"/>
        </w:rPr>
        <w:t>，商业银行认为应当视同集团客户进行授信管理</w:t>
      </w:r>
      <w:r>
        <w:rPr/>
        <w:t xml:space="preserve"> </w:t>
      </w:r>
      <w:r>
        <w:rPr>
          <w:spacing w:val="7"/>
        </w:rPr>
        <w:t>实战演练</w:t>
      </w:r>
    </w:p>
    <w:p>
      <w:pPr>
        <w:pStyle w:val="BodyText"/>
        <w:ind w:left="26"/>
        <w:spacing w:before="178" w:line="182" w:lineRule="auto"/>
        <w:rPr/>
      </w:pPr>
      <w:r>
        <w:rPr>
          <w:u w:val="single" w:color="auto"/>
          <w:spacing w:val="1"/>
        </w:rPr>
        <w:t>多选：</w:t>
      </w:r>
      <w:r>
        <w:rPr>
          <w:spacing w:val="1"/>
        </w:rPr>
        <w:t>根据《商业银行集团客户授信业务风险管理指引》规定</w:t>
      </w:r>
      <w:r>
        <w:rPr>
          <w:spacing w:val="-32"/>
        </w:rPr>
        <w:t xml:space="preserve"> </w:t>
      </w:r>
      <w:r>
        <w:rPr>
          <w:spacing w:val="1"/>
        </w:rPr>
        <w:t>，下列选项中符合集团客户定义的有</w:t>
      </w:r>
      <w:r>
        <w:rPr>
          <w:spacing w:val="-11"/>
        </w:rPr>
        <w:t>（</w:t>
      </w:r>
      <w:r>
        <w:rPr>
          <w:spacing w:val="6"/>
        </w:rPr>
        <w:t xml:space="preserve">       </w:t>
      </w:r>
      <w:r>
        <w:rPr>
          <w:spacing w:val="-11"/>
        </w:rPr>
        <w:t>）</w:t>
      </w:r>
      <w:r>
        <w:rPr>
          <w:spacing w:val="1"/>
        </w:rPr>
        <w:t>。</w:t>
      </w:r>
    </w:p>
    <w:p>
      <w:pPr>
        <w:pStyle w:val="BodyText"/>
        <w:ind w:left="11"/>
        <w:spacing w:before="187" w:line="186" w:lineRule="auto"/>
        <w:rPr/>
      </w:pPr>
      <w:r>
        <w:rPr>
          <w:rFonts w:ascii="Times New Roman" w:hAnsi="Times New Roman" w:eastAsia="Times New Roman" w:cs="Times New Roman"/>
          <w:sz w:val="22"/>
          <w:szCs w:val="22"/>
          <w:spacing w:val="-3"/>
        </w:rPr>
        <w:t>A</w:t>
      </w:r>
      <w:r>
        <w:rPr>
          <w:spacing w:val="-3"/>
        </w:rPr>
        <w:t>．</w:t>
      </w:r>
      <w:r>
        <w:rPr>
          <w:spacing w:val="-13"/>
        </w:rPr>
        <w:t xml:space="preserve"> </w:t>
      </w:r>
      <w:r>
        <w:rPr>
          <w:spacing w:val="-3"/>
        </w:rPr>
        <w:t>同被第三方企事业法人控制的</w:t>
      </w:r>
    </w:p>
    <w:p>
      <w:pPr>
        <w:pStyle w:val="BodyText"/>
        <w:ind w:left="16" w:right="24" w:hanging="3"/>
        <w:spacing w:before="178" w:line="182" w:lineRule="auto"/>
        <w:rPr/>
      </w:pPr>
      <w:r>
        <w:rPr>
          <w:rFonts w:ascii="Times New Roman" w:hAnsi="Times New Roman" w:eastAsia="Times New Roman" w:cs="Times New Roman"/>
          <w:sz w:val="22"/>
          <w:szCs w:val="22"/>
          <w:spacing w:val="1"/>
        </w:rPr>
        <w:t>B</w:t>
      </w:r>
      <w:r>
        <w:rPr>
          <w:spacing w:val="1"/>
        </w:rPr>
        <w:t>．主要投资者个人、关键管理人员或与其近亲属</w:t>
      </w:r>
      <w:r>
        <w:rPr>
          <w:spacing w:val="-33"/>
        </w:rPr>
        <w:t xml:space="preserve"> </w:t>
      </w:r>
      <w:r>
        <w:rPr>
          <w:spacing w:val="1"/>
        </w:rPr>
        <w:t>，包括三代以内直系亲</w:t>
      </w:r>
      <w:r>
        <w:rPr/>
        <w:t>属关系和二代以内旁系亲属关系</w:t>
      </w:r>
      <w:r>
        <w:rPr>
          <w:spacing w:val="-33"/>
        </w:rPr>
        <w:t xml:space="preserve"> </w:t>
      </w:r>
      <w:r>
        <w:rPr/>
        <w:t>，共同直接控制或间 </w:t>
      </w:r>
      <w:r>
        <w:rPr/>
        <w:t>接控制的</w:t>
      </w:r>
    </w:p>
    <w:p>
      <w:pPr>
        <w:pStyle w:val="BodyText"/>
        <w:ind w:left="17"/>
        <w:spacing w:before="178" w:line="187" w:lineRule="auto"/>
        <w:rPr/>
      </w:pPr>
      <w:r>
        <w:rPr>
          <w:rFonts w:ascii="Times New Roman" w:hAnsi="Times New Roman" w:eastAsia="Times New Roman" w:cs="Times New Roman"/>
          <w:sz w:val="22"/>
          <w:szCs w:val="22"/>
          <w:spacing w:val="-1"/>
        </w:rPr>
        <w:t>C</w:t>
      </w:r>
      <w:r>
        <w:rPr>
          <w:spacing w:val="-1"/>
        </w:rPr>
        <w:t>．供应链上下游企业</w:t>
      </w:r>
    </w:p>
    <w:p>
      <w:pPr>
        <w:pStyle w:val="BodyText"/>
        <w:ind w:left="13"/>
        <w:spacing w:before="179" w:line="186" w:lineRule="auto"/>
        <w:rPr/>
      </w:pPr>
      <w:r>
        <w:rPr>
          <w:rFonts w:ascii="Times New Roman" w:hAnsi="Times New Roman" w:eastAsia="Times New Roman" w:cs="Times New Roman"/>
          <w:sz w:val="22"/>
          <w:szCs w:val="22"/>
          <w:spacing w:val="1"/>
        </w:rPr>
        <w:t>D</w:t>
      </w:r>
      <w:r>
        <w:rPr>
          <w:spacing w:val="1"/>
        </w:rPr>
        <w:t>．在股权上或经营决策上直接或间接控制其他企事业法人或被其他企事业法人控制的</w:t>
      </w:r>
    </w:p>
    <w:p>
      <w:pPr>
        <w:pStyle w:val="BodyText"/>
        <w:ind w:left="1" w:right="1380" w:firstLine="12"/>
        <w:spacing w:before="179"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w:t>
      </w:r>
      <w:r>
        <w:rPr/>
        <w:t>．存在其他关联关系</w:t>
      </w:r>
      <w:r>
        <w:rPr>
          <w:spacing w:val="-16"/>
        </w:rPr>
        <w:t xml:space="preserve"> </w:t>
      </w:r>
      <w:r>
        <w:rPr/>
        <w:t>，可能不按公允价格原则转移资产和利润</w:t>
      </w:r>
      <w:r>
        <w:rPr>
          <w:spacing w:val="-33"/>
        </w:rPr>
        <w:t xml:space="preserve"> </w:t>
      </w:r>
      <w:r>
        <w:rPr/>
        <w:t>，商业银行认为应视集团客户进行授信管理的 </w:t>
      </w:r>
      <w:r>
        <w:rPr>
          <w:spacing w:val="-5"/>
        </w:rPr>
        <w:t>【答案】</w:t>
      </w:r>
      <w:r>
        <w:rPr>
          <w:spacing w:val="-18"/>
        </w:rPr>
        <w:t xml:space="preserve"> </w:t>
      </w:r>
      <w:r>
        <w:rPr>
          <w:rFonts w:ascii="Times New Roman" w:hAnsi="Times New Roman" w:eastAsia="Times New Roman" w:cs="Times New Roman"/>
          <w:sz w:val="22"/>
          <w:szCs w:val="22"/>
          <w:spacing w:val="-5"/>
        </w:rPr>
        <w:t>ABDE</w:t>
      </w:r>
    </w:p>
    <w:p>
      <w:pPr>
        <w:pStyle w:val="BodyText"/>
        <w:ind w:left="16" w:hanging="15"/>
        <w:spacing w:before="5" w:line="187" w:lineRule="auto"/>
        <w:jc w:val="both"/>
        <w:rPr/>
      </w:pPr>
      <w:r>
        <w:rPr>
          <w:spacing w:val="2"/>
        </w:rPr>
        <w:t>【解析】</w:t>
      </w:r>
      <w:r>
        <w:rPr>
          <w:spacing w:val="-16"/>
        </w:rPr>
        <w:t xml:space="preserve"> </w:t>
      </w:r>
      <w:r>
        <w:rPr>
          <w:spacing w:val="2"/>
        </w:rPr>
        <w:t>集团客户是指具有以下特征的商业银行的企事业法</w:t>
      </w:r>
      <w:r>
        <w:rPr>
          <w:spacing w:val="1"/>
        </w:rPr>
        <w:t>人授信对象：</w:t>
      </w:r>
      <w:r>
        <w:rPr>
          <w:rFonts w:ascii="Times New Roman" w:hAnsi="Times New Roman" w:eastAsia="Times New Roman" w:cs="Times New Roman"/>
          <w:sz w:val="22"/>
          <w:szCs w:val="22"/>
          <w:spacing w:val="1"/>
        </w:rPr>
        <w:t>(1)</w:t>
      </w:r>
      <w:r>
        <w:rPr>
          <w:spacing w:val="1"/>
        </w:rPr>
        <w:t>在股权上或者经营决策上直接或间接控制其他企</w:t>
      </w:r>
      <w:r>
        <w:rPr/>
        <w:t xml:space="preserve">  </w:t>
      </w:r>
      <w:r>
        <w:rPr/>
        <w:t>事业法人或被其他企事业法人控制的；</w:t>
      </w:r>
      <w:r>
        <w:rPr>
          <w:rFonts w:ascii="Times New Roman" w:hAnsi="Times New Roman" w:eastAsia="Times New Roman" w:cs="Times New Roman"/>
          <w:sz w:val="22"/>
          <w:szCs w:val="22"/>
        </w:rPr>
        <w:t>(2)</w:t>
      </w:r>
      <w:r>
        <w:rPr/>
        <w:t>共同被第三方企事业法人所控制的；</w:t>
      </w:r>
      <w:r>
        <w:rPr>
          <w:rFonts w:ascii="Times New Roman" w:hAnsi="Times New Roman" w:eastAsia="Times New Roman" w:cs="Times New Roman"/>
          <w:sz w:val="22"/>
          <w:szCs w:val="22"/>
        </w:rPr>
        <w:t>(3)</w:t>
      </w:r>
      <w:r>
        <w:rPr/>
        <w:t>主要投资者个人、关键管理人员或与其关系</w:t>
      </w:r>
      <w:r>
        <w:rPr>
          <w:spacing w:val="5"/>
        </w:rPr>
        <w:t xml:space="preserve">   </w:t>
      </w:r>
      <w:r>
        <w:rPr/>
        <w:t>密切的家庭成员</w:t>
      </w:r>
      <w:r>
        <w:rPr>
          <w:rFonts w:ascii="Times New Roman" w:hAnsi="Times New Roman" w:eastAsia="Times New Roman" w:cs="Times New Roman"/>
          <w:sz w:val="22"/>
          <w:szCs w:val="22"/>
        </w:rPr>
        <w:t>(</w:t>
      </w:r>
      <w:r>
        <w:rPr/>
        <w:t>包括三代以内直系亲属关系和两代以内旁系亲属关系</w:t>
      </w:r>
      <w:r>
        <w:rPr>
          <w:rFonts w:ascii="Times New Roman" w:hAnsi="Times New Roman" w:eastAsia="Times New Roman" w:cs="Times New Roman"/>
          <w:sz w:val="22"/>
          <w:szCs w:val="22"/>
        </w:rPr>
        <w:t>)</w:t>
      </w:r>
      <w:r>
        <w:rPr/>
        <w:t>共同直接控制或间接控制的；</w:t>
      </w:r>
      <w:r>
        <w:rPr>
          <w:rFonts w:ascii="Times New Roman" w:hAnsi="Times New Roman" w:eastAsia="Times New Roman" w:cs="Times New Roman"/>
          <w:sz w:val="22"/>
          <w:szCs w:val="22"/>
        </w:rPr>
        <w:t>(4)</w:t>
      </w:r>
      <w:r>
        <w:rPr/>
        <w:t>存在其他关联关系</w:t>
      </w:r>
      <w:r>
        <w:rPr>
          <w:spacing w:val="-24"/>
        </w:rPr>
        <w:t xml:space="preserve"> </w:t>
      </w:r>
      <w:r>
        <w:rPr/>
        <w:t>，可 </w:t>
      </w:r>
      <w:r>
        <w:rPr>
          <w:spacing w:val="1"/>
        </w:rPr>
        <w:t>能不按公允价格原则转移资产和利润</w:t>
      </w:r>
      <w:r>
        <w:rPr>
          <w:spacing w:val="-28"/>
        </w:rPr>
        <w:t xml:space="preserve"> </w:t>
      </w:r>
      <w:r>
        <w:rPr>
          <w:spacing w:val="1"/>
        </w:rPr>
        <w:t>，商业银行认为应视同集团客户进行授信管理的。</w:t>
      </w:r>
    </w:p>
    <w:p>
      <w:pPr>
        <w:pStyle w:val="BodyText"/>
        <w:ind w:left="11"/>
        <w:spacing w:before="180" w:line="186" w:lineRule="auto"/>
        <w:rPr/>
      </w:pPr>
      <w:r>
        <w:rPr>
          <w:spacing w:val="13"/>
        </w:rPr>
        <w:t>考点</w:t>
      </w:r>
      <w:r>
        <w:rPr>
          <w:rFonts w:ascii="Times New Roman" w:hAnsi="Times New Roman" w:eastAsia="Times New Roman" w:cs="Times New Roman"/>
          <w:sz w:val="22"/>
          <w:szCs w:val="22"/>
          <w:b/>
          <w:bCs/>
          <w:spacing w:val="13"/>
        </w:rPr>
        <w:t>3</w:t>
      </w:r>
      <w:r>
        <w:rPr>
          <w:spacing w:val="13"/>
        </w:rPr>
        <w:t>：</w:t>
      </w:r>
      <w:r>
        <w:rPr>
          <w:spacing w:val="-20"/>
        </w:rPr>
        <w:t xml:space="preserve"> </w:t>
      </w:r>
      <w:r>
        <w:rPr>
          <w:spacing w:val="13"/>
        </w:rPr>
        <w:t>授信额度的决定因素★★</w:t>
      </w:r>
    </w:p>
    <w:p>
      <w:pPr>
        <w:pStyle w:val="BodyText"/>
        <w:ind w:left="20"/>
        <w:spacing w:before="131" w:line="249" w:lineRule="auto"/>
        <w:rPr/>
      </w:pPr>
      <w:r>
        <w:rPr>
          <w:rFonts w:ascii="Times New Roman" w:hAnsi="Times New Roman" w:eastAsia="Times New Roman" w:cs="Times New Roman"/>
          <w:sz w:val="22"/>
          <w:szCs w:val="22"/>
        </w:rPr>
        <w:t>• </w:t>
      </w:r>
      <w:r>
        <w:rPr/>
        <w:t>借款企业的</w:t>
      </w:r>
      <w:r>
        <w:rPr>
          <w:u w:val="single" w:color="auto"/>
        </w:rPr>
        <w:t>需求</w:t>
      </w:r>
      <w:r>
        <w:rPr/>
        <w:t>及</w:t>
      </w:r>
      <w:r>
        <w:rPr>
          <w:u w:val="single" w:color="auto"/>
        </w:rPr>
        <w:t>借款原因</w:t>
      </w:r>
    </w:p>
    <w:p>
      <w:pPr>
        <w:pStyle w:val="BodyText"/>
        <w:ind w:left="20"/>
        <w:spacing w:before="94" w:line="248" w:lineRule="auto"/>
        <w:rPr/>
      </w:pPr>
      <w:r>
        <w:rPr>
          <w:rFonts w:ascii="Times New Roman" w:hAnsi="Times New Roman" w:eastAsia="Times New Roman" w:cs="Times New Roman"/>
          <w:sz w:val="22"/>
          <w:szCs w:val="22"/>
        </w:rPr>
        <w:t>• </w:t>
      </w:r>
      <w:r>
        <w:rPr/>
        <w:t>客户的</w:t>
      </w:r>
      <w:r>
        <w:rPr>
          <w:u w:val="single" w:color="auto"/>
        </w:rPr>
        <w:t>还款能力</w:t>
      </w:r>
      <w:r>
        <w:rPr/>
        <w:t>：主要取决于客户的</w:t>
      </w:r>
      <w:r>
        <w:rPr>
          <w:u w:val="single" w:color="auto"/>
        </w:rPr>
        <w:t>现金流</w:t>
      </w:r>
    </w:p>
    <w:p>
      <w:pPr>
        <w:pStyle w:val="BodyText"/>
        <w:ind w:left="20"/>
        <w:spacing w:before="95" w:line="249" w:lineRule="auto"/>
        <w:rPr/>
      </w:pPr>
      <w:r>
        <w:rPr>
          <w:rFonts w:ascii="Times New Roman" w:hAnsi="Times New Roman" w:eastAsia="Times New Roman" w:cs="Times New Roman"/>
          <w:sz w:val="22"/>
          <w:szCs w:val="22"/>
          <w:spacing w:val="-1"/>
        </w:rPr>
        <w:t>• </w:t>
      </w:r>
      <w:r>
        <w:rPr>
          <w:spacing w:val="-1"/>
        </w:rPr>
        <w:t>法律、监督</w:t>
      </w:r>
      <w:r>
        <w:rPr>
          <w:u w:val="single" w:color="auto"/>
          <w:spacing w:val="-1"/>
        </w:rPr>
        <w:t>条款</w:t>
      </w:r>
      <w:r>
        <w:rPr>
          <w:spacing w:val="-1"/>
        </w:rPr>
        <w:t>等的限制</w:t>
      </w:r>
    </w:p>
    <w:p>
      <w:pPr>
        <w:pStyle w:val="BodyText"/>
        <w:ind w:left="20"/>
        <w:spacing w:before="94" w:line="248" w:lineRule="auto"/>
        <w:rPr/>
      </w:pPr>
      <w:r>
        <w:rPr>
          <w:rFonts w:ascii="Times New Roman" w:hAnsi="Times New Roman" w:eastAsia="Times New Roman" w:cs="Times New Roman"/>
          <w:sz w:val="22"/>
          <w:szCs w:val="22"/>
          <w:spacing w:val="1"/>
        </w:rPr>
        <w:t>• </w:t>
      </w:r>
      <w:r>
        <w:rPr>
          <w:spacing w:val="1"/>
        </w:rPr>
        <w:t>贷款组合</w:t>
      </w:r>
      <w:r>
        <w:rPr>
          <w:u w:val="single" w:color="auto"/>
          <w:spacing w:val="1"/>
        </w:rPr>
        <w:t>管理</w:t>
      </w:r>
      <w:r>
        <w:rPr>
          <w:spacing w:val="1"/>
        </w:rPr>
        <w:t>的限制：如区域、行业、客户类型等贷款组合授信限额</w:t>
      </w:r>
    </w:p>
    <w:p>
      <w:pPr>
        <w:pStyle w:val="BodyText"/>
        <w:ind w:left="20"/>
        <w:spacing w:before="96" w:line="248" w:lineRule="auto"/>
        <w:rPr/>
      </w:pPr>
      <w:r>
        <w:rPr>
          <w:rFonts w:ascii="Times New Roman" w:hAnsi="Times New Roman" w:eastAsia="Times New Roman" w:cs="Times New Roman"/>
          <w:sz w:val="22"/>
          <w:szCs w:val="22"/>
          <w:spacing w:val="1"/>
        </w:rPr>
        <w:t>• </w:t>
      </w:r>
      <w:r>
        <w:rPr>
          <w:u w:val="single" w:color="auto"/>
          <w:spacing w:val="1"/>
        </w:rPr>
        <w:t>银行的</w:t>
      </w:r>
      <w:r>
        <w:rPr>
          <w:spacing w:val="1"/>
        </w:rPr>
        <w:t>客户</w:t>
      </w:r>
      <w:r>
        <w:rPr>
          <w:u w:val="single" w:color="auto"/>
          <w:spacing w:val="1"/>
        </w:rPr>
        <w:t>政策：</w:t>
      </w:r>
      <w:r>
        <w:rPr>
          <w:spacing w:val="1"/>
        </w:rPr>
        <w:t>取决于银行的风险偏好和银行对未来市场的判断</w:t>
      </w:r>
    </w:p>
    <w:p>
      <w:pPr>
        <w:spacing w:line="248" w:lineRule="auto"/>
        <w:sectPr>
          <w:pgSz w:w="11900" w:h="16840"/>
          <w:pgMar w:top="750" w:right="719" w:bottom="0" w:left="656" w:header="0" w:footer="0" w:gutter="0"/>
        </w:sectPr>
        <w:rPr/>
      </w:pPr>
    </w:p>
    <w:p>
      <w:pPr>
        <w:pStyle w:val="BodyText"/>
        <w:ind w:left="14" w:right="456" w:firstLine="5"/>
        <w:spacing w:before="56" w:line="302" w:lineRule="auto"/>
        <w:rPr/>
      </w:pPr>
      <w:r>
        <w:rPr>
          <w:rFonts w:ascii="Times New Roman" w:hAnsi="Times New Roman" w:eastAsia="Times New Roman" w:cs="Times New Roman"/>
          <w:sz w:val="22"/>
          <w:szCs w:val="22"/>
        </w:rPr>
        <w:t>• </w:t>
      </w:r>
      <w:r>
        <w:rPr>
          <w:u w:val="single" w:color="auto"/>
        </w:rPr>
        <w:t>关系管理</w:t>
      </w:r>
      <w:r>
        <w:rPr/>
        <w:t>因素：客户对银行综合收益贡献度</w:t>
      </w:r>
      <w:r>
        <w:rPr>
          <w:spacing w:val="-30"/>
        </w:rPr>
        <w:t xml:space="preserve"> </w:t>
      </w:r>
      <w:r>
        <w:rPr/>
        <w:t>，</w:t>
      </w:r>
      <w:r>
        <w:rPr>
          <w:spacing w:val="-24"/>
        </w:rPr>
        <w:t xml:space="preserve"> </w:t>
      </w:r>
      <w:r>
        <w:rPr/>
        <w:t>以及相对于其他银行或债权人</w:t>
      </w:r>
      <w:r>
        <w:rPr>
          <w:spacing w:val="-33"/>
        </w:rPr>
        <w:t xml:space="preserve"> </w:t>
      </w:r>
      <w:r>
        <w:rPr/>
        <w:t>，银行愿意提供给借款企业的信贷数额占比 </w:t>
      </w:r>
      <w:r>
        <w:rPr>
          <w:spacing w:val="7"/>
        </w:rPr>
        <w:t>实战演练</w:t>
      </w:r>
    </w:p>
    <w:p>
      <w:pPr>
        <w:pStyle w:val="BodyText"/>
        <w:ind w:left="24"/>
        <w:spacing w:before="91" w:line="182" w:lineRule="auto"/>
        <w:rPr/>
      </w:pPr>
      <w:r>
        <w:rPr>
          <w:u w:val="single" w:color="auto"/>
          <w:spacing w:val="1"/>
        </w:rPr>
        <w:t>多选：</w:t>
      </w:r>
      <w:r>
        <w:rPr>
          <w:spacing w:val="1"/>
        </w:rPr>
        <w:t>商业银行贷款授信额度的决定因素包括</w:t>
      </w:r>
      <w:r>
        <w:rPr>
          <w:spacing w:val="-11"/>
        </w:rPr>
        <w:t>（</w:t>
      </w:r>
      <w:r>
        <w:rPr>
          <w:spacing w:val="6"/>
        </w:rPr>
        <w:t xml:space="preserve">       </w:t>
      </w:r>
      <w:r>
        <w:rPr>
          <w:spacing w:val="-11"/>
        </w:rPr>
        <w:t>）</w:t>
      </w:r>
      <w:r>
        <w:rPr>
          <w:spacing w:val="1"/>
        </w:rPr>
        <w:t>。</w:t>
      </w:r>
    </w:p>
    <w:p>
      <w:pPr>
        <w:pStyle w:val="BodyText"/>
        <w:ind w:left="9"/>
        <w:spacing w:before="184" w:line="186" w:lineRule="auto"/>
        <w:rPr/>
      </w:pPr>
      <w:r>
        <w:rPr>
          <w:rFonts w:ascii="Times New Roman" w:hAnsi="Times New Roman" w:eastAsia="Times New Roman" w:cs="Times New Roman"/>
          <w:sz w:val="22"/>
          <w:szCs w:val="22"/>
          <w:spacing w:val="-1"/>
        </w:rPr>
        <w:t>A</w:t>
      </w:r>
      <w:r>
        <w:rPr>
          <w:spacing w:val="-1"/>
        </w:rPr>
        <w:t>．借款企业对信贷金额的需求</w:t>
      </w:r>
    </w:p>
    <w:p>
      <w:pPr>
        <w:pStyle w:val="BodyText"/>
        <w:ind w:left="11"/>
        <w:spacing w:before="180" w:line="186" w:lineRule="auto"/>
        <w:rPr/>
      </w:pPr>
      <w:r>
        <w:rPr>
          <w:rFonts w:ascii="Times New Roman" w:hAnsi="Times New Roman" w:eastAsia="Times New Roman" w:cs="Times New Roman"/>
          <w:sz w:val="22"/>
          <w:szCs w:val="22"/>
          <w:spacing w:val="-1"/>
        </w:rPr>
        <w:t>B</w:t>
      </w:r>
      <w:r>
        <w:rPr>
          <w:spacing w:val="-1"/>
        </w:rPr>
        <w:t>．银行的内部授权情况</w:t>
      </w:r>
    </w:p>
    <w:p>
      <w:pPr>
        <w:pStyle w:val="BodyText"/>
        <w:ind w:left="15"/>
        <w:spacing w:before="179" w:line="186" w:lineRule="auto"/>
        <w:rPr/>
      </w:pPr>
      <w:r>
        <w:rPr>
          <w:rFonts w:ascii="Times New Roman" w:hAnsi="Times New Roman" w:eastAsia="Times New Roman" w:cs="Times New Roman"/>
          <w:sz w:val="22"/>
          <w:szCs w:val="22"/>
          <w:spacing w:val="-1"/>
        </w:rPr>
        <w:t>C</w:t>
      </w:r>
      <w:r>
        <w:rPr>
          <w:spacing w:val="-1"/>
        </w:rPr>
        <w:t>．有关法律或条款存在的限制</w:t>
      </w:r>
      <w:r>
        <w:rPr>
          <w:spacing w:val="-33"/>
        </w:rPr>
        <w:t xml:space="preserve"> </w:t>
      </w:r>
      <w:r>
        <w:rPr>
          <w:spacing w:val="-1"/>
        </w:rPr>
        <w:t>，</w:t>
      </w:r>
      <w:r>
        <w:rPr>
          <w:spacing w:val="-25"/>
        </w:rPr>
        <w:t xml:space="preserve"> </w:t>
      </w:r>
      <w:r>
        <w:rPr>
          <w:spacing w:val="-1"/>
        </w:rPr>
        <w:t>以及借款合同有关的</w:t>
      </w:r>
      <w:r>
        <w:rPr>
          <w:spacing w:val="-2"/>
        </w:rPr>
        <w:t>限制</w:t>
      </w:r>
    </w:p>
    <w:p>
      <w:pPr>
        <w:pStyle w:val="BodyText"/>
        <w:ind w:left="11"/>
        <w:spacing w:before="179" w:line="186" w:lineRule="auto"/>
        <w:rPr/>
      </w:pPr>
      <w:r>
        <w:rPr>
          <w:rFonts w:ascii="Times New Roman" w:hAnsi="Times New Roman" w:eastAsia="Times New Roman" w:cs="Times New Roman"/>
          <w:sz w:val="22"/>
          <w:szCs w:val="22"/>
        </w:rPr>
        <w:t>D</w:t>
      </w:r>
      <w:r>
        <w:rPr/>
        <w:t>．贷款组合管理的限制和关系管理因素</w:t>
      </w:r>
    </w:p>
    <w:p>
      <w:pPr>
        <w:pStyle w:val="BodyText"/>
        <w:ind w:right="8534" w:firstLine="12"/>
        <w:spacing w:before="180"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w:t>
      </w:r>
      <w:r>
        <w:rPr>
          <w:spacing w:val="-1"/>
        </w:rPr>
        <w:t>．借款企业的还款能力</w:t>
      </w:r>
      <w:r>
        <w:rPr/>
        <w:t xml:space="preserve"> </w:t>
      </w:r>
      <w:r>
        <w:rPr>
          <w:spacing w:val="-3"/>
        </w:rPr>
        <w:t>【答案】</w:t>
      </w:r>
      <w:r>
        <w:rPr>
          <w:spacing w:val="-22"/>
        </w:rPr>
        <w:t xml:space="preserve"> </w:t>
      </w:r>
      <w:r>
        <w:rPr>
          <w:rFonts w:ascii="Times New Roman" w:hAnsi="Times New Roman" w:eastAsia="Times New Roman" w:cs="Times New Roman"/>
          <w:sz w:val="22"/>
          <w:szCs w:val="22"/>
          <w:spacing w:val="-3"/>
        </w:rPr>
        <w:t>ACDE</w:t>
      </w:r>
    </w:p>
    <w:p>
      <w:pPr>
        <w:pStyle w:val="BodyText"/>
        <w:spacing w:before="2" w:line="177" w:lineRule="auto"/>
        <w:rPr/>
      </w:pPr>
      <w:r>
        <w:rPr>
          <w:spacing w:val="2"/>
        </w:rPr>
        <w:t>【解析】</w:t>
      </w:r>
      <w:r>
        <w:rPr>
          <w:spacing w:val="-17"/>
        </w:rPr>
        <w:t xml:space="preserve"> </w:t>
      </w:r>
      <w:r>
        <w:rPr>
          <w:spacing w:val="2"/>
        </w:rPr>
        <w:t>授信额度是在对以下因素进行评估和考虑的基础上决定的：①了解并测算客户的信贷需求</w:t>
      </w:r>
      <w:r>
        <w:rPr>
          <w:spacing w:val="-33"/>
        </w:rPr>
        <w:t xml:space="preserve"> </w:t>
      </w:r>
      <w:r>
        <w:rPr>
          <w:spacing w:val="2"/>
        </w:rPr>
        <w:t>，通过</w:t>
      </w:r>
      <w:r>
        <w:rPr>
          <w:spacing w:val="1"/>
        </w:rPr>
        <w:t>与客户进行讨论，</w:t>
      </w:r>
    </w:p>
    <w:p>
      <w:pPr>
        <w:pStyle w:val="BodyText"/>
        <w:ind w:left="17" w:hanging="3"/>
        <w:spacing w:before="2" w:line="177" w:lineRule="auto"/>
        <w:rPr/>
      </w:pPr>
      <w:r>
        <w:rPr>
          <w:spacing w:val="2"/>
        </w:rPr>
        <w:t>对借款原因进行分析</w:t>
      </w:r>
      <w:r>
        <w:rPr>
          <w:spacing w:val="-33"/>
        </w:rPr>
        <w:t xml:space="preserve"> </w:t>
      </w:r>
      <w:r>
        <w:rPr>
          <w:spacing w:val="2"/>
        </w:rPr>
        <w:t>，确定客户合理信贷需求；②客户的还</w:t>
      </w:r>
      <w:r>
        <w:rPr>
          <w:spacing w:val="1"/>
        </w:rPr>
        <w:t>款能力；③银行或借款企业的相关法律或监督条款的限制；④贷款</w:t>
      </w:r>
      <w:r>
        <w:rPr/>
        <w:t xml:space="preserve"> </w:t>
      </w:r>
      <w:r>
        <w:rPr>
          <w:spacing w:val="1"/>
        </w:rPr>
        <w:t>组合管理的限制；⑤银行的客户政策；⑥关系管理因素。</w:t>
      </w:r>
    </w:p>
    <w:p>
      <w:pPr>
        <w:pStyle w:val="BodyText"/>
        <w:ind w:left="9"/>
        <w:spacing w:before="189" w:line="186" w:lineRule="auto"/>
        <w:rPr/>
      </w:pPr>
      <w:r>
        <w:rPr>
          <w:spacing w:val="11"/>
        </w:rPr>
        <w:t>考点</w:t>
      </w:r>
      <w:r>
        <w:rPr>
          <w:rFonts w:ascii="Times New Roman" w:hAnsi="Times New Roman" w:eastAsia="Times New Roman" w:cs="Times New Roman"/>
          <w:sz w:val="22"/>
          <w:szCs w:val="22"/>
          <w:b/>
          <w:bCs/>
          <w:spacing w:val="11"/>
        </w:rPr>
        <w:t>4</w:t>
      </w:r>
      <w:r>
        <w:rPr>
          <w:spacing w:val="11"/>
        </w:rPr>
        <w:t>：</w:t>
      </w:r>
      <w:r>
        <w:rPr>
          <w:spacing w:val="-28"/>
        </w:rPr>
        <w:t xml:space="preserve"> </w:t>
      </w:r>
      <w:r>
        <w:rPr>
          <w:spacing w:val="11"/>
        </w:rPr>
        <w:t>授信额度的确定流程★</w:t>
      </w:r>
    </w:p>
    <w:p>
      <w:pPr>
        <w:pStyle w:val="BodyText"/>
        <w:ind w:left="19"/>
        <w:spacing w:before="131" w:line="244" w:lineRule="auto"/>
        <w:rPr/>
      </w:pPr>
      <w:r>
        <w:rPr>
          <w:rFonts w:ascii="Times New Roman" w:hAnsi="Times New Roman" w:eastAsia="Times New Roman" w:cs="Times New Roman"/>
          <w:sz w:val="22"/>
          <w:szCs w:val="22"/>
        </w:rPr>
        <w:t>• </w:t>
      </w:r>
      <w:r>
        <w:rPr/>
        <w:t>通常按照先核定</w:t>
      </w:r>
      <w:r>
        <w:rPr>
          <w:u w:val="single" w:color="auto"/>
        </w:rPr>
        <w:t>集团授信额度</w:t>
      </w:r>
      <w:r>
        <w:rPr/>
        <w:t>（如有）</w:t>
      </w:r>
      <w:r>
        <w:rPr>
          <w:spacing w:val="-17"/>
        </w:rPr>
        <w:t xml:space="preserve"> </w:t>
      </w:r>
      <w:r>
        <w:rPr/>
        <w:t>、</w:t>
      </w:r>
      <w:r>
        <w:rPr>
          <w:u w:val="single" w:color="auto"/>
        </w:rPr>
        <w:t>客户授信额度</w:t>
      </w:r>
      <w:r>
        <w:rPr>
          <w:spacing w:val="-33"/>
        </w:rPr>
        <w:t xml:space="preserve"> </w:t>
      </w:r>
      <w:r>
        <w:rPr/>
        <w:t>，再办理</w:t>
      </w:r>
      <w:r>
        <w:rPr>
          <w:u w:val="single" w:color="auto"/>
        </w:rPr>
        <w:t>信贷业务</w:t>
      </w:r>
      <w:r>
        <w:rPr/>
        <w:t>的逻辑顺序开展信贷业务</w:t>
      </w:r>
    </w:p>
    <w:p>
      <w:pPr>
        <w:pStyle w:val="BodyText"/>
        <w:ind w:left="19"/>
        <w:spacing w:before="101" w:line="338" w:lineRule="exact"/>
        <w:rPr/>
      </w:pPr>
      <w:r>
        <w:rPr>
          <w:rFonts w:ascii="Times New Roman" w:hAnsi="Times New Roman" w:eastAsia="Times New Roman" w:cs="Times New Roman"/>
          <w:sz w:val="22"/>
          <w:szCs w:val="22"/>
          <w:spacing w:val="-3"/>
          <w:position w:val="3"/>
        </w:rPr>
        <w:t>• </w:t>
      </w:r>
      <w:r>
        <w:rPr>
          <w:spacing w:val="-3"/>
          <w:position w:val="3"/>
        </w:rPr>
        <w:t>具体流程</w:t>
      </w:r>
    </w:p>
    <w:p>
      <w:pPr>
        <w:pStyle w:val="BodyText"/>
        <w:ind w:left="115"/>
        <w:spacing w:before="94" w:line="338" w:lineRule="exact"/>
        <w:rPr/>
      </w:pPr>
      <w:r>
        <w:rPr>
          <w:rFonts w:ascii="Times New Roman" w:hAnsi="Times New Roman" w:eastAsia="Times New Roman" w:cs="Times New Roman"/>
          <w:sz w:val="22"/>
          <w:szCs w:val="22"/>
          <w:spacing w:val="-1"/>
          <w:position w:val="4"/>
        </w:rPr>
        <w:t>• </w:t>
      </w:r>
      <w:r>
        <w:rPr>
          <w:spacing w:val="-1"/>
          <w:position w:val="4"/>
        </w:rPr>
        <w:t>分析借款原因和借款需求</w:t>
      </w:r>
    </w:p>
    <w:p>
      <w:pPr>
        <w:pStyle w:val="BodyText"/>
        <w:ind w:left="115"/>
        <w:spacing w:before="94" w:line="337" w:lineRule="exact"/>
        <w:rPr/>
      </w:pPr>
      <w:r>
        <w:rPr>
          <w:rFonts w:ascii="Times New Roman" w:hAnsi="Times New Roman" w:eastAsia="Times New Roman" w:cs="Times New Roman"/>
          <w:sz w:val="22"/>
          <w:szCs w:val="22"/>
          <w:spacing w:val="-1"/>
          <w:position w:val="3"/>
        </w:rPr>
        <w:t>• </w:t>
      </w:r>
      <w:r>
        <w:rPr>
          <w:spacing w:val="-1"/>
          <w:position w:val="3"/>
        </w:rPr>
        <w:t>对贷款额度进行大致评估</w:t>
      </w:r>
    </w:p>
    <w:p>
      <w:pPr>
        <w:pStyle w:val="BodyText"/>
        <w:ind w:left="115"/>
        <w:spacing w:before="95" w:line="337" w:lineRule="exact"/>
        <w:rPr/>
      </w:pPr>
      <w:r>
        <w:rPr>
          <w:rFonts w:ascii="Times New Roman" w:hAnsi="Times New Roman" w:eastAsia="Times New Roman" w:cs="Times New Roman"/>
          <w:sz w:val="22"/>
          <w:szCs w:val="22"/>
          <w:position w:val="3"/>
        </w:rPr>
        <w:t>• </w:t>
      </w:r>
      <w:r>
        <w:rPr>
          <w:position w:val="3"/>
        </w:rPr>
        <w:t>讨论具体需求额度与借款原因及其合理性</w:t>
      </w:r>
    </w:p>
    <w:p>
      <w:pPr>
        <w:pStyle w:val="BodyText"/>
        <w:ind w:left="115"/>
        <w:spacing w:before="95" w:line="338" w:lineRule="exact"/>
        <w:rPr/>
      </w:pPr>
      <w:r>
        <w:rPr>
          <w:rFonts w:ascii="Times New Roman" w:hAnsi="Times New Roman" w:eastAsia="Times New Roman" w:cs="Times New Roman"/>
          <w:sz w:val="22"/>
          <w:szCs w:val="22"/>
          <w:spacing w:val="-2"/>
          <w:position w:val="4"/>
        </w:rPr>
        <w:t>• </w:t>
      </w:r>
      <w:r>
        <w:rPr>
          <w:spacing w:val="-2"/>
          <w:position w:val="4"/>
        </w:rPr>
        <w:t>进行信用分析</w:t>
      </w:r>
    </w:p>
    <w:p>
      <w:pPr>
        <w:pStyle w:val="BodyText"/>
        <w:ind w:left="115"/>
        <w:spacing w:before="94" w:line="249" w:lineRule="auto"/>
        <w:rPr/>
      </w:pPr>
      <w:r>
        <w:rPr>
          <w:rFonts w:ascii="Times New Roman" w:hAnsi="Times New Roman" w:eastAsia="Times New Roman" w:cs="Times New Roman"/>
          <w:sz w:val="22"/>
          <w:szCs w:val="22"/>
          <w:spacing w:val="-1"/>
        </w:rPr>
        <w:t>• </w:t>
      </w:r>
      <w:r>
        <w:rPr>
          <w:spacing w:val="-1"/>
        </w:rPr>
        <w:t>进行</w:t>
      </w:r>
      <w:r>
        <w:rPr>
          <w:u w:val="single" w:color="auto"/>
          <w:spacing w:val="-1"/>
        </w:rPr>
        <w:t>偿债能力</w:t>
      </w:r>
      <w:r>
        <w:rPr>
          <w:spacing w:val="-1"/>
        </w:rPr>
        <w:t>分析</w:t>
      </w:r>
    </w:p>
    <w:p>
      <w:pPr>
        <w:pStyle w:val="BodyText"/>
        <w:ind w:left="14" w:right="8810" w:firstLine="101"/>
        <w:spacing w:before="95" w:line="270" w:lineRule="auto"/>
        <w:rPr/>
      </w:pPr>
      <w:r>
        <w:rPr>
          <w:rFonts w:ascii="Times New Roman" w:hAnsi="Times New Roman" w:eastAsia="Times New Roman" w:cs="Times New Roman"/>
          <w:sz w:val="22"/>
          <w:szCs w:val="22"/>
          <w:spacing w:val="-1"/>
        </w:rPr>
        <w:t>• </w:t>
      </w:r>
      <w:r>
        <w:rPr>
          <w:spacing w:val="-1"/>
        </w:rPr>
        <w:t>初步核定授信总量</w:t>
      </w:r>
      <w:r>
        <w:rPr>
          <w:spacing w:val="1"/>
        </w:rPr>
        <w:t xml:space="preserve"> </w:t>
      </w:r>
      <w:r>
        <w:rPr>
          <w:spacing w:val="7"/>
        </w:rPr>
        <w:t>实战演练</w:t>
      </w:r>
    </w:p>
    <w:p>
      <w:pPr>
        <w:pStyle w:val="BodyText"/>
        <w:ind w:left="17"/>
        <w:spacing w:before="178" w:line="182" w:lineRule="auto"/>
        <w:rPr/>
      </w:pPr>
      <w:r>
        <w:rPr>
          <w:u w:val="single" w:color="auto"/>
        </w:rPr>
        <w:t>单选：</w:t>
      </w:r>
      <w:r>
        <w:rPr/>
        <w:t>商业银行通常按照</w:t>
      </w:r>
      <w:r>
        <w:rPr>
          <w:spacing w:val="-8"/>
        </w:rPr>
        <w:t>（</w:t>
      </w:r>
      <w:r>
        <w:rPr>
          <w:spacing w:val="6"/>
        </w:rPr>
        <w:t xml:space="preserve">       </w:t>
      </w:r>
      <w:r>
        <w:rPr>
          <w:spacing w:val="-8"/>
        </w:rPr>
        <w:t>）</w:t>
      </w:r>
      <w:r>
        <w:rPr/>
        <w:t>的逻辑顺序开展授信业务。</w:t>
      </w:r>
    </w:p>
    <w:p>
      <w:pPr>
        <w:pStyle w:val="BodyText"/>
        <w:ind w:right="6397" w:firstLine="9"/>
        <w:spacing w:before="185" w:line="311"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A</w:t>
      </w:r>
      <w:r>
        <w:rPr/>
        <w:t>．单笔信贷业务、客户授信额度、集团授信额度</w:t>
      </w:r>
      <w:r>
        <w:rPr>
          <w:spacing w:val="12"/>
        </w:rPr>
        <w:t xml:space="preserve"> </w:t>
      </w:r>
      <w:r>
        <w:rPr>
          <w:rFonts w:ascii="Times New Roman" w:hAnsi="Times New Roman" w:eastAsia="Times New Roman" w:cs="Times New Roman"/>
          <w:sz w:val="22"/>
          <w:szCs w:val="22"/>
          <w:spacing w:val="1"/>
        </w:rPr>
        <w:t>B</w:t>
      </w:r>
      <w:r>
        <w:rPr>
          <w:spacing w:val="1"/>
        </w:rPr>
        <w:t>．客户授信额度、集团授信额度、单笔信贷业务</w:t>
      </w:r>
      <w:r>
        <w:rPr/>
        <w:t xml:space="preserve"> </w:t>
      </w:r>
      <w:r>
        <w:rPr>
          <w:rFonts w:ascii="Times New Roman" w:hAnsi="Times New Roman" w:eastAsia="Times New Roman" w:cs="Times New Roman"/>
          <w:sz w:val="22"/>
          <w:szCs w:val="22"/>
          <w:spacing w:val="1"/>
        </w:rPr>
        <w:t>C</w:t>
      </w:r>
      <w:r>
        <w:rPr>
          <w:spacing w:val="1"/>
        </w:rPr>
        <w:t>．集团授信额度、客户授信额度、单笔信贷业务</w:t>
      </w:r>
      <w:r>
        <w:rPr>
          <w:spacing w:val="12"/>
        </w:rPr>
        <w:t xml:space="preserve"> </w:t>
      </w:r>
      <w:r>
        <w:rPr>
          <w:rFonts w:ascii="Times New Roman" w:hAnsi="Times New Roman" w:eastAsia="Times New Roman" w:cs="Times New Roman"/>
          <w:sz w:val="22"/>
          <w:szCs w:val="22"/>
          <w:spacing w:val="1"/>
        </w:rPr>
        <w:t>D</w:t>
      </w:r>
      <w:r>
        <w:rPr>
          <w:spacing w:val="1"/>
        </w:rPr>
        <w:t>．客户授信额度、单笔信贷业务、集团授信额度</w:t>
      </w:r>
      <w:r>
        <w:rPr/>
        <w:t xml:space="preserve">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spacing w:before="1" w:line="233" w:lineRule="auto"/>
        <w:rPr/>
      </w:pPr>
      <w:r>
        <w:rPr>
          <w:spacing w:val="1"/>
        </w:rPr>
        <w:t>【解析】</w:t>
      </w:r>
      <w:r>
        <w:rPr>
          <w:spacing w:val="-2"/>
        </w:rPr>
        <w:t xml:space="preserve"> </w:t>
      </w:r>
      <w:r>
        <w:rPr>
          <w:spacing w:val="1"/>
        </w:rPr>
        <w:t>商业银行通常是按照先核定集团授信额度</w:t>
      </w:r>
      <w:r>
        <w:rPr>
          <w:rFonts w:ascii="Times New Roman" w:hAnsi="Times New Roman" w:eastAsia="Times New Roman" w:cs="Times New Roman"/>
          <w:sz w:val="22"/>
          <w:szCs w:val="22"/>
          <w:spacing w:val="1"/>
        </w:rPr>
        <w:t>(</w:t>
      </w:r>
      <w:r>
        <w:rPr>
          <w:spacing w:val="1"/>
        </w:rPr>
        <w:t>如有</w:t>
      </w:r>
      <w:r>
        <w:rPr>
          <w:rFonts w:ascii="Times New Roman" w:hAnsi="Times New Roman" w:eastAsia="Times New Roman" w:cs="Times New Roman"/>
          <w:sz w:val="22"/>
          <w:szCs w:val="22"/>
          <w:spacing w:val="1"/>
        </w:rPr>
        <w:t>)</w:t>
      </w:r>
      <w:r>
        <w:rPr>
          <w:spacing w:val="1"/>
        </w:rPr>
        <w:t>、客户授信额度</w:t>
      </w:r>
      <w:r>
        <w:rPr>
          <w:spacing w:val="-33"/>
        </w:rPr>
        <w:t xml:space="preserve"> </w:t>
      </w:r>
      <w:r>
        <w:rPr>
          <w:spacing w:val="1"/>
        </w:rPr>
        <w:t>，再办理信贷业务的逻辑顺序开展信贷业务。</w:t>
      </w:r>
    </w:p>
    <w:sectPr>
      <w:pgSz w:w="11900" w:h="16840"/>
      <w:pgMar w:top="480" w:right="671" w:bottom="0" w:left="657"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2024-04-08T17:05:55Z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2024-05-26T19:08:42</vt:filetime>
  </property>
</Properties>
</file>