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406"/>
      </w:tblGrid>
      <w:tr>
        <w:tc>
          <w:tcPr>
            <w:tcW w:type="dxa" w:w="9360"/>
            <w:shd w:val="clear" w:color="auto" w:fill="1B5E20"/>
          </w:tcPr>
          <w:p>
            <w:pPr>
              <w:spacing w:before="400" w:after="80"/>
              <w:jc w:val="center"/>
            </w:pPr>
            <w:r>
              <w:rPr>
                <w:rFonts w:ascii="Calibri" w:hAnsi="Calibri"/>
                <w:b/>
                <w:i w:val="0"/>
                <w:color w:val="FFFFFF"/>
                <w:sz w:val="36"/>
              </w:rPr>
              <w:t>ANEXO DE EVIDENCIAS TÉCNICAS</w:t>
            </w:r>
          </w:p>
          <w:p>
            <w:pPr>
              <w:spacing w:after="80"/>
              <w:jc w:val="center"/>
            </w:pPr>
            <w:r>
              <w:rPr>
                <w:rFonts w:ascii="Calibri" w:hAnsi="Calibri"/>
                <w:b/>
                <w:i w:val="0"/>
                <w:color w:val="00C853"/>
                <w:sz w:val="44"/>
              </w:rPr>
              <w:t>MindCheck AI</w:t>
            </w:r>
          </w:p>
          <w:p>
            <w:pPr>
              <w:spacing w:after="80"/>
              <w:jc w:val="center"/>
            </w:pPr>
            <w:r>
              <w:rPr>
                <w:rFonts w:ascii="Calibri" w:hAnsi="Calibri"/>
                <w:b w:val="0"/>
                <w:i/>
                <w:color w:val="A5D6A7"/>
                <w:sz w:val="22"/>
              </w:rPr>
              <w:t>Sistema de Monitoreo Preventivo del Bienestar Emocional Estudiantil</w:t>
            </w:r>
          </w:p>
          <w:p>
            <w:pPr>
              <w:spacing w:after="400"/>
              <w:jc w:val="center"/>
            </w:pPr>
            <w:r>
              <w:rPr>
                <w:rFonts w:ascii="Calibri" w:hAnsi="Calibri"/>
                <w:b w:val="0"/>
                <w:i/>
                <w:color w:val="A5D6A7"/>
                <w:sz w:val="22"/>
              </w:rPr>
              <w:t>con Inteligencia Artificial</w:t>
            </w: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8F5E9"/>
          </w:tcPr>
          <w:p>
            <w:r>
              <w:rPr>
                <w:rFonts w:ascii="Calibri" w:hAnsi="Calibri"/>
                <w:b/>
                <w:i w:val="0"/>
                <w:color w:val="1B5E20"/>
                <w:sz w:val="20"/>
              </w:rPr>
              <w:t>Estudiante</w:t>
            </w:r>
          </w:p>
        </w:tc>
        <w:tc>
          <w:tcPr>
            <w:tcW w:type="dxa" w:w="4703"/>
            <w:shd w:val="clear" w:color="auto" w:fill="FFFFFF"/>
          </w:tcPr>
          <w:p>
            <w:r>
              <w:rPr>
                <w:rFonts w:ascii="Calibri" w:hAnsi="Calibri"/>
                <w:b w:val="0"/>
                <w:i w:val="0"/>
                <w:color w:val="37474F"/>
                <w:sz w:val="20"/>
              </w:rPr>
              <w:t>Nataly Valesca Tobar Gallardo</w:t>
            </w:r>
          </w:p>
        </w:tc>
      </w:tr>
      <w:tr>
        <w:tc>
          <w:tcPr>
            <w:tcW w:type="dxa" w:w="4703"/>
            <w:shd w:val="clear" w:color="auto" w:fill="E8F5E9"/>
          </w:tcPr>
          <w:p>
            <w:r>
              <w:rPr>
                <w:rFonts w:ascii="Calibri" w:hAnsi="Calibri"/>
                <w:b/>
                <w:i w:val="0"/>
                <w:color w:val="1B5E20"/>
                <w:sz w:val="20"/>
              </w:rPr>
              <w:t>Carrera</w:t>
            </w:r>
          </w:p>
        </w:tc>
        <w:tc>
          <w:tcPr>
            <w:tcW w:type="dxa" w:w="4703"/>
            <w:shd w:val="clear" w:color="auto" w:fill="FFFFFF"/>
          </w:tcPr>
          <w:p>
            <w:r>
              <w:rPr>
                <w:rFonts w:ascii="Calibri" w:hAnsi="Calibri"/>
                <w:b w:val="0"/>
                <w:i w:val="0"/>
                <w:color w:val="37474F"/>
                <w:sz w:val="20"/>
              </w:rPr>
              <w:t>Ingeniería en Informática — Plan 1446114</w:t>
            </w:r>
          </w:p>
        </w:tc>
      </w:tr>
      <w:tr>
        <w:tc>
          <w:tcPr>
            <w:tcW w:type="dxa" w:w="4703"/>
            <w:shd w:val="clear" w:color="auto" w:fill="E8F5E9"/>
          </w:tcPr>
          <w:p>
            <w:r>
              <w:rPr>
                <w:rFonts w:ascii="Calibri" w:hAnsi="Calibri"/>
                <w:b/>
                <w:i w:val="0"/>
                <w:color w:val="1B5E20"/>
                <w:sz w:val="20"/>
              </w:rPr>
              <w:t>Asignatura</w:t>
            </w:r>
          </w:p>
        </w:tc>
        <w:tc>
          <w:tcPr>
            <w:tcW w:type="dxa" w:w="4703"/>
            <w:shd w:val="clear" w:color="auto" w:fill="FFFFFF"/>
          </w:tcPr>
          <w:p>
            <w:r>
              <w:rPr>
                <w:rFonts w:ascii="Calibri" w:hAnsi="Calibri"/>
                <w:b w:val="0"/>
                <w:i w:val="0"/>
                <w:color w:val="37474F"/>
                <w:sz w:val="20"/>
              </w:rPr>
              <w:t>PTY4614 — Capstone  |  Duoc UC San Joaquín</w:t>
            </w:r>
          </w:p>
        </w:tc>
      </w:tr>
      <w:tr>
        <w:tc>
          <w:tcPr>
            <w:tcW w:type="dxa" w:w="4703"/>
            <w:shd w:val="clear" w:color="auto" w:fill="E8F5E9"/>
          </w:tcPr>
          <w:p>
            <w:r>
              <w:rPr>
                <w:rFonts w:ascii="Calibri" w:hAnsi="Calibri"/>
                <w:b/>
                <w:i w:val="0"/>
                <w:color w:val="1B5E20"/>
                <w:sz w:val="20"/>
              </w:rPr>
              <w:t>Código Proyecto</w:t>
            </w:r>
          </w:p>
        </w:tc>
        <w:tc>
          <w:tcPr>
            <w:tcW w:type="dxa" w:w="4703"/>
            <w:shd w:val="clear" w:color="auto" w:fill="FFFFFF"/>
          </w:tcPr>
          <w:p>
            <w:r>
              <w:rPr>
                <w:rFonts w:ascii="Calibri" w:hAnsi="Calibri"/>
                <w:b w:val="0"/>
                <w:i w:val="0"/>
                <w:color w:val="37474F"/>
                <w:sz w:val="20"/>
              </w:rPr>
              <w:t>DUC-BWM-2025-001  |  Versión v0.2.0</w:t>
            </w:r>
          </w:p>
        </w:tc>
      </w:tr>
      <w:tr>
        <w:tc>
          <w:tcPr>
            <w:tcW w:type="dxa" w:w="4703"/>
            <w:shd w:val="clear" w:color="auto" w:fill="E8F5E9"/>
          </w:tcPr>
          <w:p>
            <w:r>
              <w:rPr>
                <w:rFonts w:ascii="Calibri" w:hAnsi="Calibri"/>
                <w:b/>
                <w:i w:val="0"/>
                <w:color w:val="1B5E20"/>
                <w:sz w:val="20"/>
              </w:rPr>
              <w:t>Stack Tecnológico</w:t>
            </w:r>
          </w:p>
        </w:tc>
        <w:tc>
          <w:tcPr>
            <w:tcW w:type="dxa" w:w="4703"/>
            <w:shd w:val="clear" w:color="auto" w:fill="FFFFFF"/>
          </w:tcPr>
          <w:p>
            <w:r>
              <w:rPr>
                <w:rFonts w:ascii="Calibri" w:hAnsi="Calibri"/>
                <w:b w:val="0"/>
                <w:i w:val="0"/>
                <w:color w:val="37474F"/>
                <w:sz w:val="20"/>
              </w:rPr>
              <w:t>React 19 · FastAPI · Supabase · GPT-4o mini · AES-256-GCM</w:t>
            </w:r>
          </w:p>
        </w:tc>
      </w:tr>
    </w:tbl>
    <w:p/>
    <w:p>
      <w:pPr>
        <w:spacing w:before="360" w:after="120"/>
      </w:pPr>
      <w:r>
        <w:rPr>
          <w:rFonts w:ascii="Calibri" w:hAnsi="Calibri"/>
          <w:b/>
          <w:i w:val="0"/>
          <w:color w:val="1B5E20"/>
          <w:sz w:val="32"/>
        </w:rPr>
        <w:t>ÍNDICE DE EVIDENCIAS</w:t>
      </w:r>
    </w:p>
    <w:p>
      <w:pPr>
        <w:spacing w:before="40" w:after="40"/>
      </w:pPr>
      <w:r>
        <w:rPr>
          <w:rFonts w:ascii="Calibri" w:hAnsi="Calibri"/>
          <w:b/>
          <w:i w:val="0"/>
          <w:color w:val="2E7D32"/>
          <w:sz w:val="20"/>
        </w:rPr>
        <w:t xml:space="preserve">Sección 1  —  </w:t>
      </w:r>
      <w:r>
        <w:rPr>
          <w:rFonts w:ascii="Calibri" w:hAnsi="Calibri"/>
          <w:b w:val="0"/>
          <w:i w:val="0"/>
          <w:color w:val="37474F"/>
          <w:sz w:val="20"/>
        </w:rPr>
        <w:t>Autenticación y Registro de Usuario</w:t>
      </w:r>
    </w:p>
    <w:p>
      <w:pPr>
        <w:spacing w:before="40" w:after="40"/>
      </w:pPr>
      <w:r>
        <w:rPr>
          <w:rFonts w:ascii="Calibri" w:hAnsi="Calibri"/>
          <w:b/>
          <w:i w:val="0"/>
          <w:color w:val="2E7D32"/>
          <w:sz w:val="20"/>
        </w:rPr>
        <w:t xml:space="preserve">Sección 2  —  </w:t>
      </w:r>
      <w:r>
        <w:rPr>
          <w:rFonts w:ascii="Calibri" w:hAnsi="Calibri"/>
          <w:b w:val="0"/>
          <w:i w:val="0"/>
          <w:color w:val="37474F"/>
          <w:sz w:val="20"/>
        </w:rPr>
        <w:t>Interfaz de la Aplicación (Frontend)</w:t>
      </w:r>
    </w:p>
    <w:p>
      <w:pPr>
        <w:spacing w:before="40" w:after="40"/>
      </w:pPr>
      <w:r>
        <w:rPr>
          <w:rFonts w:ascii="Calibri" w:hAnsi="Calibri"/>
          <w:b/>
          <w:i w:val="0"/>
          <w:color w:val="2E7D32"/>
          <w:sz w:val="20"/>
        </w:rPr>
        <w:t xml:space="preserve">Sección 3  —  </w:t>
      </w:r>
      <w:r>
        <w:rPr>
          <w:rFonts w:ascii="Calibri" w:hAnsi="Calibri"/>
          <w:b w:val="0"/>
          <w:i w:val="0"/>
          <w:color w:val="37474F"/>
          <w:sz w:val="20"/>
        </w:rPr>
        <w:t>API REST — Swagger UI</w:t>
      </w:r>
    </w:p>
    <w:p>
      <w:pPr>
        <w:spacing w:before="40" w:after="40"/>
      </w:pPr>
      <w:r>
        <w:rPr>
          <w:rFonts w:ascii="Calibri" w:hAnsi="Calibri"/>
          <w:b/>
          <w:i w:val="0"/>
          <w:color w:val="2E7D32"/>
          <w:sz w:val="20"/>
        </w:rPr>
        <w:t xml:space="preserve">Sección 4  —  </w:t>
      </w:r>
      <w:r>
        <w:rPr>
          <w:rFonts w:ascii="Calibri" w:hAnsi="Calibri"/>
          <w:b w:val="0"/>
          <w:i w:val="0"/>
          <w:color w:val="37474F"/>
          <w:sz w:val="20"/>
        </w:rPr>
        <w:t>Sistema de Alertas — Correo Gmail</w:t>
      </w:r>
    </w:p>
    <w:p>
      <w:pPr>
        <w:spacing w:before="40" w:after="40"/>
      </w:pPr>
      <w:r>
        <w:rPr>
          <w:rFonts w:ascii="Calibri" w:hAnsi="Calibri"/>
          <w:b/>
          <w:i w:val="0"/>
          <w:color w:val="2E7D32"/>
          <w:sz w:val="20"/>
        </w:rPr>
        <w:t xml:space="preserve">Sección 5  —  </w:t>
      </w:r>
      <w:r>
        <w:rPr>
          <w:rFonts w:ascii="Calibri" w:hAnsi="Calibri"/>
          <w:b w:val="0"/>
          <w:i w:val="0"/>
          <w:color w:val="37474F"/>
          <w:sz w:val="20"/>
        </w:rPr>
        <w:t>Base de Datos — Supabase (RLS)</w:t>
      </w:r>
    </w:p>
    <w:p>
      <w:pPr>
        <w:spacing w:before="40" w:after="40"/>
      </w:pPr>
      <w:r>
        <w:rPr>
          <w:rFonts w:ascii="Calibri" w:hAnsi="Calibri"/>
          <w:b/>
          <w:i w:val="0"/>
          <w:color w:val="2E7D32"/>
          <w:sz w:val="20"/>
        </w:rPr>
        <w:t xml:space="preserve">Sección 6  —  </w:t>
      </w:r>
      <w:r>
        <w:rPr>
          <w:rFonts w:ascii="Calibri" w:hAnsi="Calibri"/>
          <w:b w:val="0"/>
          <w:i w:val="0"/>
          <w:color w:val="37474F"/>
          <w:sz w:val="20"/>
        </w:rPr>
        <w:t>Validación JWT y Seguridad</w:t>
      </w:r>
    </w:p>
    <w:p>
      <w:r>
        <w:br w:type="page"/>
      </w:r>
    </w:p>
    <w:p>
      <w:pPr>
        <w:spacing w:before="360" w:after="120"/>
      </w:pPr>
      <w:r>
        <w:rPr>
          <w:rFonts w:ascii="Calibri" w:hAnsi="Calibri"/>
          <w:b/>
          <w:i w:val="0"/>
          <w:color w:val="1B5E20"/>
          <w:sz w:val="32"/>
        </w:rPr>
        <w:t>SECCIÓN 1 — Autenticación y Registro de Usuario</w:t>
      </w:r>
    </w:p>
    <w:p>
      <w:pPr>
        <w:spacing w:before="60" w:after="120"/>
        <w:jc w:val="both"/>
      </w:pPr>
      <w:r>
        <w:rPr>
          <w:rFonts w:ascii="Calibri" w:hAnsi="Calibri"/>
          <w:b w:val="0"/>
          <w:i w:val="0"/>
          <w:color w:val="37474F"/>
          <w:sz w:val="21"/>
        </w:rPr>
        <w:t>Esta sección demuestra que el sistema de autenticación con Supabase Auth está completamente operativo. La aplicación restringe el registro exclusivamente a correos institucionales @duocuc.cl, cumpliendo con el requerimiento de seguridad RF-12 del SRS. El proceso incluye validación de email, envío de confirmación y cifrado AES-256-GCM declarado en la interfaz de usuario.</w:t>
      </w:r>
    </w:p>
    <w:p>
      <w:pPr>
        <w:spacing w:before="160" w:after="160"/>
        <w:pBdr>
          <w:bottom w:val="single" w:sz="6" w:space="1" w:color="4CAF50"/>
        </w:pBdr>
      </w:pPr>
    </w:p>
    <w:p>
      <w:pPr>
        <w:spacing w:before="200" w:after="120"/>
      </w:pPr>
      <w:r>
        <w:rPr>
          <w:rFonts w:ascii="Calibri" w:hAnsi="Calibri"/>
          <w:b/>
          <w:i w:val="0"/>
          <w:color w:val="2E7D32"/>
          <w:sz w:val="26"/>
        </w:rPr>
        <w:t>Evidencia 1.1 — Registro exitoso con cuenta @duocuc.cl</w:t>
      </w:r>
    </w:p>
    <w:p>
      <w:pPr>
        <w:spacing w:before="40" w:after="40"/>
      </w:pPr>
      <w:r>
        <w:rPr>
          <w:rFonts w:ascii="Calibri" w:hAnsi="Calibri"/>
          <w:b/>
          <w:i w:val="0"/>
          <w:color w:val="1B5E20"/>
          <w:sz w:val="20"/>
        </w:rPr>
        <w:t xml:space="preserve">Tipo de evidencia: </w:t>
      </w:r>
      <w:r>
        <w:rPr>
          <w:rFonts w:ascii="Calibri" w:hAnsi="Calibri"/>
          <w:b w:val="0"/>
          <w:i w:val="0"/>
          <w:color w:val="37474F"/>
          <w:sz w:val="20"/>
        </w:rPr>
        <w:t>Captura de pantalla — Frontend</w:t>
      </w:r>
    </w:p>
    <w:p>
      <w:pPr>
        <w:spacing w:before="40" w:after="40"/>
      </w:pPr>
      <w:r>
        <w:rPr>
          <w:rFonts w:ascii="Calibri" w:hAnsi="Calibri"/>
          <w:b/>
          <w:i w:val="0"/>
          <w:color w:val="1B5E20"/>
          <w:sz w:val="20"/>
        </w:rPr>
        <w:t xml:space="preserve">Fecha: </w:t>
      </w:r>
      <w:r>
        <w:rPr>
          <w:rFonts w:ascii="Calibri" w:hAnsi="Calibri"/>
          <w:b w:val="0"/>
          <w:i w:val="0"/>
          <w:color w:val="37474F"/>
          <w:sz w:val="20"/>
        </w:rPr>
        <w:t>Viernes 5 de junio de 2026</w:t>
      </w:r>
    </w:p>
    <w:p>
      <w:pPr>
        <w:spacing w:before="40" w:after="40"/>
      </w:pPr>
      <w:r>
        <w:rPr>
          <w:rFonts w:ascii="Calibri" w:hAnsi="Calibri"/>
          <w:b/>
          <w:i w:val="0"/>
          <w:color w:val="1B5E20"/>
          <w:sz w:val="20"/>
        </w:rPr>
        <w:t xml:space="preserve">URL: </w:t>
      </w:r>
      <w:r>
        <w:rPr>
          <w:rFonts w:ascii="Calibri" w:hAnsi="Calibri"/>
          <w:b w:val="0"/>
          <w:i w:val="0"/>
          <w:color w:val="37474F"/>
          <w:sz w:val="20"/>
        </w:rPr>
        <w:t>http://localhost:5173</w:t>
      </w:r>
    </w:p>
    <w:p/>
    <w:p>
      <w:pPr>
        <w:spacing w:before="80" w:after="80"/>
        <w:jc w:val="center"/>
      </w:pPr>
      <w:r>
        <w:drawing>
          <wp:inline xmlns:a="http://schemas.openxmlformats.org/drawingml/2006/main" xmlns:pic="http://schemas.openxmlformats.org/drawingml/2006/picture">
            <wp:extent cx="2743200" cy="3120470"/>
            <wp:docPr id="1" name="Picture 1"/>
            <wp:cNvGraphicFramePr>
              <a:graphicFrameLocks noChangeAspect="1"/>
            </wp:cNvGraphicFramePr>
            <a:graphic>
              <a:graphicData uri="http://schemas.openxmlformats.org/drawingml/2006/picture">
                <pic:pic>
                  <pic:nvPicPr>
                    <pic:cNvPr id="0" name="1781000392201_image.png"/>
                    <pic:cNvPicPr/>
                  </pic:nvPicPr>
                  <pic:blipFill>
                    <a:blip r:embed="rId9"/>
                    <a:stretch>
                      <a:fillRect/>
                    </a:stretch>
                  </pic:blipFill>
                  <pic:spPr>
                    <a:xfrm>
                      <a:off x="0" y="0"/>
                      <a:ext cx="2743200" cy="3120470"/>
                    </a:xfrm>
                    <a:prstGeom prst="rect"/>
                  </pic:spPr>
                </pic:pic>
              </a:graphicData>
            </a:graphic>
          </wp:inline>
        </w:drawing>
      </w:r>
    </w:p>
    <w:p>
      <w:pPr>
        <w:spacing w:before="40" w:after="200"/>
        <w:jc w:val="center"/>
      </w:pPr>
      <w:r>
        <w:rPr>
          <w:rFonts w:ascii="Calibri" w:hAnsi="Calibri"/>
          <w:b w:val="0"/>
          <w:i/>
          <w:color w:val="607D8B"/>
          <w:sz w:val="18"/>
        </w:rPr>
        <w:t>Figura 1.1 — Pantalla de registro con mensaje "¡Cuenta creada!" y restricción @duocuc.cl</w:t>
      </w:r>
    </w:p>
    <w:p>
      <w:pPr>
        <w:spacing w:before="60" w:after="120"/>
        <w:jc w:val="both"/>
      </w:pPr>
      <w:r>
        <w:rPr>
          <w:rFonts w:ascii="Calibri" w:hAnsi="Calibri"/>
          <w:b w:val="0"/>
          <w:i w:val="0"/>
          <w:color w:val="37474F"/>
          <w:sz w:val="21"/>
        </w:rPr>
        <w:t>La captura muestra el formulario de creación de cuenta con el email nataly.tobar@duocuc.cl. El mensaje verde "¡Cuenta creada! Revisa tu correo institucional para confirmar tu cuenta antes de iniciar sesión" confirma que el registro fue exitoso y que el flujo de verificación por email está activo. En el footer se muestra explícitamente: "Conexión segura · Datos protegidos con cifrado AES-256", demostrando que la seguridad está comunicada al usuario desde el primer contacto con la aplicación.</w:t>
      </w:r>
    </w:p>
    <w:p>
      <w:pPr>
        <w:spacing w:before="160" w:after="160"/>
        <w:pBdr>
          <w:bottom w:val="single" w:sz="6" w:space="1" w:color="4CAF50"/>
        </w:pBdr>
      </w:pPr>
    </w:p>
    <w:p>
      <w:pPr>
        <w:spacing w:before="200" w:after="120"/>
      </w:pPr>
      <w:r>
        <w:rPr>
          <w:rFonts w:ascii="Calibri" w:hAnsi="Calibri"/>
          <w:b/>
          <w:i w:val="0"/>
          <w:color w:val="2E7D32"/>
          <w:sz w:val="26"/>
        </w:rPr>
        <w:t>Evidencia 1.2 — Email de confirmación de Supabase Auth</w:t>
      </w:r>
    </w:p>
    <w:p>
      <w:pPr>
        <w:spacing w:before="40" w:after="40"/>
      </w:pPr>
      <w:r>
        <w:rPr>
          <w:rFonts w:ascii="Calibri" w:hAnsi="Calibri"/>
          <w:b/>
          <w:i w:val="0"/>
          <w:color w:val="1B5E20"/>
          <w:sz w:val="20"/>
        </w:rPr>
        <w:t xml:space="preserve">Tipo de evidencia: </w:t>
      </w:r>
      <w:r>
        <w:rPr>
          <w:rFonts w:ascii="Calibri" w:hAnsi="Calibri"/>
          <w:b w:val="0"/>
          <w:i w:val="0"/>
          <w:color w:val="37474F"/>
          <w:sz w:val="20"/>
        </w:rPr>
        <w:t>Captura de pantalla — Gmail institucional</w:t>
      </w:r>
    </w:p>
    <w:p>
      <w:pPr>
        <w:spacing w:before="40" w:after="40"/>
      </w:pPr>
      <w:r>
        <w:rPr>
          <w:rFonts w:ascii="Calibri" w:hAnsi="Calibri"/>
          <w:b/>
          <w:i w:val="0"/>
          <w:color w:val="1B5E20"/>
          <w:sz w:val="20"/>
        </w:rPr>
        <w:t xml:space="preserve">Remitente: </w:t>
      </w:r>
      <w:r>
        <w:rPr>
          <w:rFonts w:ascii="Calibri" w:hAnsi="Calibri"/>
          <w:b w:val="0"/>
          <w:i w:val="0"/>
          <w:color w:val="37474F"/>
          <w:sz w:val="20"/>
        </w:rPr>
        <w:t>Supabase Auth &lt;noreply@mail.app.supabase.io&gt;</w:t>
      </w:r>
    </w:p>
    <w:p>
      <w:pPr>
        <w:spacing w:before="40" w:after="40"/>
      </w:pPr>
      <w:r>
        <w:rPr>
          <w:rFonts w:ascii="Calibri" w:hAnsi="Calibri"/>
          <w:b/>
          <w:i w:val="0"/>
          <w:color w:val="1B5E20"/>
          <w:sz w:val="20"/>
        </w:rPr>
        <w:t xml:space="preserve">Fecha/Hora: </w:t>
      </w:r>
      <w:r>
        <w:rPr>
          <w:rFonts w:ascii="Calibri" w:hAnsi="Calibri"/>
          <w:b w:val="0"/>
          <w:i w:val="0"/>
          <w:color w:val="37474F"/>
          <w:sz w:val="20"/>
        </w:rPr>
        <w:t>18:36 UTC — 5 de junio de 2026</w:t>
      </w:r>
    </w:p>
    <w:p/>
    <w:p>
      <w:pPr>
        <w:spacing w:before="80" w:after="80"/>
        <w:jc w:val="center"/>
      </w:pPr>
      <w:r>
        <w:drawing>
          <wp:inline xmlns:a="http://schemas.openxmlformats.org/drawingml/2006/main" xmlns:pic="http://schemas.openxmlformats.org/drawingml/2006/picture">
            <wp:extent cx="5029200" cy="1895061"/>
            <wp:docPr id="2" name="Picture 2"/>
            <wp:cNvGraphicFramePr>
              <a:graphicFrameLocks noChangeAspect="1"/>
            </wp:cNvGraphicFramePr>
            <a:graphic>
              <a:graphicData uri="http://schemas.openxmlformats.org/drawingml/2006/picture">
                <pic:pic>
                  <pic:nvPicPr>
                    <pic:cNvPr id="0" name="1781000431546_image.png"/>
                    <pic:cNvPicPr/>
                  </pic:nvPicPr>
                  <pic:blipFill>
                    <a:blip r:embed="rId10"/>
                    <a:stretch>
                      <a:fillRect/>
                    </a:stretch>
                  </pic:blipFill>
                  <pic:spPr>
                    <a:xfrm>
                      <a:off x="0" y="0"/>
                      <a:ext cx="5029200" cy="1895061"/>
                    </a:xfrm>
                    <a:prstGeom prst="rect"/>
                  </pic:spPr>
                </pic:pic>
              </a:graphicData>
            </a:graphic>
          </wp:inline>
        </w:drawing>
      </w:r>
    </w:p>
    <w:p>
      <w:pPr>
        <w:spacing w:before="40" w:after="200"/>
        <w:jc w:val="center"/>
      </w:pPr>
      <w:r>
        <w:rPr>
          <w:rFonts w:ascii="Calibri" w:hAnsi="Calibri"/>
          <w:b w:val="0"/>
          <w:i/>
          <w:color w:val="607D8B"/>
          <w:sz w:val="18"/>
        </w:rPr>
        <w:t>Figura 1.2 — Correo de confirmación de Supabase Auth recibido en bandeja @duocuc.cl</w:t>
      </w:r>
    </w:p>
    <w:p>
      <w:pPr>
        <w:spacing w:before="60" w:after="120"/>
        <w:jc w:val="both"/>
      </w:pPr>
      <w:r>
        <w:rPr>
          <w:rFonts w:ascii="Calibri" w:hAnsi="Calibri"/>
          <w:b w:val="0"/>
          <w:i w:val="0"/>
          <w:color w:val="37474F"/>
          <w:sz w:val="21"/>
        </w:rPr>
        <w:t>El sistema de autenticación envía automáticamente un email de verificación a la dirección institucional registrada. Este correo, enviado por Supabase Auth, contiene el enlace "Confirm your mail" que activa la cuenta. Esto demuestra que el flujo de doble verificación (registro → email → confirmación → acceso) está completamente operativo, cumpliendo con el requerimiento de seguridad de autenticación de dos pasos definido en el SRS.</w:t>
      </w:r>
    </w:p>
    <w:p>
      <w:r>
        <w:br w:type="page"/>
      </w:r>
    </w:p>
    <w:p>
      <w:pPr>
        <w:spacing w:before="360" w:after="120"/>
      </w:pPr>
      <w:r>
        <w:rPr>
          <w:rFonts w:ascii="Calibri" w:hAnsi="Calibri"/>
          <w:b/>
          <w:i w:val="0"/>
          <w:color w:val="1B5E20"/>
          <w:sz w:val="32"/>
        </w:rPr>
        <w:t>SECCIÓN 2 — Interfaz de la Aplicación (Frontend)</w:t>
      </w:r>
    </w:p>
    <w:p>
      <w:pPr>
        <w:spacing w:before="60" w:after="120"/>
        <w:jc w:val="both"/>
      </w:pPr>
      <w:r>
        <w:rPr>
          <w:rFonts w:ascii="Calibri" w:hAnsi="Calibri"/>
          <w:b w:val="0"/>
          <w:i w:val="0"/>
          <w:color w:val="37474F"/>
          <w:sz w:val="21"/>
        </w:rPr>
        <w:t>Esta sección muestra la interfaz de MindCheck AI en funcionamiento real con usuario autenticado. La aplicación cuenta con modo claro y modo oscuro completo (dark mode), sistema de navegación por pestañas y datos del perfil del usuario visibles en la esquina superior derecha. Los datos de bienestar, racha de registros y análisis IA demuestran que el sistema está procesando información real.</w:t>
      </w:r>
    </w:p>
    <w:p>
      <w:pPr>
        <w:spacing w:before="160" w:after="160"/>
        <w:pBdr>
          <w:bottom w:val="single" w:sz="6" w:space="1" w:color="4CAF50"/>
        </w:pBdr>
      </w:pPr>
    </w:p>
    <w:p>
      <w:pPr>
        <w:spacing w:before="200" w:after="120"/>
      </w:pPr>
      <w:r>
        <w:rPr>
          <w:rFonts w:ascii="Calibri" w:hAnsi="Calibri"/>
          <w:b/>
          <w:i w:val="0"/>
          <w:color w:val="2E7D32"/>
          <w:sz w:val="26"/>
        </w:rPr>
        <w:t>Evidencia 2.1 — HomePage autenticada (Modo Claro)</w:t>
      </w:r>
    </w:p>
    <w:p>
      <w:pPr>
        <w:spacing w:before="40" w:after="40"/>
      </w:pPr>
      <w:r>
        <w:rPr>
          <w:rFonts w:ascii="Calibri" w:hAnsi="Calibri"/>
          <w:b/>
          <w:i w:val="0"/>
          <w:color w:val="1B5E20"/>
          <w:sz w:val="20"/>
        </w:rPr>
        <w:t xml:space="preserve">Tipo de evidencia: </w:t>
      </w:r>
      <w:r>
        <w:rPr>
          <w:rFonts w:ascii="Calibri" w:hAnsi="Calibri"/>
          <w:b w:val="0"/>
          <w:i w:val="0"/>
          <w:color w:val="37474F"/>
          <w:sz w:val="20"/>
        </w:rPr>
        <w:t>Captura de pantalla — Frontend React 19</w:t>
      </w:r>
    </w:p>
    <w:p>
      <w:pPr>
        <w:spacing w:before="40" w:after="40"/>
      </w:pPr>
      <w:r>
        <w:rPr>
          <w:rFonts w:ascii="Calibri" w:hAnsi="Calibri"/>
          <w:b/>
          <w:i w:val="0"/>
          <w:color w:val="1B5E20"/>
          <w:sz w:val="20"/>
        </w:rPr>
        <w:t xml:space="preserve">Usuario: </w:t>
      </w:r>
      <w:r>
        <w:rPr>
          <w:rFonts w:ascii="Calibri" w:hAnsi="Calibri"/>
          <w:b w:val="0"/>
          <w:i w:val="0"/>
          <w:color w:val="37474F"/>
          <w:sz w:val="20"/>
        </w:rPr>
        <w:t>Nat T. — Ingeniería · Santiago</w:t>
      </w:r>
    </w:p>
    <w:p>
      <w:pPr>
        <w:spacing w:before="40" w:after="40"/>
      </w:pPr>
      <w:r>
        <w:rPr>
          <w:rFonts w:ascii="Calibri" w:hAnsi="Calibri"/>
          <w:b/>
          <w:i w:val="0"/>
          <w:color w:val="1B5E20"/>
          <w:sz w:val="20"/>
        </w:rPr>
        <w:t xml:space="preserve">Fecha: </w:t>
      </w:r>
      <w:r>
        <w:rPr>
          <w:rFonts w:ascii="Calibri" w:hAnsi="Calibri"/>
          <w:b w:val="0"/>
          <w:i w:val="0"/>
          <w:color w:val="37474F"/>
          <w:sz w:val="20"/>
        </w:rPr>
        <w:t>Viernes, 5 de junio de 2026 · 06:38 p.m.</w:t>
      </w:r>
    </w:p>
    <w:p/>
    <w:p>
      <w:pPr>
        <w:spacing w:before="80" w:after="80"/>
        <w:jc w:val="center"/>
      </w:pPr>
      <w:r>
        <w:drawing>
          <wp:inline xmlns:a="http://schemas.openxmlformats.org/drawingml/2006/main" xmlns:pic="http://schemas.openxmlformats.org/drawingml/2006/picture">
            <wp:extent cx="5029200" cy="2468880"/>
            <wp:docPr id="3" name="Picture 3"/>
            <wp:cNvGraphicFramePr>
              <a:graphicFrameLocks noChangeAspect="1"/>
            </wp:cNvGraphicFramePr>
            <a:graphic>
              <a:graphicData uri="http://schemas.openxmlformats.org/drawingml/2006/picture">
                <pic:pic>
                  <pic:nvPicPr>
                    <pic:cNvPr id="0" name="1781000478469_image.png"/>
                    <pic:cNvPicPr/>
                  </pic:nvPicPr>
                  <pic:blipFill>
                    <a:blip r:embed="rId11"/>
                    <a:stretch>
                      <a:fillRect/>
                    </a:stretch>
                  </pic:blipFill>
                  <pic:spPr>
                    <a:xfrm>
                      <a:off x="0" y="0"/>
                      <a:ext cx="5029200" cy="2468880"/>
                    </a:xfrm>
                    <a:prstGeom prst="rect"/>
                  </pic:spPr>
                </pic:pic>
              </a:graphicData>
            </a:graphic>
          </wp:inline>
        </w:drawing>
      </w:r>
    </w:p>
    <w:p>
      <w:pPr>
        <w:spacing w:before="40" w:after="200"/>
        <w:jc w:val="center"/>
      </w:pPr>
      <w:r>
        <w:rPr>
          <w:rFonts w:ascii="Calibri" w:hAnsi="Calibri"/>
          <w:b w:val="0"/>
          <w:i/>
          <w:color w:val="607D8B"/>
          <w:sz w:val="18"/>
        </w:rPr>
        <w:t>Figura 2.1 — HomePage en modo claro con usuario autenticado y métricas de bienestar</w:t>
      </w:r>
    </w:p>
    <w:p>
      <w:pPr>
        <w:spacing w:before="60" w:after="120"/>
        <w:jc w:val="both"/>
      </w:pPr>
      <w:r>
        <w:rPr>
          <w:rFonts w:ascii="Calibri" w:hAnsi="Calibri"/>
          <w:b w:val="0"/>
          <w:i w:val="0"/>
          <w:color w:val="37474F"/>
          <w:sz w:val="21"/>
        </w:rPr>
        <w:t>La captura demuestra que el sistema de autenticación JWT funciona correctamente: el usuario Nat T. (Ingeniería · Santiago) está autenticado y la aplicación muestra datos personalizados. Se observan: bienestar semanal 74/100, racha de 5 días consecutivos, último análisis IA con score -0.58 y emoción "Ansiedad · Moderado". Las emociones frecuentes (Ansiedad 62%, Calma 54%, Estrés 38%) provienen del historial de entradas del usuario. El footer "Datos cifrados" confirma que el cifrado AES-256-GCM está activo en la sesión.</w:t>
      </w:r>
    </w:p>
    <w:p>
      <w:pPr>
        <w:spacing w:before="160" w:after="160"/>
        <w:pBdr>
          <w:bottom w:val="single" w:sz="6" w:space="1" w:color="4CAF50"/>
        </w:pBdr>
      </w:pPr>
    </w:p>
    <w:p>
      <w:pPr>
        <w:spacing w:before="200" w:after="120"/>
      </w:pPr>
      <w:r>
        <w:rPr>
          <w:rFonts w:ascii="Calibri" w:hAnsi="Calibri"/>
          <w:b/>
          <w:i w:val="0"/>
          <w:color w:val="2E7D32"/>
          <w:sz w:val="26"/>
        </w:rPr>
        <w:t>Evidencia 2.2 — HomePage en Modo Oscuro (Dark Mode)</w:t>
      </w:r>
    </w:p>
    <w:p>
      <w:pPr>
        <w:spacing w:before="40" w:after="40"/>
      </w:pPr>
      <w:r>
        <w:rPr>
          <w:rFonts w:ascii="Calibri" w:hAnsi="Calibri"/>
          <w:b/>
          <w:i w:val="0"/>
          <w:color w:val="1B5E20"/>
          <w:sz w:val="20"/>
        </w:rPr>
        <w:t xml:space="preserve">Tipo de evidencia: </w:t>
      </w:r>
      <w:r>
        <w:rPr>
          <w:rFonts w:ascii="Calibri" w:hAnsi="Calibri"/>
          <w:b w:val="0"/>
          <w:i w:val="0"/>
          <w:color w:val="37474F"/>
          <w:sz w:val="20"/>
        </w:rPr>
        <w:t>Captura de pantalla — Frontend dark mode</w:t>
      </w:r>
    </w:p>
    <w:p>
      <w:pPr>
        <w:spacing w:before="40" w:after="40"/>
      </w:pPr>
      <w:r>
        <w:rPr>
          <w:rFonts w:ascii="Calibri" w:hAnsi="Calibri"/>
          <w:b/>
          <w:i w:val="0"/>
          <w:color w:val="1B5E20"/>
          <w:sz w:val="20"/>
        </w:rPr>
        <w:t xml:space="preserve">Fecha: </w:t>
      </w:r>
      <w:r>
        <w:rPr>
          <w:rFonts w:ascii="Calibri" w:hAnsi="Calibri"/>
          <w:b w:val="0"/>
          <w:i w:val="0"/>
          <w:color w:val="37474F"/>
          <w:sz w:val="20"/>
        </w:rPr>
        <w:t>Martes, 9 de junio de 2026 · 06:52 a.m.</w:t>
      </w:r>
    </w:p>
    <w:p/>
    <w:p>
      <w:pPr>
        <w:spacing w:before="80" w:after="80"/>
        <w:jc w:val="center"/>
      </w:pPr>
      <w:r>
        <w:drawing>
          <wp:inline xmlns:a="http://schemas.openxmlformats.org/drawingml/2006/main" xmlns:pic="http://schemas.openxmlformats.org/drawingml/2006/picture">
            <wp:extent cx="5303520" cy="2488071"/>
            <wp:docPr id="4" name="Picture 4"/>
            <wp:cNvGraphicFramePr>
              <a:graphicFrameLocks noChangeAspect="1"/>
            </wp:cNvGraphicFramePr>
            <a:graphic>
              <a:graphicData uri="http://schemas.openxmlformats.org/drawingml/2006/picture">
                <pic:pic>
                  <pic:nvPicPr>
                    <pic:cNvPr id="0" name="1781002490452_image.png"/>
                    <pic:cNvPicPr/>
                  </pic:nvPicPr>
                  <pic:blipFill>
                    <a:blip r:embed="rId12"/>
                    <a:stretch>
                      <a:fillRect/>
                    </a:stretch>
                  </pic:blipFill>
                  <pic:spPr>
                    <a:xfrm>
                      <a:off x="0" y="0"/>
                      <a:ext cx="5303520" cy="2488071"/>
                    </a:xfrm>
                    <a:prstGeom prst="rect"/>
                  </pic:spPr>
                </pic:pic>
              </a:graphicData>
            </a:graphic>
          </wp:inline>
        </w:drawing>
      </w:r>
    </w:p>
    <w:p>
      <w:pPr>
        <w:spacing w:before="40" w:after="200"/>
        <w:jc w:val="center"/>
      </w:pPr>
      <w:r>
        <w:rPr>
          <w:rFonts w:ascii="Calibri" w:hAnsi="Calibri"/>
          <w:b w:val="0"/>
          <w:i/>
          <w:color w:val="607D8B"/>
          <w:sz w:val="18"/>
        </w:rPr>
        <w:t>Figura 2.2 — HomePage en modo oscuro con gráfico de Tendencia Emocional visible</w:t>
      </w:r>
    </w:p>
    <w:p>
      <w:pPr>
        <w:spacing w:before="60" w:after="120"/>
        <w:jc w:val="both"/>
      </w:pPr>
      <w:r>
        <w:rPr>
          <w:rFonts w:ascii="Calibri" w:hAnsi="Calibri"/>
          <w:b w:val="0"/>
          <w:i w:val="0"/>
          <w:color w:val="37474F"/>
          <w:sz w:val="21"/>
        </w:rPr>
        <w:t>El modo oscuro está completamente implementado mediante el token CSS [data-theme="dark"] y 305 líneas de design tokens semánticos. La captura muestra la misma información que el modo claro pero con paleta oscura, demostrando consistencia de datos entre sesiones. Se puede apreciar además el gráfico de "Tendencia emocional" con filtros 7d/30d/90d en la parte inferior, implementado con la librería Recharts conectada a la API real.</w:t>
      </w:r>
    </w:p>
    <w:p>
      <w:r>
        <w:br w:type="page"/>
      </w:r>
    </w:p>
    <w:p>
      <w:pPr>
        <w:spacing w:before="360" w:after="120"/>
      </w:pPr>
      <w:r>
        <w:rPr>
          <w:rFonts w:ascii="Calibri" w:hAnsi="Calibri"/>
          <w:b/>
          <w:i w:val="0"/>
          <w:color w:val="1B5E20"/>
          <w:sz w:val="32"/>
        </w:rPr>
        <w:t>SECCIÓN 3 — API REST — Documentación Swagger UI</w:t>
      </w:r>
    </w:p>
    <w:p>
      <w:pPr>
        <w:spacing w:before="60" w:after="120"/>
        <w:jc w:val="both"/>
      </w:pPr>
      <w:r>
        <w:rPr>
          <w:rFonts w:ascii="Calibri" w:hAnsi="Calibri"/>
          <w:b w:val="0"/>
          <w:i w:val="0"/>
          <w:color w:val="37474F"/>
          <w:sz w:val="21"/>
        </w:rPr>
        <w:t>La API REST de MindCheck AI está documentada bajo el estándar OpenAPI Specification 3.1 (OAS 3.1) y es accesible en http://localhost:8000/docs. Cuenta con 11 endpoints organizados en 4 routers: Journal, Resources, Alerts y System. Los endpoints protegidos requieren token JWT válido (identificados con el ícono de candado 🔒). Los schemas Pydantic garantizan la validación de datos en cada request y response.</w:t>
      </w:r>
    </w:p>
    <w:p>
      <w:pPr>
        <w:spacing w:before="160" w:after="160"/>
        <w:pBdr>
          <w:bottom w:val="single" w:sz="6" w:space="1" w:color="4CAF50"/>
        </w:pBdr>
      </w:pPr>
    </w:p>
    <w:p>
      <w:pPr>
        <w:spacing w:before="200" w:after="120"/>
      </w:pPr>
      <w:r>
        <w:rPr>
          <w:rFonts w:ascii="Calibri" w:hAnsi="Calibri"/>
          <w:b/>
          <w:i w:val="0"/>
          <w:color w:val="2E7D32"/>
          <w:sz w:val="26"/>
        </w:rPr>
        <w:t>Evidencia 3.1 — Router Journal (5 endpoints)</w:t>
      </w:r>
    </w:p>
    <w:p>
      <w:pPr>
        <w:spacing w:before="40" w:after="40"/>
      </w:pPr>
      <w:r>
        <w:rPr>
          <w:rFonts w:ascii="Calibri" w:hAnsi="Calibri"/>
          <w:b/>
          <w:i w:val="0"/>
          <w:color w:val="1B5E20"/>
          <w:sz w:val="20"/>
        </w:rPr>
        <w:t xml:space="preserve">Tipo de evidencia: </w:t>
      </w:r>
      <w:r>
        <w:rPr>
          <w:rFonts w:ascii="Calibri" w:hAnsi="Calibri"/>
          <w:b w:val="0"/>
          <w:i w:val="0"/>
          <w:color w:val="37474F"/>
          <w:sz w:val="20"/>
        </w:rPr>
        <w:t>Captura Swagger UI — OAS 3.1</w:t>
      </w:r>
    </w:p>
    <w:p>
      <w:pPr>
        <w:spacing w:before="40" w:after="40"/>
      </w:pPr>
      <w:r>
        <w:rPr>
          <w:rFonts w:ascii="Calibri" w:hAnsi="Calibri"/>
          <w:b/>
          <w:i w:val="0"/>
          <w:color w:val="1B5E20"/>
          <w:sz w:val="20"/>
        </w:rPr>
        <w:t xml:space="preserve">URL: </w:t>
      </w:r>
      <w:r>
        <w:rPr>
          <w:rFonts w:ascii="Calibri" w:hAnsi="Calibri"/>
          <w:b w:val="0"/>
          <w:i w:val="0"/>
          <w:color w:val="37474F"/>
          <w:sz w:val="20"/>
        </w:rPr>
        <w:t>http://localhost:8000/docs</w:t>
      </w:r>
    </w:p>
    <w:p>
      <w:pPr>
        <w:spacing w:before="40" w:after="40"/>
      </w:pPr>
      <w:r>
        <w:rPr>
          <w:rFonts w:ascii="Calibri" w:hAnsi="Calibri"/>
          <w:b/>
          <w:i w:val="0"/>
          <w:color w:val="1B5E20"/>
          <w:sz w:val="20"/>
        </w:rPr>
        <w:t xml:space="preserve">Autenticación: </w:t>
      </w:r>
      <w:r>
        <w:rPr>
          <w:rFonts w:ascii="Calibri" w:hAnsi="Calibri"/>
          <w:b w:val="0"/>
          <w:i w:val="0"/>
          <w:color w:val="37474F"/>
          <w:sz w:val="20"/>
        </w:rPr>
        <w:t>JWT requerido en todos los endpoints</w:t>
      </w:r>
    </w:p>
    <w:p/>
    <w:p>
      <w:pPr>
        <w:spacing w:before="80" w:after="80"/>
        <w:jc w:val="center"/>
      </w:pPr>
      <w:r>
        <w:drawing>
          <wp:inline xmlns:a="http://schemas.openxmlformats.org/drawingml/2006/main" xmlns:pic="http://schemas.openxmlformats.org/drawingml/2006/picture">
            <wp:extent cx="5486400" cy="1313800"/>
            <wp:docPr id="5" name="Picture 5"/>
            <wp:cNvGraphicFramePr>
              <a:graphicFrameLocks noChangeAspect="1"/>
            </wp:cNvGraphicFramePr>
            <a:graphic>
              <a:graphicData uri="http://schemas.openxmlformats.org/drawingml/2006/picture">
                <pic:pic>
                  <pic:nvPicPr>
                    <pic:cNvPr id="0" name="1780705971914_image.png"/>
                    <pic:cNvPicPr/>
                  </pic:nvPicPr>
                  <pic:blipFill>
                    <a:blip r:embed="rId13"/>
                    <a:stretch>
                      <a:fillRect/>
                    </a:stretch>
                  </pic:blipFill>
                  <pic:spPr>
                    <a:xfrm>
                      <a:off x="0" y="0"/>
                      <a:ext cx="5486400" cy="1313800"/>
                    </a:xfrm>
                    <a:prstGeom prst="rect"/>
                  </pic:spPr>
                </pic:pic>
              </a:graphicData>
            </a:graphic>
          </wp:inline>
        </w:drawing>
      </w:r>
    </w:p>
    <w:p>
      <w:pPr>
        <w:spacing w:before="40" w:after="200"/>
        <w:jc w:val="center"/>
      </w:pPr>
      <w:r>
        <w:rPr>
          <w:rFonts w:ascii="Calibri" w:hAnsi="Calibri"/>
          <w:b w:val="0"/>
          <w:i/>
          <w:color w:val="607D8B"/>
          <w:sz w:val="18"/>
        </w:rPr>
        <w:t>Figura 3.1 — Router Journal con 5 endpoints: POST analyze, POST manual-emotion, GET entries, GET entry_id, DELETE entry_id</w:t>
      </w:r>
    </w:p>
    <w:p>
      <w:pPr>
        <w:spacing w:before="60" w:after="120"/>
        <w:jc w:val="both"/>
      </w:pPr>
      <w:r>
        <w:rPr>
          <w:rFonts w:ascii="Calibri" w:hAnsi="Calibri"/>
          <w:b w:val="0"/>
          <w:i w:val="0"/>
          <w:color w:val="37474F"/>
          <w:sz w:val="21"/>
        </w:rPr>
        <w:t>El router Journal agrupa los 5 endpoints principales del sistema: POST /analyze (análisis IA con GPT-4o mini), POST /manual-emotion (fallback manual sin IA), GET /entries (historial paginado), GET /entries/{entry_id} (detalle de una entrada) y DELETE /entries/{entry_id} (eliminación con cascada en BD). Todos tienen el candado JWT activo.</w:t>
      </w:r>
    </w:p>
    <w:p>
      <w:pPr>
        <w:spacing w:before="160" w:after="160"/>
        <w:pBdr>
          <w:bottom w:val="single" w:sz="6" w:space="1" w:color="4CAF50"/>
        </w:pBdr>
      </w:pPr>
    </w:p>
    <w:p>
      <w:pPr>
        <w:spacing w:before="200" w:after="120"/>
      </w:pPr>
      <w:r>
        <w:rPr>
          <w:rFonts w:ascii="Calibri" w:hAnsi="Calibri"/>
          <w:b/>
          <w:i w:val="0"/>
          <w:color w:val="2E7D32"/>
          <w:sz w:val="26"/>
        </w:rPr>
        <w:t>Evidencia 3.2 — Routers Resources y Alerts (4 endpoints)</w:t>
      </w:r>
    </w:p>
    <w:p/>
    <w:p>
      <w:pPr>
        <w:spacing w:before="80" w:after="80"/>
        <w:jc w:val="center"/>
      </w:pPr>
      <w:r>
        <w:drawing>
          <wp:inline xmlns:a="http://schemas.openxmlformats.org/drawingml/2006/main" xmlns:pic="http://schemas.openxmlformats.org/drawingml/2006/picture">
            <wp:extent cx="5486400" cy="464437"/>
            <wp:docPr id="6" name="Picture 6"/>
            <wp:cNvGraphicFramePr>
              <a:graphicFrameLocks noChangeAspect="1"/>
            </wp:cNvGraphicFramePr>
            <a:graphic>
              <a:graphicData uri="http://schemas.openxmlformats.org/drawingml/2006/picture">
                <pic:pic>
                  <pic:nvPicPr>
                    <pic:cNvPr id="0" name="1780705991062_image.png"/>
                    <pic:cNvPicPr/>
                  </pic:nvPicPr>
                  <pic:blipFill>
                    <a:blip r:embed="rId14"/>
                    <a:stretch>
                      <a:fillRect/>
                    </a:stretch>
                  </pic:blipFill>
                  <pic:spPr>
                    <a:xfrm>
                      <a:off x="0" y="0"/>
                      <a:ext cx="5486400" cy="464437"/>
                    </a:xfrm>
                    <a:prstGeom prst="rect"/>
                  </pic:spPr>
                </pic:pic>
              </a:graphicData>
            </a:graphic>
          </wp:inline>
        </w:drawing>
      </w:r>
    </w:p>
    <w:p>
      <w:pPr>
        <w:spacing w:before="40" w:after="200"/>
        <w:jc w:val="center"/>
      </w:pPr>
      <w:r>
        <w:rPr>
          <w:rFonts w:ascii="Calibri" w:hAnsi="Calibri"/>
          <w:b w:val="0"/>
          <w:i/>
          <w:color w:val="607D8B"/>
          <w:sz w:val="18"/>
        </w:rPr>
        <w:t>Figura 3.2a — Router Resources: GET /api/v1/resources/ (endpoint público)</w:t>
      </w:r>
    </w:p>
    <w:p/>
    <w:p>
      <w:pPr>
        <w:spacing w:before="80" w:after="80"/>
        <w:jc w:val="center"/>
      </w:pPr>
      <w:r>
        <w:drawing>
          <wp:inline xmlns:a="http://schemas.openxmlformats.org/drawingml/2006/main" xmlns:pic="http://schemas.openxmlformats.org/drawingml/2006/picture">
            <wp:extent cx="5486400" cy="820680"/>
            <wp:docPr id="7" name="Picture 7"/>
            <wp:cNvGraphicFramePr>
              <a:graphicFrameLocks noChangeAspect="1"/>
            </wp:cNvGraphicFramePr>
            <a:graphic>
              <a:graphicData uri="http://schemas.openxmlformats.org/drawingml/2006/picture">
                <pic:pic>
                  <pic:nvPicPr>
                    <pic:cNvPr id="0" name="1780706005219_image.png"/>
                    <pic:cNvPicPr/>
                  </pic:nvPicPr>
                  <pic:blipFill>
                    <a:blip r:embed="rId15"/>
                    <a:stretch>
                      <a:fillRect/>
                    </a:stretch>
                  </pic:blipFill>
                  <pic:spPr>
                    <a:xfrm>
                      <a:off x="0" y="0"/>
                      <a:ext cx="5486400" cy="820680"/>
                    </a:xfrm>
                    <a:prstGeom prst="rect"/>
                  </pic:spPr>
                </pic:pic>
              </a:graphicData>
            </a:graphic>
          </wp:inline>
        </w:drawing>
      </w:r>
    </w:p>
    <w:p>
      <w:pPr>
        <w:spacing w:before="40" w:after="200"/>
        <w:jc w:val="center"/>
      </w:pPr>
      <w:r>
        <w:rPr>
          <w:rFonts w:ascii="Calibri" w:hAnsi="Calibri"/>
          <w:b w:val="0"/>
          <w:i/>
          <w:color w:val="607D8B"/>
          <w:sz w:val="18"/>
        </w:rPr>
        <w:t>Figura 3.2b — Router Alerts: GET alerts, GET unread-count, PATCH acknowledge</w:t>
      </w:r>
    </w:p>
    <w:p>
      <w:pPr>
        <w:spacing w:before="60" w:after="120"/>
        <w:jc w:val="both"/>
      </w:pPr>
      <w:r>
        <w:rPr>
          <w:rFonts w:ascii="Calibri" w:hAnsi="Calibri"/>
          <w:b w:val="0"/>
          <w:i w:val="0"/>
          <w:color w:val="37474F"/>
          <w:sz w:val="21"/>
        </w:rPr>
        <w:t>El router Resources tiene un endpoint público (sin autenticación) que devuelve los recursos de autoayuda disponibles. El router Alerts gestiona las alertas del estudiante: obtener alertas activas, contar no leídas y marcar como reconocida. Estos tres endpoints requieren JWT.</w:t>
      </w:r>
    </w:p>
    <w:p>
      <w:pPr>
        <w:spacing w:before="160" w:after="160"/>
        <w:pBdr>
          <w:bottom w:val="single" w:sz="6" w:space="1" w:color="4CAF50"/>
        </w:pBdr>
      </w:pPr>
    </w:p>
    <w:p>
      <w:pPr>
        <w:spacing w:before="200" w:after="120"/>
      </w:pPr>
      <w:r>
        <w:rPr>
          <w:rFonts w:ascii="Calibri" w:hAnsi="Calibri"/>
          <w:b/>
          <w:i w:val="0"/>
          <w:color w:val="2E7D32"/>
          <w:sz w:val="26"/>
        </w:rPr>
        <w:t>Evidencia 3.3 — GET /health — Servidor Activo (200 OK)</w:t>
      </w:r>
    </w:p>
    <w:p>
      <w:pPr>
        <w:spacing w:before="40" w:after="40"/>
      </w:pPr>
      <w:r>
        <w:rPr>
          <w:rFonts w:ascii="Calibri" w:hAnsi="Calibri"/>
          <w:b/>
          <w:i w:val="0"/>
          <w:color w:val="1B5E20"/>
          <w:sz w:val="20"/>
        </w:rPr>
        <w:t xml:space="preserve">Código de respuesta: </w:t>
      </w:r>
      <w:r>
        <w:rPr>
          <w:rFonts w:ascii="Calibri" w:hAnsi="Calibri"/>
          <w:b w:val="0"/>
          <w:i w:val="0"/>
          <w:color w:val="37474F"/>
          <w:sz w:val="20"/>
        </w:rPr>
        <w:t>200 OK</w:t>
      </w:r>
    </w:p>
    <w:p>
      <w:pPr>
        <w:spacing w:before="40" w:after="40"/>
      </w:pPr>
      <w:r>
        <w:rPr>
          <w:rFonts w:ascii="Calibri" w:hAnsi="Calibri"/>
          <w:b/>
          <w:i w:val="0"/>
          <w:color w:val="1B5E20"/>
          <w:sz w:val="20"/>
        </w:rPr>
        <w:t xml:space="preserve">Servidor: </w:t>
      </w:r>
      <w:r>
        <w:rPr>
          <w:rFonts w:ascii="Calibri" w:hAnsi="Calibri"/>
          <w:b w:val="0"/>
          <w:i w:val="0"/>
          <w:color w:val="37474F"/>
          <w:sz w:val="20"/>
        </w:rPr>
        <w:t>Uvicorn (FastAPI)</w:t>
      </w:r>
    </w:p>
    <w:p>
      <w:pPr>
        <w:spacing w:before="40" w:after="40"/>
      </w:pPr>
      <w:r>
        <w:rPr>
          <w:rFonts w:ascii="Calibri" w:hAnsi="Calibri"/>
          <w:b/>
          <w:i w:val="0"/>
          <w:color w:val="1B5E20"/>
          <w:sz w:val="20"/>
        </w:rPr>
        <w:t xml:space="preserve">Fecha/Hora: </w:t>
      </w:r>
      <w:r>
        <w:rPr>
          <w:rFonts w:ascii="Calibri" w:hAnsi="Calibri"/>
          <w:b w:val="0"/>
          <w:i w:val="0"/>
          <w:color w:val="37474F"/>
          <w:sz w:val="20"/>
        </w:rPr>
        <w:t>Fri, 05 Jun 2026 17:51:28 GMT</w:t>
      </w:r>
    </w:p>
    <w:p/>
    <w:p>
      <w:pPr>
        <w:spacing w:before="80" w:after="80"/>
        <w:jc w:val="center"/>
      </w:pPr>
      <w:r>
        <w:drawing>
          <wp:inline xmlns:a="http://schemas.openxmlformats.org/drawingml/2006/main" xmlns:pic="http://schemas.openxmlformats.org/drawingml/2006/picture">
            <wp:extent cx="5486400" cy="2508932"/>
            <wp:docPr id="8" name="Picture 8"/>
            <wp:cNvGraphicFramePr>
              <a:graphicFrameLocks noChangeAspect="1"/>
            </wp:cNvGraphicFramePr>
            <a:graphic>
              <a:graphicData uri="http://schemas.openxmlformats.org/drawingml/2006/picture">
                <pic:pic>
                  <pic:nvPicPr>
                    <pic:cNvPr id="0" name="1780706029257_image.png"/>
                    <pic:cNvPicPr/>
                  </pic:nvPicPr>
                  <pic:blipFill>
                    <a:blip r:embed="rId16"/>
                    <a:stretch>
                      <a:fillRect/>
                    </a:stretch>
                  </pic:blipFill>
                  <pic:spPr>
                    <a:xfrm>
                      <a:off x="0" y="0"/>
                      <a:ext cx="5486400" cy="2508932"/>
                    </a:xfrm>
                    <a:prstGeom prst="rect"/>
                  </pic:spPr>
                </pic:pic>
              </a:graphicData>
            </a:graphic>
          </wp:inline>
        </w:drawing>
      </w:r>
    </w:p>
    <w:p>
      <w:pPr>
        <w:spacing w:before="40" w:after="200"/>
        <w:jc w:val="center"/>
      </w:pPr>
      <w:r>
        <w:rPr>
          <w:rFonts w:ascii="Calibri" w:hAnsi="Calibri"/>
          <w:b w:val="0"/>
          <w:i/>
          <w:color w:val="607D8B"/>
          <w:sz w:val="18"/>
        </w:rPr>
        <w:t>Figura 3.3a — Ejecución del endpoint GET /health con respuesta 200 OK</w:t>
      </w:r>
    </w:p>
    <w:p/>
    <w:p>
      <w:pPr>
        <w:spacing w:before="80" w:after="80"/>
        <w:jc w:val="center"/>
      </w:pPr>
      <w:r>
        <w:drawing>
          <wp:inline xmlns:a="http://schemas.openxmlformats.org/drawingml/2006/main" xmlns:pic="http://schemas.openxmlformats.org/drawingml/2006/picture">
            <wp:extent cx="5486400" cy="2099875"/>
            <wp:docPr id="9" name="Picture 9"/>
            <wp:cNvGraphicFramePr>
              <a:graphicFrameLocks noChangeAspect="1"/>
            </wp:cNvGraphicFramePr>
            <a:graphic>
              <a:graphicData uri="http://schemas.openxmlformats.org/drawingml/2006/picture">
                <pic:pic>
                  <pic:nvPicPr>
                    <pic:cNvPr id="0" name="1780706054670_image.png"/>
                    <pic:cNvPicPr/>
                  </pic:nvPicPr>
                  <pic:blipFill>
                    <a:blip r:embed="rId17"/>
                    <a:stretch>
                      <a:fillRect/>
                    </a:stretch>
                  </pic:blipFill>
                  <pic:spPr>
                    <a:xfrm>
                      <a:off x="0" y="0"/>
                      <a:ext cx="5486400" cy="2099875"/>
                    </a:xfrm>
                    <a:prstGeom prst="rect"/>
                  </pic:spPr>
                </pic:pic>
              </a:graphicData>
            </a:graphic>
          </wp:inline>
        </w:drawing>
      </w:r>
    </w:p>
    <w:p>
      <w:pPr>
        <w:spacing w:before="40" w:after="200"/>
        <w:jc w:val="center"/>
      </w:pPr>
      <w:r>
        <w:rPr>
          <w:rFonts w:ascii="Calibri" w:hAnsi="Calibri"/>
          <w:b w:val="0"/>
          <w:i/>
          <w:color w:val="607D8B"/>
          <w:sz w:val="18"/>
        </w:rPr>
        <w:t>Figura 3.3b — Response body: status "ok", version "0.1.0", environment "development" · Server: Uvicorn</w:t>
      </w:r>
    </w:p>
    <w:p>
      <w:pPr>
        <w:spacing w:before="60" w:after="120"/>
        <w:jc w:val="both"/>
      </w:pPr>
      <w:r>
        <w:rPr>
          <w:rFonts w:ascii="Calibri" w:hAnsi="Calibri"/>
          <w:b w:val="0"/>
          <w:i w:val="0"/>
          <w:color w:val="37474F"/>
          <w:sz w:val="21"/>
        </w:rPr>
        <w:t>La ejecución del health check desde Swagger confirma que el servidor backend está activo y respondiendo correctamente. El response body devuelve {"status": "ok", "version": "0.1.0", "environment": "development"} y los headers confirman que el servidor es Uvicorn, el servidor ASGI de FastAPI. La fecha y hora del response (Fri, 05 Jun 2026 17:51:28 GMT) es verificable.</w:t>
      </w:r>
    </w:p>
    <w:p>
      <w:pPr>
        <w:spacing w:before="160" w:after="160"/>
        <w:pBdr>
          <w:bottom w:val="single" w:sz="6" w:space="1" w:color="4CAF50"/>
        </w:pBdr>
      </w:pPr>
    </w:p>
    <w:p>
      <w:pPr>
        <w:spacing w:before="200" w:after="120"/>
      </w:pPr>
      <w:r>
        <w:rPr>
          <w:rFonts w:ascii="Calibri" w:hAnsi="Calibri"/>
          <w:b/>
          <w:i w:val="0"/>
          <w:color w:val="2E7D32"/>
          <w:sz w:val="26"/>
        </w:rPr>
        <w:t>Evidencia 3.4 — Schemas Pydantic (Validación de datos)</w:t>
      </w:r>
    </w:p>
    <w:p/>
    <w:p>
      <w:pPr>
        <w:spacing w:before="80" w:after="80"/>
        <w:jc w:val="center"/>
      </w:pPr>
      <w:r>
        <w:drawing>
          <wp:inline xmlns:a="http://schemas.openxmlformats.org/drawingml/2006/main" xmlns:pic="http://schemas.openxmlformats.org/drawingml/2006/picture">
            <wp:extent cx="5486400" cy="1358320"/>
            <wp:docPr id="10" name="Picture 10"/>
            <wp:cNvGraphicFramePr>
              <a:graphicFrameLocks noChangeAspect="1"/>
            </wp:cNvGraphicFramePr>
            <a:graphic>
              <a:graphicData uri="http://schemas.openxmlformats.org/drawingml/2006/picture">
                <pic:pic>
                  <pic:nvPicPr>
                    <pic:cNvPr id="0" name="1780706069005_image.png"/>
                    <pic:cNvPicPr/>
                  </pic:nvPicPr>
                  <pic:blipFill>
                    <a:blip r:embed="rId18"/>
                    <a:stretch>
                      <a:fillRect/>
                    </a:stretch>
                  </pic:blipFill>
                  <pic:spPr>
                    <a:xfrm>
                      <a:off x="0" y="0"/>
                      <a:ext cx="5486400" cy="1358320"/>
                    </a:xfrm>
                    <a:prstGeom prst="rect"/>
                  </pic:spPr>
                </pic:pic>
              </a:graphicData>
            </a:graphic>
          </wp:inline>
        </w:drawing>
      </w:r>
    </w:p>
    <w:p>
      <w:pPr>
        <w:spacing w:before="40" w:after="200"/>
        <w:jc w:val="center"/>
      </w:pPr>
      <w:r>
        <w:rPr>
          <w:rFonts w:ascii="Calibri" w:hAnsi="Calibri"/>
          <w:b w:val="0"/>
          <w:i/>
          <w:color w:val="607D8B"/>
          <w:sz w:val="18"/>
        </w:rPr>
        <w:t>Figura 3.4 — Schemas Pydantic: JournalEntryCreate, ManualEmotionRequest, ValidationError, HTTPValidationError</w:t>
      </w:r>
    </w:p>
    <w:p>
      <w:pPr>
        <w:spacing w:before="60" w:after="120"/>
        <w:jc w:val="both"/>
      </w:pPr>
      <w:r>
        <w:rPr>
          <w:rFonts w:ascii="Calibri" w:hAnsi="Calibri"/>
          <w:b w:val="0"/>
          <w:i w:val="0"/>
          <w:color w:val="37474F"/>
          <w:sz w:val="21"/>
        </w:rPr>
        <w:t>Los schemas Pydantic garantizan la validación automática de todos los datos entrantes y salientes de la API. JournalEntryCreate valida el texto de la bitácora (mínimo 20, máximo 2000 caracteres según RF-03). ManualEmotionRequest valida el selector manual de emociones. ValidationError y HTTPValidationError son los schemas de error estandarizados que devuelve la API cuando los datos no cumplen las validaciones.</w:t>
      </w:r>
    </w:p>
    <w:p>
      <w:r>
        <w:br w:type="page"/>
      </w:r>
    </w:p>
    <w:p>
      <w:pPr>
        <w:spacing w:before="360" w:after="120"/>
      </w:pPr>
      <w:r>
        <w:rPr>
          <w:rFonts w:ascii="Calibri" w:hAnsi="Calibri"/>
          <w:b/>
          <w:i w:val="0"/>
          <w:color w:val="1B5E20"/>
          <w:sz w:val="32"/>
        </w:rPr>
        <w:t>SECCIÓN 4 — Sistema de Alertas — Correo Gmail</w:t>
      </w:r>
    </w:p>
    <w:p>
      <w:pPr>
        <w:spacing w:before="60" w:after="120"/>
        <w:jc w:val="both"/>
      </w:pPr>
      <w:r>
        <w:rPr>
          <w:rFonts w:ascii="Calibri" w:hAnsi="Calibri"/>
          <w:b w:val="0"/>
          <w:i w:val="0"/>
          <w:color w:val="37474F"/>
          <w:sz w:val="21"/>
        </w:rPr>
        <w:t>Esta sección demuestra que el sistema de alertas automáticas está completamente operativo de extremo a extremo. El flujo verificado es: registro de bitácora → análisis GPT-4o mini → detección de riesgo crítico → creación de alerta en BD → envío de correo HTML profesional vía SMTP async (aiosmtplib) → recepción en Gmail. El correo contiene SOLO metadata para proteger la privacidad del estudiante, cumpliendo con la Ley 19.628 de protección de datos personales.</w:t>
      </w:r>
    </w:p>
    <w:p>
      <w:pPr>
        <w:spacing w:before="160" w:after="160"/>
        <w:pBdr>
          <w:bottom w:val="single" w:sz="6" w:space="1" w:color="4CAF50"/>
        </w:pBdr>
      </w:pPr>
    </w:p>
    <w:p>
      <w:pPr>
        <w:spacing w:before="200" w:after="120"/>
      </w:pPr>
      <w:r>
        <w:rPr>
          <w:rFonts w:ascii="Calibri" w:hAnsi="Calibri"/>
          <w:b/>
          <w:i w:val="0"/>
          <w:color w:val="2E7D32"/>
          <w:sz w:val="26"/>
        </w:rPr>
        <w:t>Evidencia 4.1 — Bandeja de entrada Gmail con alertas recibidas</w:t>
      </w:r>
    </w:p>
    <w:p>
      <w:pPr>
        <w:spacing w:before="40" w:after="40"/>
      </w:pPr>
      <w:r>
        <w:rPr>
          <w:rFonts w:ascii="Calibri" w:hAnsi="Calibri"/>
          <w:b/>
          <w:i w:val="0"/>
          <w:color w:val="1B5E20"/>
          <w:sz w:val="20"/>
        </w:rPr>
        <w:t xml:space="preserve">Tipo de evidencia: </w:t>
      </w:r>
      <w:r>
        <w:rPr>
          <w:rFonts w:ascii="Calibri" w:hAnsi="Calibri"/>
          <w:b w:val="0"/>
          <w:i w:val="0"/>
          <w:color w:val="37474F"/>
          <w:sz w:val="20"/>
        </w:rPr>
        <w:t>Captura de pantalla — Gmail</w:t>
      </w:r>
    </w:p>
    <w:p>
      <w:pPr>
        <w:spacing w:before="40" w:after="40"/>
      </w:pPr>
      <w:r>
        <w:rPr>
          <w:rFonts w:ascii="Calibri" w:hAnsi="Calibri"/>
          <w:b/>
          <w:i w:val="0"/>
          <w:color w:val="1B5E20"/>
          <w:sz w:val="20"/>
        </w:rPr>
        <w:t xml:space="preserve">Asunto: </w:t>
      </w:r>
      <w:r>
        <w:rPr>
          <w:rFonts w:ascii="Calibri" w:hAnsi="Calibri"/>
          <w:b w:val="0"/>
          <w:i w:val="0"/>
          <w:color w:val="37474F"/>
          <w:sz w:val="20"/>
        </w:rPr>
        <w:t>[MindCheck] Alerta Crítico — Atención Inmediata Requerida</w:t>
      </w:r>
    </w:p>
    <w:p>
      <w:pPr>
        <w:spacing w:before="40" w:after="40"/>
      </w:pPr>
      <w:r>
        <w:rPr>
          <w:rFonts w:ascii="Calibri" w:hAnsi="Calibri"/>
          <w:b/>
          <w:i w:val="0"/>
          <w:color w:val="1B5E20"/>
          <w:sz w:val="20"/>
        </w:rPr>
        <w:t xml:space="preserve">Hora de recepción: </w:t>
      </w:r>
      <w:r>
        <w:rPr>
          <w:rFonts w:ascii="Calibri" w:hAnsi="Calibri"/>
          <w:b w:val="0"/>
          <w:i w:val="0"/>
          <w:color w:val="37474F"/>
          <w:sz w:val="20"/>
        </w:rPr>
        <w:t>12:07 (2 correos recibidos)</w:t>
      </w:r>
    </w:p>
    <w:p/>
    <w:p>
      <w:pPr>
        <w:spacing w:before="80" w:after="80"/>
        <w:jc w:val="center"/>
      </w:pPr>
      <w:r>
        <w:drawing>
          <wp:inline xmlns:a="http://schemas.openxmlformats.org/drawingml/2006/main" xmlns:pic="http://schemas.openxmlformats.org/drawingml/2006/picture">
            <wp:extent cx="5029200" cy="765793"/>
            <wp:docPr id="11" name="Picture 11"/>
            <wp:cNvGraphicFramePr>
              <a:graphicFrameLocks noChangeAspect="1"/>
            </wp:cNvGraphicFramePr>
            <a:graphic>
              <a:graphicData uri="http://schemas.openxmlformats.org/drawingml/2006/picture">
                <pic:pic>
                  <pic:nvPicPr>
                    <pic:cNvPr id="0" name="1781002649638_image.png"/>
                    <pic:cNvPicPr/>
                  </pic:nvPicPr>
                  <pic:blipFill>
                    <a:blip r:embed="rId19"/>
                    <a:stretch>
                      <a:fillRect/>
                    </a:stretch>
                  </pic:blipFill>
                  <pic:spPr>
                    <a:xfrm>
                      <a:off x="0" y="0"/>
                      <a:ext cx="5029200" cy="765793"/>
                    </a:xfrm>
                    <a:prstGeom prst="rect"/>
                  </pic:spPr>
                </pic:pic>
              </a:graphicData>
            </a:graphic>
          </wp:inline>
        </w:drawing>
      </w:r>
    </w:p>
    <w:p>
      <w:pPr>
        <w:spacing w:before="40" w:after="200"/>
        <w:jc w:val="center"/>
      </w:pPr>
      <w:r>
        <w:rPr>
          <w:rFonts w:ascii="Calibri" w:hAnsi="Calibri"/>
          <w:b w:val="0"/>
          <w:i/>
          <w:color w:val="607D8B"/>
          <w:sz w:val="18"/>
        </w:rPr>
        <w:t>Figura 4.1 — Bandeja de entrada Gmail mostrando 2 correos de alerta crítica recibidos</w:t>
      </w:r>
    </w:p>
    <w:p>
      <w:pPr>
        <w:spacing w:before="60" w:after="120"/>
        <w:jc w:val="both"/>
      </w:pPr>
      <w:r>
        <w:rPr>
          <w:rFonts w:ascii="Calibri" w:hAnsi="Calibri"/>
          <w:b w:val="0"/>
          <w:i w:val="0"/>
          <w:color w:val="37474F"/>
          <w:sz w:val="21"/>
        </w:rPr>
        <w:t>La captura muestra la bandeja de entrada con dos correos de alerta recibidos desde MindCheck AI a las 12:07. El asunto "[MindCheck] Alerta Crítico — Atención Inmediata Requerida" con el emoji ⚠️ demuestra que el sistema de notificaciones está activo y que el correo llegó correctamente a la carpeta Principal de Gmail (no a Spam).</w:t>
      </w:r>
    </w:p>
    <w:p>
      <w:pPr>
        <w:spacing w:before="160" w:after="160"/>
        <w:pBdr>
          <w:bottom w:val="single" w:sz="6" w:space="1" w:color="4CAF50"/>
        </w:pBdr>
      </w:pPr>
    </w:p>
    <w:p>
      <w:pPr>
        <w:spacing w:before="200" w:after="120"/>
      </w:pPr>
      <w:r>
        <w:rPr>
          <w:rFonts w:ascii="Calibri" w:hAnsi="Calibri"/>
          <w:b/>
          <w:i w:val="0"/>
          <w:color w:val="2E7D32"/>
          <w:sz w:val="26"/>
        </w:rPr>
        <w:t>Evidencia 4.2 — Correo HTML de Alerta Crítica abierto</w:t>
      </w:r>
    </w:p>
    <w:p>
      <w:pPr>
        <w:spacing w:before="40" w:after="40"/>
      </w:pPr>
      <w:r>
        <w:rPr>
          <w:rFonts w:ascii="Calibri" w:hAnsi="Calibri"/>
          <w:b/>
          <w:i w:val="0"/>
          <w:color w:val="1B5E20"/>
          <w:sz w:val="20"/>
        </w:rPr>
        <w:t xml:space="preserve">Tipo de evidencia: </w:t>
      </w:r>
      <w:r>
        <w:rPr>
          <w:rFonts w:ascii="Calibri" w:hAnsi="Calibri"/>
          <w:b w:val="0"/>
          <w:i w:val="0"/>
          <w:color w:val="37474F"/>
          <w:sz w:val="20"/>
        </w:rPr>
        <w:t>Captura de pantalla — Correo HTML completo</w:t>
      </w:r>
    </w:p>
    <w:p>
      <w:pPr>
        <w:spacing w:before="40" w:after="40"/>
      </w:pPr>
      <w:r>
        <w:rPr>
          <w:rFonts w:ascii="Calibri" w:hAnsi="Calibri"/>
          <w:b/>
          <w:i w:val="0"/>
          <w:color w:val="1B5E20"/>
          <w:sz w:val="20"/>
        </w:rPr>
        <w:t xml:space="preserve">Nivel de riesgo: </w:t>
      </w:r>
      <w:r>
        <w:rPr>
          <w:rFonts w:ascii="Calibri" w:hAnsi="Calibri"/>
          <w:b w:val="0"/>
          <w:i w:val="0"/>
          <w:color w:val="37474F"/>
          <w:sz w:val="20"/>
        </w:rPr>
        <w:t>CRÍTICO</w:t>
      </w:r>
    </w:p>
    <w:p>
      <w:pPr>
        <w:spacing w:before="40" w:after="40"/>
      </w:pPr>
      <w:r>
        <w:rPr>
          <w:rFonts w:ascii="Calibri" w:hAnsi="Calibri"/>
          <w:b/>
          <w:i w:val="0"/>
          <w:color w:val="1B5E20"/>
          <w:sz w:val="20"/>
        </w:rPr>
        <w:t xml:space="preserve">Sede: </w:t>
      </w:r>
      <w:r>
        <w:rPr>
          <w:rFonts w:ascii="Calibri" w:hAnsi="Calibri"/>
          <w:b w:val="0"/>
          <w:i w:val="0"/>
          <w:color w:val="37474F"/>
          <w:sz w:val="20"/>
        </w:rPr>
        <w:t>Santiago  |  Carrera: Ingeniería en Informática</w:t>
      </w:r>
    </w:p>
    <w:p>
      <w:pPr>
        <w:spacing w:before="40" w:after="40"/>
      </w:pPr>
      <w:r>
        <w:rPr>
          <w:rFonts w:ascii="Calibri" w:hAnsi="Calibri"/>
          <w:b/>
          <w:i w:val="0"/>
          <w:color w:val="1B5E20"/>
          <w:sz w:val="20"/>
        </w:rPr>
        <w:t xml:space="preserve">Fecha/Hora: </w:t>
      </w:r>
      <w:r>
        <w:rPr>
          <w:rFonts w:ascii="Calibri" w:hAnsi="Calibri"/>
          <w:b w:val="0"/>
          <w:i w:val="0"/>
          <w:color w:val="37474F"/>
          <w:sz w:val="20"/>
        </w:rPr>
        <w:t>2026-06-04 16:07 UTC</w:t>
      </w:r>
    </w:p>
    <w:p/>
    <w:p>
      <w:pPr>
        <w:spacing w:before="80" w:after="80"/>
        <w:jc w:val="center"/>
      </w:pPr>
      <w:r>
        <w:drawing>
          <wp:inline xmlns:a="http://schemas.openxmlformats.org/drawingml/2006/main" xmlns:pic="http://schemas.openxmlformats.org/drawingml/2006/picture">
            <wp:extent cx="5029200" cy="2137410"/>
            <wp:docPr id="12" name="Picture 12"/>
            <wp:cNvGraphicFramePr>
              <a:graphicFrameLocks noChangeAspect="1"/>
            </wp:cNvGraphicFramePr>
            <a:graphic>
              <a:graphicData uri="http://schemas.openxmlformats.org/drawingml/2006/picture">
                <pic:pic>
                  <pic:nvPicPr>
                    <pic:cNvPr id="0" name="1781002772694_image.png"/>
                    <pic:cNvPicPr/>
                  </pic:nvPicPr>
                  <pic:blipFill>
                    <a:blip r:embed="rId20"/>
                    <a:stretch>
                      <a:fillRect/>
                    </a:stretch>
                  </pic:blipFill>
                  <pic:spPr>
                    <a:xfrm>
                      <a:off x="0" y="0"/>
                      <a:ext cx="5029200" cy="2137410"/>
                    </a:xfrm>
                    <a:prstGeom prst="rect"/>
                  </pic:spPr>
                </pic:pic>
              </a:graphicData>
            </a:graphic>
          </wp:inline>
        </w:drawing>
      </w:r>
    </w:p>
    <w:p>
      <w:pPr>
        <w:spacing w:before="40" w:after="200"/>
        <w:jc w:val="center"/>
      </w:pPr>
      <w:r>
        <w:rPr>
          <w:rFonts w:ascii="Calibri" w:hAnsi="Calibri"/>
          <w:b w:val="0"/>
          <w:i/>
          <w:color w:val="607D8B"/>
          <w:sz w:val="18"/>
        </w:rPr>
        <w:t>Figura 4.2 — Correo HTML de alerta crítica con metadata protegida y acción recomendada</w:t>
      </w:r>
    </w:p>
    <w:p>
      <w:pPr>
        <w:spacing w:before="60" w:after="120"/>
        <w:jc w:val="both"/>
      </w:pPr>
      <w:r>
        <w:rPr>
          <w:rFonts w:ascii="Calibri" w:hAnsi="Calibri"/>
          <w:b w:val="0"/>
          <w:i w:val="0"/>
          <w:color w:val="37474F"/>
          <w:sz w:val="21"/>
        </w:rPr>
        <w:t>El correo HTML muestra el diseño profesional de MindCheck AI con header rojo de alerta crítica. La tabla de metadata incluye: Nivel de riesgo (CRÍTICO en rojo), Sede (Santiago), Carrera (Ingeniería en Informática), Fecha/Hora (2026-06-04 16:07 UTC) e ID de alerta. La caja amarilla con "Acción recomendada" indica: "Contactar al estudiante a la brevedad para ofrecer apoyo profesional." IMPORTANTE: el correo NO contiene el texto de la bitácora — solo metadata — cumpliendo con el principio de privacidad de la Ley 19.628.</w:t>
      </w:r>
    </w:p>
    <w:p>
      <w:r>
        <w:br w:type="page"/>
      </w:r>
    </w:p>
    <w:p>
      <w:pPr>
        <w:spacing w:before="360" w:after="120"/>
      </w:pPr>
      <w:r>
        <w:rPr>
          <w:rFonts w:ascii="Calibri" w:hAnsi="Calibri"/>
          <w:b/>
          <w:i w:val="0"/>
          <w:color w:val="1B5E20"/>
          <w:sz w:val="32"/>
        </w:rPr>
        <w:t>SECCIÓN 5 — Base de Datos — Supabase (RLS)</w:t>
      </w:r>
    </w:p>
    <w:p>
      <w:pPr>
        <w:spacing w:before="60" w:after="120"/>
        <w:jc w:val="both"/>
      </w:pPr>
      <w:r>
        <w:rPr>
          <w:rFonts w:ascii="Calibri" w:hAnsi="Calibri"/>
          <w:b w:val="0"/>
          <w:i w:val="0"/>
          <w:color w:val="37474F"/>
          <w:sz w:val="21"/>
        </w:rPr>
        <w:t>Esta sección demuestra la implementación de la base de datos PostgreSQL en Supabase con Row Level Security (RLS) activado en las 5 tablas del sistema. El RLS garantiza que cada estudiante solo puede acceder a sus propios registros, cumpliendo con el estándar ISO/IEC 25010 de seguridad y la Ley 19.628 de protección de datos personales. Las 7 políticas cubren todos los comandos necesarios (SELECT, INSERT, DELETE) aplicados a usuarios authenticated.</w:t>
      </w:r>
    </w:p>
    <w:p>
      <w:pPr>
        <w:spacing w:before="160" w:after="160"/>
        <w:pBdr>
          <w:bottom w:val="single" w:sz="6" w:space="1" w:color="4CAF50"/>
        </w:pBdr>
      </w:pPr>
    </w:p>
    <w:p>
      <w:pPr>
        <w:spacing w:before="200" w:after="120"/>
      </w:pPr>
      <w:r>
        <w:rPr>
          <w:rFonts w:ascii="Calibri" w:hAnsi="Calibri"/>
          <w:b/>
          <w:i w:val="0"/>
          <w:color w:val="2E7D32"/>
          <w:sz w:val="26"/>
        </w:rPr>
        <w:t>Evidencia 5.1 — Panel de Políticas RLS (Supabase)</w:t>
      </w:r>
    </w:p>
    <w:p>
      <w:pPr>
        <w:spacing w:before="40" w:after="40"/>
      </w:pPr>
      <w:r>
        <w:rPr>
          <w:rFonts w:ascii="Calibri" w:hAnsi="Calibri"/>
          <w:b/>
          <w:i w:val="0"/>
          <w:color w:val="1B5E20"/>
          <w:sz w:val="20"/>
        </w:rPr>
        <w:t xml:space="preserve">Tipo de evidencia: </w:t>
      </w:r>
      <w:r>
        <w:rPr>
          <w:rFonts w:ascii="Calibri" w:hAnsi="Calibri"/>
          <w:b w:val="0"/>
          <w:i w:val="0"/>
          <w:color w:val="37474F"/>
          <w:sz w:val="20"/>
        </w:rPr>
        <w:t>Captura de pantalla — Supabase Auth &gt; Policies</w:t>
      </w:r>
    </w:p>
    <w:p>
      <w:pPr>
        <w:spacing w:before="40" w:after="40"/>
      </w:pPr>
      <w:r>
        <w:rPr>
          <w:rFonts w:ascii="Calibri" w:hAnsi="Calibri"/>
          <w:b/>
          <w:i w:val="0"/>
          <w:color w:val="1B5E20"/>
          <w:sz w:val="20"/>
        </w:rPr>
        <w:t xml:space="preserve">Schema: </w:t>
      </w:r>
      <w:r>
        <w:rPr>
          <w:rFonts w:ascii="Calibri" w:hAnsi="Calibri"/>
          <w:b w:val="0"/>
          <w:i w:val="0"/>
          <w:color w:val="37474F"/>
          <w:sz w:val="20"/>
        </w:rPr>
        <w:t>public</w:t>
      </w:r>
    </w:p>
    <w:p>
      <w:pPr>
        <w:spacing w:before="40" w:after="40"/>
      </w:pPr>
      <w:r>
        <w:rPr>
          <w:rFonts w:ascii="Calibri" w:hAnsi="Calibri"/>
          <w:b/>
          <w:i w:val="0"/>
          <w:color w:val="1B5E20"/>
          <w:sz w:val="20"/>
        </w:rPr>
        <w:t xml:space="preserve">Proyecto: </w:t>
      </w:r>
      <w:r>
        <w:rPr>
          <w:rFonts w:ascii="Calibri" w:hAnsi="Calibri"/>
          <w:b w:val="0"/>
          <w:i w:val="0"/>
          <w:color w:val="37474F"/>
          <w:sz w:val="20"/>
        </w:rPr>
        <w:t>MindCheck-IA (19841980's Org)</w:t>
      </w:r>
    </w:p>
    <w:p/>
    <w:p>
      <w:pPr>
        <w:spacing w:before="80" w:after="80"/>
        <w:jc w:val="center"/>
      </w:pPr>
      <w:r>
        <w:drawing>
          <wp:inline xmlns:a="http://schemas.openxmlformats.org/drawingml/2006/main" xmlns:pic="http://schemas.openxmlformats.org/drawingml/2006/picture">
            <wp:extent cx="5486400" cy="725474"/>
            <wp:docPr id="13" name="Picture 13"/>
            <wp:cNvGraphicFramePr>
              <a:graphicFrameLocks noChangeAspect="1"/>
            </wp:cNvGraphicFramePr>
            <a:graphic>
              <a:graphicData uri="http://schemas.openxmlformats.org/drawingml/2006/picture">
                <pic:pic>
                  <pic:nvPicPr>
                    <pic:cNvPr id="0" name="1781002918052_image.png"/>
                    <pic:cNvPicPr/>
                  </pic:nvPicPr>
                  <pic:blipFill>
                    <a:blip r:embed="rId21"/>
                    <a:stretch>
                      <a:fillRect/>
                    </a:stretch>
                  </pic:blipFill>
                  <pic:spPr>
                    <a:xfrm>
                      <a:off x="0" y="0"/>
                      <a:ext cx="5486400" cy="725474"/>
                    </a:xfrm>
                    <a:prstGeom prst="rect"/>
                  </pic:spPr>
                </pic:pic>
              </a:graphicData>
            </a:graphic>
          </wp:inline>
        </w:drawing>
      </w:r>
    </w:p>
    <w:p>
      <w:pPr>
        <w:spacing w:before="40" w:after="200"/>
        <w:jc w:val="center"/>
      </w:pPr>
      <w:r>
        <w:rPr>
          <w:rFonts w:ascii="Calibri" w:hAnsi="Calibri"/>
          <w:b w:val="0"/>
          <w:i/>
          <w:color w:val="607D8B"/>
          <w:sz w:val="18"/>
        </w:rPr>
        <w:t>Figura 5.1 — Panel principal de Policies con "Auto-enable RLS for new tables" activo</w:t>
      </w:r>
    </w:p>
    <w:p>
      <w:pPr>
        <w:spacing w:before="160" w:after="160"/>
        <w:pBdr>
          <w:bottom w:val="single" w:sz="6" w:space="1" w:color="4CAF50"/>
        </w:pBdr>
      </w:pPr>
    </w:p>
    <w:p>
      <w:pPr>
        <w:spacing w:before="200" w:after="120"/>
      </w:pPr>
      <w:r>
        <w:rPr>
          <w:rFonts w:ascii="Calibri" w:hAnsi="Calibri"/>
          <w:b/>
          <w:i w:val="0"/>
          <w:color w:val="45A049"/>
          <w:sz w:val="22"/>
        </w:rPr>
        <w:t>Evidencia 5.2 — Tabla alerts: política SELECT</w:t>
      </w:r>
    </w:p>
    <w:p>
      <w:pPr>
        <w:spacing w:before="80" w:after="80"/>
        <w:jc w:val="center"/>
      </w:pPr>
      <w:r>
        <w:drawing>
          <wp:inline xmlns:a="http://schemas.openxmlformats.org/drawingml/2006/main" xmlns:pic="http://schemas.openxmlformats.org/drawingml/2006/picture">
            <wp:extent cx="5486400" cy="733031"/>
            <wp:docPr id="14" name="Picture 14"/>
            <wp:cNvGraphicFramePr>
              <a:graphicFrameLocks noChangeAspect="1"/>
            </wp:cNvGraphicFramePr>
            <a:graphic>
              <a:graphicData uri="http://schemas.openxmlformats.org/drawingml/2006/picture">
                <pic:pic>
                  <pic:nvPicPr>
                    <pic:cNvPr id="0" name="1781002927223_image.png"/>
                    <pic:cNvPicPr/>
                  </pic:nvPicPr>
                  <pic:blipFill>
                    <a:blip r:embed="rId22"/>
                    <a:stretch>
                      <a:fillRect/>
                    </a:stretch>
                  </pic:blipFill>
                  <pic:spPr>
                    <a:xfrm>
                      <a:off x="0" y="0"/>
                      <a:ext cx="5486400" cy="733031"/>
                    </a:xfrm>
                    <a:prstGeom prst="rect"/>
                  </pic:spPr>
                </pic:pic>
              </a:graphicData>
            </a:graphic>
          </wp:inline>
        </w:drawing>
      </w:r>
    </w:p>
    <w:p>
      <w:pPr>
        <w:spacing w:before="40" w:after="200"/>
        <w:jc w:val="center"/>
      </w:pPr>
      <w:r>
        <w:rPr>
          <w:rFonts w:ascii="Calibri" w:hAnsi="Calibri"/>
          <w:b w:val="0"/>
          <w:i/>
          <w:color w:val="607D8B"/>
          <w:sz w:val="18"/>
        </w:rPr>
        <w:t>Figura 5.2 — alerts_select_own: SELECT aplicado a usuarios authenticated</w:t>
      </w:r>
    </w:p>
    <w:p>
      <w:pPr>
        <w:spacing w:before="160" w:after="160"/>
        <w:pBdr>
          <w:bottom w:val="single" w:sz="6" w:space="1" w:color="4CAF50"/>
        </w:pBdr>
      </w:pPr>
    </w:p>
    <w:p>
      <w:pPr>
        <w:spacing w:before="200" w:after="120"/>
      </w:pPr>
      <w:r>
        <w:rPr>
          <w:rFonts w:ascii="Calibri" w:hAnsi="Calibri"/>
          <w:b/>
          <w:i w:val="0"/>
          <w:color w:val="45A049"/>
          <w:sz w:val="22"/>
        </w:rPr>
        <w:t>Evidencia 5.3 — Tabla journal_entries: 3 políticas (DELETE, INSERT, SELECT)</w:t>
      </w:r>
    </w:p>
    <w:p>
      <w:pPr>
        <w:spacing w:before="80" w:after="80"/>
        <w:jc w:val="center"/>
      </w:pPr>
      <w:r>
        <w:drawing>
          <wp:inline xmlns:a="http://schemas.openxmlformats.org/drawingml/2006/main" xmlns:pic="http://schemas.openxmlformats.org/drawingml/2006/picture">
            <wp:extent cx="5486400" cy="925783"/>
            <wp:docPr id="15" name="Picture 15"/>
            <wp:cNvGraphicFramePr>
              <a:graphicFrameLocks noChangeAspect="1"/>
            </wp:cNvGraphicFramePr>
            <a:graphic>
              <a:graphicData uri="http://schemas.openxmlformats.org/drawingml/2006/picture">
                <pic:pic>
                  <pic:nvPicPr>
                    <pic:cNvPr id="0" name="1781002935988_image.png"/>
                    <pic:cNvPicPr/>
                  </pic:nvPicPr>
                  <pic:blipFill>
                    <a:blip r:embed="rId23"/>
                    <a:stretch>
                      <a:fillRect/>
                    </a:stretch>
                  </pic:blipFill>
                  <pic:spPr>
                    <a:xfrm>
                      <a:off x="0" y="0"/>
                      <a:ext cx="5486400" cy="925783"/>
                    </a:xfrm>
                    <a:prstGeom prst="rect"/>
                  </pic:spPr>
                </pic:pic>
              </a:graphicData>
            </a:graphic>
          </wp:inline>
        </w:drawing>
      </w:r>
    </w:p>
    <w:p>
      <w:pPr>
        <w:spacing w:before="40" w:after="200"/>
        <w:jc w:val="center"/>
      </w:pPr>
      <w:r>
        <w:rPr>
          <w:rFonts w:ascii="Calibri" w:hAnsi="Calibri"/>
          <w:b w:val="0"/>
          <w:i/>
          <w:color w:val="607D8B"/>
          <w:sz w:val="18"/>
        </w:rPr>
        <w:t>Figura 5.3 — journal_entries con 3 políticas: delete_own, insert_own, select_own — todas authenticated</w:t>
      </w:r>
    </w:p>
    <w:p>
      <w:pPr>
        <w:spacing w:before="60" w:after="120"/>
        <w:jc w:val="both"/>
      </w:pPr>
      <w:r>
        <w:rPr>
          <w:rFonts w:ascii="Calibri" w:hAnsi="Calibri"/>
          <w:b w:val="0"/>
          <w:i w:val="0"/>
          <w:color w:val="37474F"/>
          <w:sz w:val="21"/>
        </w:rPr>
        <w:t>La tabla journal_entries es la más crítica del sistema ya que almacena las bitácoras emocionales cifradas. Cuenta con 3 políticas RLS: DELETE (solo el propio estudiante puede eliminar sus entradas), INSERT (solo usuarios autenticados pueden crear entradas) y SELECT (solo el propio usuario puede leer sus entradas). Esto garantiza aislamiento total de datos entre usuarios.</w:t>
      </w:r>
    </w:p>
    <w:p>
      <w:pPr>
        <w:spacing w:before="160" w:after="160"/>
        <w:pBdr>
          <w:bottom w:val="single" w:sz="6" w:space="1" w:color="4CAF50"/>
        </w:pBdr>
      </w:pPr>
    </w:p>
    <w:p>
      <w:pPr>
        <w:spacing w:before="200" w:after="120"/>
      </w:pPr>
      <w:r>
        <w:rPr>
          <w:rFonts w:ascii="Calibri" w:hAnsi="Calibri"/>
          <w:b/>
          <w:i w:val="0"/>
          <w:color w:val="45A049"/>
          <w:sz w:val="22"/>
        </w:rPr>
        <w:t>Evidencia 5.4 — Tabla resources: política SELECT pública</w:t>
      </w:r>
    </w:p>
    <w:p>
      <w:pPr>
        <w:spacing w:before="80" w:after="80"/>
        <w:jc w:val="center"/>
      </w:pPr>
      <w:r>
        <w:drawing>
          <wp:inline xmlns:a="http://schemas.openxmlformats.org/drawingml/2006/main" xmlns:pic="http://schemas.openxmlformats.org/drawingml/2006/picture">
            <wp:extent cx="5486400" cy="693420"/>
            <wp:docPr id="16" name="Picture 16"/>
            <wp:cNvGraphicFramePr>
              <a:graphicFrameLocks noChangeAspect="1"/>
            </wp:cNvGraphicFramePr>
            <a:graphic>
              <a:graphicData uri="http://schemas.openxmlformats.org/drawingml/2006/picture">
                <pic:pic>
                  <pic:nvPicPr>
                    <pic:cNvPr id="0" name="1781002945657_image.png"/>
                    <pic:cNvPicPr/>
                  </pic:nvPicPr>
                  <pic:blipFill>
                    <a:blip r:embed="rId24"/>
                    <a:stretch>
                      <a:fillRect/>
                    </a:stretch>
                  </pic:blipFill>
                  <pic:spPr>
                    <a:xfrm>
                      <a:off x="0" y="0"/>
                      <a:ext cx="5486400" cy="693420"/>
                    </a:xfrm>
                    <a:prstGeom prst="rect"/>
                  </pic:spPr>
                </pic:pic>
              </a:graphicData>
            </a:graphic>
          </wp:inline>
        </w:drawing>
      </w:r>
    </w:p>
    <w:p>
      <w:pPr>
        <w:spacing w:before="40" w:after="200"/>
        <w:jc w:val="center"/>
      </w:pPr>
      <w:r>
        <w:rPr>
          <w:rFonts w:ascii="Calibri" w:hAnsi="Calibri"/>
          <w:b w:val="0"/>
          <w:i/>
          <w:color w:val="607D8B"/>
          <w:sz w:val="18"/>
        </w:rPr>
        <w:t>Figura 5.4 — resources_public_read: SELECT para usuarios authenticated (recursos de autoayuda)</w:t>
      </w:r>
    </w:p>
    <w:p>
      <w:pPr>
        <w:spacing w:before="160" w:after="160"/>
        <w:pBdr>
          <w:bottom w:val="single" w:sz="6" w:space="1" w:color="4CAF50"/>
        </w:pBdr>
      </w:pPr>
    </w:p>
    <w:p>
      <w:pPr>
        <w:spacing w:before="200" w:after="120"/>
      </w:pPr>
      <w:r>
        <w:rPr>
          <w:rFonts w:ascii="Calibri" w:hAnsi="Calibri"/>
          <w:b/>
          <w:i w:val="0"/>
          <w:color w:val="45A049"/>
          <w:sz w:val="22"/>
        </w:rPr>
        <w:t>Evidencia 5.5 — Tabla sentiment_analysis: política SELECT</w:t>
      </w:r>
    </w:p>
    <w:p>
      <w:pPr>
        <w:spacing w:before="80" w:after="80"/>
        <w:jc w:val="center"/>
      </w:pPr>
      <w:r>
        <w:drawing>
          <wp:inline xmlns:a="http://schemas.openxmlformats.org/drawingml/2006/main" xmlns:pic="http://schemas.openxmlformats.org/drawingml/2006/picture">
            <wp:extent cx="5486400" cy="724476"/>
            <wp:docPr id="17" name="Picture 17"/>
            <wp:cNvGraphicFramePr>
              <a:graphicFrameLocks noChangeAspect="1"/>
            </wp:cNvGraphicFramePr>
            <a:graphic>
              <a:graphicData uri="http://schemas.openxmlformats.org/drawingml/2006/picture">
                <pic:pic>
                  <pic:nvPicPr>
                    <pic:cNvPr id="0" name="1781002953672_image.png"/>
                    <pic:cNvPicPr/>
                  </pic:nvPicPr>
                  <pic:blipFill>
                    <a:blip r:embed="rId25"/>
                    <a:stretch>
                      <a:fillRect/>
                    </a:stretch>
                  </pic:blipFill>
                  <pic:spPr>
                    <a:xfrm>
                      <a:off x="0" y="0"/>
                      <a:ext cx="5486400" cy="724476"/>
                    </a:xfrm>
                    <a:prstGeom prst="rect"/>
                  </pic:spPr>
                </pic:pic>
              </a:graphicData>
            </a:graphic>
          </wp:inline>
        </w:drawing>
      </w:r>
    </w:p>
    <w:p>
      <w:pPr>
        <w:spacing w:before="40" w:after="200"/>
        <w:jc w:val="center"/>
      </w:pPr>
      <w:r>
        <w:rPr>
          <w:rFonts w:ascii="Calibri" w:hAnsi="Calibri"/>
          <w:b w:val="0"/>
          <w:i/>
          <w:color w:val="607D8B"/>
          <w:sz w:val="18"/>
        </w:rPr>
        <w:t>Figura 5.5 — sentiment_analysis_select_own: SELECT authenticated</w:t>
      </w:r>
    </w:p>
    <w:p>
      <w:pPr>
        <w:spacing w:before="60" w:after="120"/>
        <w:jc w:val="both"/>
      </w:pPr>
      <w:r>
        <w:rPr>
          <w:rFonts w:ascii="Calibri" w:hAnsi="Calibri"/>
          <w:b w:val="0"/>
          <w:i w:val="0"/>
          <w:color w:val="37474F"/>
          <w:sz w:val="21"/>
        </w:rPr>
        <w:t>Resumen de las 7 políticas RLS implementadas en las 5 tablas del sistema: alerts (1 política), journal_entries (3 políticas), resources (1 política), sentiment_analysis (1 política) y students (1 política, no mostrada individualmente). Todas aplican a usuarios authenticated, garantizando que ningún acceso no autenticado pueda leer, crear o eliminar datos del sistema.</w:t>
      </w:r>
    </w:p>
    <w:p>
      <w:r>
        <w:br w:type="page"/>
      </w:r>
    </w:p>
    <w:p>
      <w:pPr>
        <w:spacing w:before="360" w:after="120"/>
      </w:pPr>
      <w:r>
        <w:rPr>
          <w:rFonts w:ascii="Calibri" w:hAnsi="Calibri"/>
          <w:b/>
          <w:i w:val="0"/>
          <w:color w:val="1B5E20"/>
          <w:sz w:val="32"/>
        </w:rPr>
        <w:t>SECCIÓN 6 — Validación JWT y Seguridad en Acción</w:t>
      </w:r>
    </w:p>
    <w:p>
      <w:pPr>
        <w:spacing w:before="60" w:after="120"/>
        <w:jc w:val="both"/>
      </w:pPr>
      <w:r>
        <w:rPr>
          <w:rFonts w:ascii="Calibri" w:hAnsi="Calibri"/>
          <w:b w:val="0"/>
          <w:i w:val="0"/>
          <w:color w:val="37474F"/>
          <w:sz w:val="21"/>
        </w:rPr>
        <w:t>Esta sección demuestra el funcionamiento del sistema de seguridad JWT en acción. Cuando el token de sesión expira, el sistema detecta automáticamente la situación y muestra un mensaje amigable al usuario, protegiéndolo de enviar datos a un endpoint sin autenticación válida. Este comportamiento demuestra que la validación JWT está implementada tanto en el frontend (detección del error) como en el backend (rechazo de requests sin token válido).</w:t>
      </w:r>
    </w:p>
    <w:p>
      <w:pPr>
        <w:spacing w:before="160" w:after="160"/>
        <w:pBdr>
          <w:bottom w:val="single" w:sz="6" w:space="1" w:color="4CAF50"/>
        </w:pBdr>
      </w:pPr>
    </w:p>
    <w:p>
      <w:pPr>
        <w:spacing w:before="200" w:after="120"/>
      </w:pPr>
      <w:r>
        <w:rPr>
          <w:rFonts w:ascii="Calibri" w:hAnsi="Calibri"/>
          <w:b/>
          <w:i w:val="0"/>
          <w:color w:val="2E7D32"/>
          <w:sz w:val="26"/>
        </w:rPr>
        <w:t>Evidencia 6.1 — Formulario de Bitácora en Dark Mode + Validación JWT</w:t>
      </w:r>
    </w:p>
    <w:p>
      <w:pPr>
        <w:spacing w:before="40" w:after="40"/>
      </w:pPr>
      <w:r>
        <w:rPr>
          <w:rFonts w:ascii="Calibri" w:hAnsi="Calibri"/>
          <w:b/>
          <w:i w:val="0"/>
          <w:color w:val="1B5E20"/>
          <w:sz w:val="20"/>
        </w:rPr>
        <w:t xml:space="preserve">Tipo de evidencia: </w:t>
      </w:r>
      <w:r>
        <w:rPr>
          <w:rFonts w:ascii="Calibri" w:hAnsi="Calibri"/>
          <w:b w:val="0"/>
          <w:i w:val="0"/>
          <w:color w:val="37474F"/>
          <w:sz w:val="20"/>
        </w:rPr>
        <w:t>Captura de pantalla — Frontend dark mode</w:t>
      </w:r>
    </w:p>
    <w:p>
      <w:pPr>
        <w:spacing w:before="40" w:after="40"/>
      </w:pPr>
      <w:r>
        <w:rPr>
          <w:rFonts w:ascii="Calibri" w:hAnsi="Calibri"/>
          <w:b/>
          <w:i w:val="0"/>
          <w:color w:val="1B5E20"/>
          <w:sz w:val="20"/>
        </w:rPr>
        <w:t xml:space="preserve">Error detectado: </w:t>
      </w:r>
      <w:r>
        <w:rPr>
          <w:rFonts w:ascii="Calibri" w:hAnsi="Calibri"/>
          <w:b w:val="0"/>
          <w:i w:val="0"/>
          <w:color w:val="37474F"/>
          <w:sz w:val="20"/>
        </w:rPr>
        <w:t>Token inválido o expirado</w:t>
      </w:r>
    </w:p>
    <w:p>
      <w:pPr>
        <w:spacing w:before="40" w:after="40"/>
      </w:pPr>
      <w:r>
        <w:rPr>
          <w:rFonts w:ascii="Calibri" w:hAnsi="Calibri"/>
          <w:b/>
          <w:i w:val="0"/>
          <w:color w:val="1B5E20"/>
          <w:sz w:val="20"/>
        </w:rPr>
        <w:t xml:space="preserve">Respuesta del sistema: </w:t>
      </w:r>
      <w:r>
        <w:rPr>
          <w:rFonts w:ascii="Calibri" w:hAnsi="Calibri"/>
          <w:b w:val="0"/>
          <w:i w:val="0"/>
          <w:color w:val="37474F"/>
          <w:sz w:val="20"/>
        </w:rPr>
        <w:t>Mensaje amigable + instrucción al usuario</w:t>
      </w:r>
    </w:p>
    <w:p/>
    <w:p>
      <w:pPr>
        <w:spacing w:before="80" w:after="80"/>
        <w:jc w:val="center"/>
      </w:pPr>
      <w:r>
        <w:drawing>
          <wp:inline xmlns:a="http://schemas.openxmlformats.org/drawingml/2006/main" xmlns:pic="http://schemas.openxmlformats.org/drawingml/2006/picture">
            <wp:extent cx="5029200" cy="3382429"/>
            <wp:docPr id="18" name="Picture 18"/>
            <wp:cNvGraphicFramePr>
              <a:graphicFrameLocks noChangeAspect="1"/>
            </wp:cNvGraphicFramePr>
            <a:graphic>
              <a:graphicData uri="http://schemas.openxmlformats.org/drawingml/2006/picture">
                <pic:pic>
                  <pic:nvPicPr>
                    <pic:cNvPr id="0" name="1781002617406_image.png"/>
                    <pic:cNvPicPr/>
                  </pic:nvPicPr>
                  <pic:blipFill>
                    <a:blip r:embed="rId26"/>
                    <a:stretch>
                      <a:fillRect/>
                    </a:stretch>
                  </pic:blipFill>
                  <pic:spPr>
                    <a:xfrm>
                      <a:off x="0" y="0"/>
                      <a:ext cx="5029200" cy="3382429"/>
                    </a:xfrm>
                    <a:prstGeom prst="rect"/>
                  </pic:spPr>
                </pic:pic>
              </a:graphicData>
            </a:graphic>
          </wp:inline>
        </w:drawing>
      </w:r>
    </w:p>
    <w:p>
      <w:pPr>
        <w:spacing w:before="40" w:after="200"/>
        <w:jc w:val="center"/>
      </w:pPr>
      <w:r>
        <w:rPr>
          <w:rFonts w:ascii="Calibri" w:hAnsi="Calibri"/>
          <w:b w:val="0"/>
          <w:i/>
          <w:color w:val="607D8B"/>
          <w:sz w:val="18"/>
        </w:rPr>
        <w:t>Figura 6.1 — Nueva bitácora en dark mode con validación JWT activa y mensaje de error controlado</w:t>
      </w:r>
    </w:p>
    <w:p>
      <w:pPr>
        <w:spacing w:before="60" w:after="120"/>
        <w:jc w:val="both"/>
      </w:pPr>
      <w:r>
        <w:rPr>
          <w:rFonts w:ascii="Calibri" w:hAnsi="Calibri"/>
          <w:b w:val="0"/>
          <w:i w:val="0"/>
          <w:color w:val="37474F"/>
          <w:sz w:val="21"/>
        </w:rPr>
        <w:t>La captura muestra tres aspectos importantes simultáneamente: (1) El formulario "Nueva bitácora emocional" en modo oscuro con el texto de prueba escrito y el contador de caracteres (97/2000) visible. (2) El subtítulo "Tu texto está protegido con AES-256" visible al usuario en todo momento. (3) El mensaje de error controlado "Token inválido o expirado. Por favor inicia sesión nuevamente" que el sistema muestra cuando el JWT ha expirado, en lugar de un error técnico crudo. Esto demuestra manejo de errores de seguridad con UX profesional.</w:t>
      </w:r>
    </w:p>
    <w:p>
      <w:pPr>
        <w:spacing w:before="160" w:after="160"/>
        <w:pBdr>
          <w:bottom w:val="single" w:sz="6" w:space="1" w:color="4CAF50"/>
        </w:pBdr>
      </w:pPr>
    </w:p>
    <w:p>
      <w:pPr>
        <w:spacing w:before="360" w:after="120"/>
      </w:pPr>
      <w:r>
        <w:rPr>
          <w:rFonts w:ascii="Calibri" w:hAnsi="Calibri"/>
          <w:b/>
          <w:i w:val="0"/>
          <w:color w:val="1B5E20"/>
          <w:sz w:val="32"/>
        </w:rPr>
        <w:t>RESUMEN DE EVIDENCIAS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B5E20"/>
          </w:tcPr>
          <w:p>
            <w:pPr>
              <w:jc w:val="center"/>
            </w:pPr>
            <w:r>
              <w:rPr>
                <w:rFonts w:ascii="Calibri" w:hAnsi="Calibri"/>
                <w:b/>
                <w:i w:val="0"/>
                <w:color w:val="FFFFFF"/>
                <w:sz w:val="20"/>
              </w:rPr>
              <w:t>#</w:t>
            </w:r>
          </w:p>
        </w:tc>
        <w:tc>
          <w:tcPr>
            <w:tcW w:type="dxa" w:w="2351"/>
            <w:shd w:val="clear" w:color="auto" w:fill="1B5E20"/>
          </w:tcPr>
          <w:p>
            <w:pPr>
              <w:jc w:val="center"/>
            </w:pPr>
            <w:r>
              <w:rPr>
                <w:rFonts w:ascii="Calibri" w:hAnsi="Calibri"/>
                <w:b/>
                <w:i w:val="0"/>
                <w:color w:val="FFFFFF"/>
                <w:sz w:val="20"/>
              </w:rPr>
              <w:t>Evidencia</w:t>
            </w:r>
          </w:p>
        </w:tc>
        <w:tc>
          <w:tcPr>
            <w:tcW w:type="dxa" w:w="2351"/>
            <w:shd w:val="clear" w:color="auto" w:fill="1B5E20"/>
          </w:tcPr>
          <w:p>
            <w:pPr>
              <w:jc w:val="center"/>
            </w:pPr>
            <w:r>
              <w:rPr>
                <w:rFonts w:ascii="Calibri" w:hAnsi="Calibri"/>
                <w:b/>
                <w:i w:val="0"/>
                <w:color w:val="FFFFFF"/>
                <w:sz w:val="20"/>
              </w:rPr>
              <w:t>Tipo</w:t>
            </w:r>
          </w:p>
        </w:tc>
        <w:tc>
          <w:tcPr>
            <w:tcW w:type="dxa" w:w="2351"/>
            <w:shd w:val="clear" w:color="auto" w:fill="1B5E20"/>
          </w:tcPr>
          <w:p>
            <w:pPr>
              <w:jc w:val="center"/>
            </w:pPr>
            <w:r>
              <w:rPr>
                <w:rFonts w:ascii="Calibri" w:hAnsi="Calibri"/>
                <w:b/>
                <w:i w:val="0"/>
                <w:color w:val="FFFFFF"/>
                <w:sz w:val="20"/>
              </w:rPr>
              <w:t>Estado</w:t>
            </w:r>
          </w:p>
        </w:tc>
      </w:tr>
      <w:tr>
        <w:tc>
          <w:tcPr>
            <w:tcW w:type="dxa" w:w="2351"/>
            <w:shd w:val="clear" w:color="auto" w:fill="E8F5E9"/>
          </w:tcPr>
          <w:p>
            <w:r>
              <w:rPr>
                <w:rFonts w:ascii="Calibri" w:hAnsi="Calibri"/>
                <w:b w:val="0"/>
                <w:i w:val="0"/>
                <w:color w:val="37474F"/>
                <w:sz w:val="18"/>
              </w:rPr>
              <w:t>1.1</w:t>
            </w:r>
          </w:p>
        </w:tc>
        <w:tc>
          <w:tcPr>
            <w:tcW w:type="dxa" w:w="2351"/>
            <w:shd w:val="clear" w:color="auto" w:fill="E8F5E9"/>
          </w:tcPr>
          <w:p>
            <w:r>
              <w:rPr>
                <w:rFonts w:ascii="Calibri" w:hAnsi="Calibri"/>
                <w:b w:val="0"/>
                <w:i w:val="0"/>
                <w:color w:val="37474F"/>
                <w:sz w:val="18"/>
              </w:rPr>
              <w:t>Registro exitoso @duocuc.cl + AES-256</w:t>
            </w:r>
          </w:p>
        </w:tc>
        <w:tc>
          <w:tcPr>
            <w:tcW w:type="dxa" w:w="2351"/>
            <w:shd w:val="clear" w:color="auto" w:fill="E8F5E9"/>
          </w:tcPr>
          <w:p>
            <w:r>
              <w:rPr>
                <w:rFonts w:ascii="Calibri" w:hAnsi="Calibri"/>
                <w:b w:val="0"/>
                <w:i w:val="0"/>
                <w:color w:val="37474F"/>
                <w:sz w:val="18"/>
              </w:rPr>
              <w:t>Frontend</w:t>
            </w:r>
          </w:p>
        </w:tc>
        <w:tc>
          <w:tcPr>
            <w:tcW w:type="dxa" w:w="2351"/>
            <w:shd w:val="clear" w:color="auto" w:fill="E8F5E9"/>
          </w:tcPr>
          <w:p>
            <w:r>
              <w:rPr>
                <w:rFonts w:ascii="Calibri" w:hAnsi="Calibri"/>
                <w:b/>
                <w:i w:val="0"/>
                <w:color w:val="1B5E20"/>
                <w:sz w:val="18"/>
              </w:rPr>
              <w:t>✅ Verificado</w:t>
            </w:r>
          </w:p>
        </w:tc>
      </w:tr>
      <w:tr>
        <w:tc>
          <w:tcPr>
            <w:tcW w:type="dxa" w:w="2351"/>
            <w:shd w:val="clear" w:color="auto" w:fill="FFFFFF"/>
          </w:tcPr>
          <w:p>
            <w:r>
              <w:rPr>
                <w:rFonts w:ascii="Calibri" w:hAnsi="Calibri"/>
                <w:b w:val="0"/>
                <w:i w:val="0"/>
                <w:color w:val="37474F"/>
                <w:sz w:val="18"/>
              </w:rPr>
              <w:t>1.2</w:t>
            </w:r>
          </w:p>
        </w:tc>
        <w:tc>
          <w:tcPr>
            <w:tcW w:type="dxa" w:w="2351"/>
            <w:shd w:val="clear" w:color="auto" w:fill="FFFFFF"/>
          </w:tcPr>
          <w:p>
            <w:r>
              <w:rPr>
                <w:rFonts w:ascii="Calibri" w:hAnsi="Calibri"/>
                <w:b w:val="0"/>
                <w:i w:val="0"/>
                <w:color w:val="37474F"/>
                <w:sz w:val="18"/>
              </w:rPr>
              <w:t>Email confirmación Supabase Auth</w:t>
            </w:r>
          </w:p>
        </w:tc>
        <w:tc>
          <w:tcPr>
            <w:tcW w:type="dxa" w:w="2351"/>
            <w:shd w:val="clear" w:color="auto" w:fill="FFFFFF"/>
          </w:tcPr>
          <w:p>
            <w:r>
              <w:rPr>
                <w:rFonts w:ascii="Calibri" w:hAnsi="Calibri"/>
                <w:b w:val="0"/>
                <w:i w:val="0"/>
                <w:color w:val="37474F"/>
                <w:sz w:val="18"/>
              </w:rPr>
              <w:t>Gmail</w:t>
            </w:r>
          </w:p>
        </w:tc>
        <w:tc>
          <w:tcPr>
            <w:tcW w:type="dxa" w:w="2351"/>
            <w:shd w:val="clear" w:color="auto" w:fill="FFFFFF"/>
          </w:tcPr>
          <w:p>
            <w:r>
              <w:rPr>
                <w:rFonts w:ascii="Calibri" w:hAnsi="Calibri"/>
                <w:b/>
                <w:i w:val="0"/>
                <w:color w:val="1B5E20"/>
                <w:sz w:val="18"/>
              </w:rPr>
              <w:t>✅ Verificado</w:t>
            </w:r>
          </w:p>
        </w:tc>
      </w:tr>
      <w:tr>
        <w:tc>
          <w:tcPr>
            <w:tcW w:type="dxa" w:w="2351"/>
            <w:shd w:val="clear" w:color="auto" w:fill="E8F5E9"/>
          </w:tcPr>
          <w:p>
            <w:r>
              <w:rPr>
                <w:rFonts w:ascii="Calibri" w:hAnsi="Calibri"/>
                <w:b w:val="0"/>
                <w:i w:val="0"/>
                <w:color w:val="37474F"/>
                <w:sz w:val="18"/>
              </w:rPr>
              <w:t>2.1</w:t>
            </w:r>
          </w:p>
        </w:tc>
        <w:tc>
          <w:tcPr>
            <w:tcW w:type="dxa" w:w="2351"/>
            <w:shd w:val="clear" w:color="auto" w:fill="E8F5E9"/>
          </w:tcPr>
          <w:p>
            <w:r>
              <w:rPr>
                <w:rFonts w:ascii="Calibri" w:hAnsi="Calibri"/>
                <w:b w:val="0"/>
                <w:i w:val="0"/>
                <w:color w:val="37474F"/>
                <w:sz w:val="18"/>
              </w:rPr>
              <w:t>HomePage autenticada — modo claro</w:t>
            </w:r>
          </w:p>
        </w:tc>
        <w:tc>
          <w:tcPr>
            <w:tcW w:type="dxa" w:w="2351"/>
            <w:shd w:val="clear" w:color="auto" w:fill="E8F5E9"/>
          </w:tcPr>
          <w:p>
            <w:r>
              <w:rPr>
                <w:rFonts w:ascii="Calibri" w:hAnsi="Calibri"/>
                <w:b w:val="0"/>
                <w:i w:val="0"/>
                <w:color w:val="37474F"/>
                <w:sz w:val="18"/>
              </w:rPr>
              <w:t>Frontend</w:t>
            </w:r>
          </w:p>
        </w:tc>
        <w:tc>
          <w:tcPr>
            <w:tcW w:type="dxa" w:w="2351"/>
            <w:shd w:val="clear" w:color="auto" w:fill="E8F5E9"/>
          </w:tcPr>
          <w:p>
            <w:r>
              <w:rPr>
                <w:rFonts w:ascii="Calibri" w:hAnsi="Calibri"/>
                <w:b/>
                <w:i w:val="0"/>
                <w:color w:val="1B5E20"/>
                <w:sz w:val="18"/>
              </w:rPr>
              <w:t>✅ Verificado</w:t>
            </w:r>
          </w:p>
        </w:tc>
      </w:tr>
      <w:tr>
        <w:tc>
          <w:tcPr>
            <w:tcW w:type="dxa" w:w="2351"/>
            <w:shd w:val="clear" w:color="auto" w:fill="FFFFFF"/>
          </w:tcPr>
          <w:p>
            <w:r>
              <w:rPr>
                <w:rFonts w:ascii="Calibri" w:hAnsi="Calibri"/>
                <w:b w:val="0"/>
                <w:i w:val="0"/>
                <w:color w:val="37474F"/>
                <w:sz w:val="18"/>
              </w:rPr>
              <w:t>2.2</w:t>
            </w:r>
          </w:p>
        </w:tc>
        <w:tc>
          <w:tcPr>
            <w:tcW w:type="dxa" w:w="2351"/>
            <w:shd w:val="clear" w:color="auto" w:fill="FFFFFF"/>
          </w:tcPr>
          <w:p>
            <w:r>
              <w:rPr>
                <w:rFonts w:ascii="Calibri" w:hAnsi="Calibri"/>
                <w:b w:val="0"/>
                <w:i w:val="0"/>
                <w:color w:val="37474F"/>
                <w:sz w:val="18"/>
              </w:rPr>
              <w:t>HomePage autenticada — dark mode</w:t>
            </w:r>
          </w:p>
        </w:tc>
        <w:tc>
          <w:tcPr>
            <w:tcW w:type="dxa" w:w="2351"/>
            <w:shd w:val="clear" w:color="auto" w:fill="FFFFFF"/>
          </w:tcPr>
          <w:p>
            <w:r>
              <w:rPr>
                <w:rFonts w:ascii="Calibri" w:hAnsi="Calibri"/>
                <w:b w:val="0"/>
                <w:i w:val="0"/>
                <w:color w:val="37474F"/>
                <w:sz w:val="18"/>
              </w:rPr>
              <w:t>Frontend</w:t>
            </w:r>
          </w:p>
        </w:tc>
        <w:tc>
          <w:tcPr>
            <w:tcW w:type="dxa" w:w="2351"/>
            <w:shd w:val="clear" w:color="auto" w:fill="FFFFFF"/>
          </w:tcPr>
          <w:p>
            <w:r>
              <w:rPr>
                <w:rFonts w:ascii="Calibri" w:hAnsi="Calibri"/>
                <w:b/>
                <w:i w:val="0"/>
                <w:color w:val="1B5E20"/>
                <w:sz w:val="18"/>
              </w:rPr>
              <w:t>✅ Verificado</w:t>
            </w:r>
          </w:p>
        </w:tc>
      </w:tr>
      <w:tr>
        <w:tc>
          <w:tcPr>
            <w:tcW w:type="dxa" w:w="2351"/>
            <w:shd w:val="clear" w:color="auto" w:fill="E8F5E9"/>
          </w:tcPr>
          <w:p>
            <w:r>
              <w:rPr>
                <w:rFonts w:ascii="Calibri" w:hAnsi="Calibri"/>
                <w:b w:val="0"/>
                <w:i w:val="0"/>
                <w:color w:val="37474F"/>
                <w:sz w:val="18"/>
              </w:rPr>
              <w:t>3.x</w:t>
            </w:r>
          </w:p>
        </w:tc>
        <w:tc>
          <w:tcPr>
            <w:tcW w:type="dxa" w:w="2351"/>
            <w:shd w:val="clear" w:color="auto" w:fill="E8F5E9"/>
          </w:tcPr>
          <w:p>
            <w:r>
              <w:rPr>
                <w:rFonts w:ascii="Calibri" w:hAnsi="Calibri"/>
                <w:b w:val="0"/>
                <w:i w:val="0"/>
                <w:color w:val="37474F"/>
                <w:sz w:val="18"/>
              </w:rPr>
              <w:t>Swagger UI — 11 endpoints OAS 3.1</w:t>
            </w:r>
          </w:p>
        </w:tc>
        <w:tc>
          <w:tcPr>
            <w:tcW w:type="dxa" w:w="2351"/>
            <w:shd w:val="clear" w:color="auto" w:fill="E8F5E9"/>
          </w:tcPr>
          <w:p>
            <w:r>
              <w:rPr>
                <w:rFonts w:ascii="Calibri" w:hAnsi="Calibri"/>
                <w:b w:val="0"/>
                <w:i w:val="0"/>
                <w:color w:val="37474F"/>
                <w:sz w:val="18"/>
              </w:rPr>
              <w:t>API REST</w:t>
            </w:r>
          </w:p>
        </w:tc>
        <w:tc>
          <w:tcPr>
            <w:tcW w:type="dxa" w:w="2351"/>
            <w:shd w:val="clear" w:color="auto" w:fill="E8F5E9"/>
          </w:tcPr>
          <w:p>
            <w:r>
              <w:rPr>
                <w:rFonts w:ascii="Calibri" w:hAnsi="Calibri"/>
                <w:b/>
                <w:i w:val="0"/>
                <w:color w:val="1B5E20"/>
                <w:sz w:val="18"/>
              </w:rPr>
              <w:t>✅ Verificado</w:t>
            </w:r>
          </w:p>
        </w:tc>
      </w:tr>
      <w:tr>
        <w:tc>
          <w:tcPr>
            <w:tcW w:type="dxa" w:w="2351"/>
            <w:shd w:val="clear" w:color="auto" w:fill="FFFFFF"/>
          </w:tcPr>
          <w:p>
            <w:r>
              <w:rPr>
                <w:rFonts w:ascii="Calibri" w:hAnsi="Calibri"/>
                <w:b w:val="0"/>
                <w:i w:val="0"/>
                <w:color w:val="37474F"/>
                <w:sz w:val="18"/>
              </w:rPr>
              <w:t>4.x</w:t>
            </w:r>
          </w:p>
        </w:tc>
        <w:tc>
          <w:tcPr>
            <w:tcW w:type="dxa" w:w="2351"/>
            <w:shd w:val="clear" w:color="auto" w:fill="FFFFFF"/>
          </w:tcPr>
          <w:p>
            <w:r>
              <w:rPr>
                <w:rFonts w:ascii="Calibri" w:hAnsi="Calibri"/>
                <w:b w:val="0"/>
                <w:i w:val="0"/>
                <w:color w:val="37474F"/>
                <w:sz w:val="18"/>
              </w:rPr>
              <w:t>Correo alerta crítica recibido en Gmail</w:t>
            </w:r>
          </w:p>
        </w:tc>
        <w:tc>
          <w:tcPr>
            <w:tcW w:type="dxa" w:w="2351"/>
            <w:shd w:val="clear" w:color="auto" w:fill="FFFFFF"/>
          </w:tcPr>
          <w:p>
            <w:r>
              <w:rPr>
                <w:rFonts w:ascii="Calibri" w:hAnsi="Calibri"/>
                <w:b w:val="0"/>
                <w:i w:val="0"/>
                <w:color w:val="37474F"/>
                <w:sz w:val="18"/>
              </w:rPr>
              <w:t>SMTP</w:t>
            </w:r>
          </w:p>
        </w:tc>
        <w:tc>
          <w:tcPr>
            <w:tcW w:type="dxa" w:w="2351"/>
            <w:shd w:val="clear" w:color="auto" w:fill="FFFFFF"/>
          </w:tcPr>
          <w:p>
            <w:r>
              <w:rPr>
                <w:rFonts w:ascii="Calibri" w:hAnsi="Calibri"/>
                <w:b/>
                <w:i w:val="0"/>
                <w:color w:val="1B5E20"/>
                <w:sz w:val="18"/>
              </w:rPr>
              <w:t>✅ Verificado</w:t>
            </w:r>
          </w:p>
        </w:tc>
      </w:tr>
      <w:tr>
        <w:tc>
          <w:tcPr>
            <w:tcW w:type="dxa" w:w="2351"/>
            <w:shd w:val="clear" w:color="auto" w:fill="E8F5E9"/>
          </w:tcPr>
          <w:p>
            <w:r>
              <w:rPr>
                <w:rFonts w:ascii="Calibri" w:hAnsi="Calibri"/>
                <w:b w:val="0"/>
                <w:i w:val="0"/>
                <w:color w:val="37474F"/>
                <w:sz w:val="18"/>
              </w:rPr>
              <w:t>5.x</w:t>
            </w:r>
          </w:p>
        </w:tc>
        <w:tc>
          <w:tcPr>
            <w:tcW w:type="dxa" w:w="2351"/>
            <w:shd w:val="clear" w:color="auto" w:fill="E8F5E9"/>
          </w:tcPr>
          <w:p>
            <w:r>
              <w:rPr>
                <w:rFonts w:ascii="Calibri" w:hAnsi="Calibri"/>
                <w:b w:val="0"/>
                <w:i w:val="0"/>
                <w:color w:val="37474F"/>
                <w:sz w:val="18"/>
              </w:rPr>
              <w:t>RLS — 7 políticas en 5 tablas</w:t>
            </w:r>
          </w:p>
        </w:tc>
        <w:tc>
          <w:tcPr>
            <w:tcW w:type="dxa" w:w="2351"/>
            <w:shd w:val="clear" w:color="auto" w:fill="E8F5E9"/>
          </w:tcPr>
          <w:p>
            <w:r>
              <w:rPr>
                <w:rFonts w:ascii="Calibri" w:hAnsi="Calibri"/>
                <w:b w:val="0"/>
                <w:i w:val="0"/>
                <w:color w:val="37474F"/>
                <w:sz w:val="18"/>
              </w:rPr>
              <w:t>Supabase BD</w:t>
            </w:r>
          </w:p>
        </w:tc>
        <w:tc>
          <w:tcPr>
            <w:tcW w:type="dxa" w:w="2351"/>
            <w:shd w:val="clear" w:color="auto" w:fill="E8F5E9"/>
          </w:tcPr>
          <w:p>
            <w:r>
              <w:rPr>
                <w:rFonts w:ascii="Calibri" w:hAnsi="Calibri"/>
                <w:b/>
                <w:i w:val="0"/>
                <w:color w:val="1B5E20"/>
                <w:sz w:val="18"/>
              </w:rPr>
              <w:t>✅ Verificado</w:t>
            </w:r>
          </w:p>
        </w:tc>
      </w:tr>
      <w:tr>
        <w:tc>
          <w:tcPr>
            <w:tcW w:type="dxa" w:w="2351"/>
            <w:shd w:val="clear" w:color="auto" w:fill="FFFFFF"/>
          </w:tcPr>
          <w:p>
            <w:r>
              <w:rPr>
                <w:rFonts w:ascii="Calibri" w:hAnsi="Calibri"/>
                <w:b w:val="0"/>
                <w:i w:val="0"/>
                <w:color w:val="37474F"/>
                <w:sz w:val="18"/>
              </w:rPr>
              <w:t>6.1</w:t>
            </w:r>
          </w:p>
        </w:tc>
        <w:tc>
          <w:tcPr>
            <w:tcW w:type="dxa" w:w="2351"/>
            <w:shd w:val="clear" w:color="auto" w:fill="FFFFFF"/>
          </w:tcPr>
          <w:p>
            <w:r>
              <w:rPr>
                <w:rFonts w:ascii="Calibri" w:hAnsi="Calibri"/>
                <w:b w:val="0"/>
                <w:i w:val="0"/>
                <w:color w:val="37474F"/>
                <w:sz w:val="18"/>
              </w:rPr>
              <w:t>Validación JWT + UX de error</w:t>
            </w:r>
          </w:p>
        </w:tc>
        <w:tc>
          <w:tcPr>
            <w:tcW w:type="dxa" w:w="2351"/>
            <w:shd w:val="clear" w:color="auto" w:fill="FFFFFF"/>
          </w:tcPr>
          <w:p>
            <w:r>
              <w:rPr>
                <w:rFonts w:ascii="Calibri" w:hAnsi="Calibri"/>
                <w:b w:val="0"/>
                <w:i w:val="0"/>
                <w:color w:val="37474F"/>
                <w:sz w:val="18"/>
              </w:rPr>
              <w:t>Seguridad</w:t>
            </w:r>
          </w:p>
        </w:tc>
        <w:tc>
          <w:tcPr>
            <w:tcW w:type="dxa" w:w="2351"/>
            <w:shd w:val="clear" w:color="auto" w:fill="FFFFFF"/>
          </w:tcPr>
          <w:p>
            <w:r>
              <w:rPr>
                <w:rFonts w:ascii="Calibri" w:hAnsi="Calibri"/>
                <w:b/>
                <w:i w:val="0"/>
                <w:color w:val="1B5E20"/>
                <w:sz w:val="18"/>
              </w:rPr>
              <w:t>✅ Verificado</w:t>
            </w:r>
          </w:p>
        </w:tc>
      </w:tr>
    </w:tbl>
    <w:p/>
    <w:p>
      <w:pPr>
        <w:spacing w:before="60" w:after="120"/>
        <w:jc w:val="both"/>
      </w:pPr>
      <w:r>
        <w:rPr>
          <w:rFonts w:ascii="Calibri" w:hAnsi="Calibri"/>
          <w:b w:val="0"/>
          <w:i w:val="0"/>
          <w:color w:val="607D8B"/>
          <w:sz w:val="21"/>
        </w:rPr>
        <w:t>Todas las evidencias presentadas son verificables y corresponden a capturas del sistema MindCheck AI en funcionamiento real al 9 de junio de 2026. El proyecto cumple con los estándares IEEE 830-1998 (SRS) e ISO/IEC 25010 (calidad de software) en sus dimensiones de funcionalidad, seguridad y confiabilidad. Las pendientes de la Prioridad 3 (testing, deploy, conexión de páginas restantes) están documentadas y planificadas para la Fase 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