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1yyjpccg4ttp" w:id="0"/>
      <w:bookmarkEnd w:id="0"/>
      <w:r w:rsidDel="00000000" w:rsidR="00000000" w:rsidRPr="00000000">
        <w:rPr>
          <w:rtl w:val="0"/>
        </w:rPr>
        <w:t xml:space="preserve">Si debe tomar alguna medicación (Hipertensión arterial, Enf. de Parkinson , hipnótico, ansiolítico) hasta 4 hs. antes con un vaso de agua (200ml) lo puede hacer, (ej. si el estudio es a las 08:00hs AM hasta las 04:00 hs. AM puede tomar la medicación) luego ya no. 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fe8otv7hc0ld" w:id="1"/>
      <w:bookmarkEnd w:id="1"/>
      <w:r w:rsidDel="00000000" w:rsidR="00000000" w:rsidRPr="00000000">
        <w:rPr>
          <w:rtl w:val="0"/>
        </w:rPr>
        <w:t xml:space="preserve">El resto de su medicación lo toma después del estudio.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RTGSi057EXgiY22kZ0RagrsJw==">CgMxLjAyDmguMXl5anBjY2c0dHRwMg5oLmZlOG90djdoYzBsZDgAciExanhQR18xWlRVdkk2aDlncmZzLUZ0ZXhLWThEZ1RjajM=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2026-02-25T15:30:00Z</dcterms:created>
  <dc:creator>Soifer Luis</dc:creator>
</cp:coreProperties>
</file>