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32699">
      <w:pPr>
        <w:bidi w:val="0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HALE-Potter智库报告：全口径健康资源优化配置建议书</w:t>
      </w:r>
    </w:p>
    <w:p w14:paraId="5E02B6A9">
      <w:p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[封面页]</w:t>
      </w:r>
    </w:p>
    <w:p w14:paraId="56BB33D9">
      <w:pPr>
        <w:bidi w:val="0"/>
        <w:rPr>
          <w:rFonts w:hint="default"/>
        </w:rPr>
      </w:pPr>
      <w:r>
        <w:rPr>
          <w:rFonts w:hint="eastAsia" w:ascii="黑体" w:hAnsi="黑体" w:eastAsia="黑体" w:cs="黑体"/>
        </w:rPr>
        <w:t>报告标题：</w:t>
      </w:r>
      <w:r>
        <w:rPr>
          <w:rFonts w:hint="default"/>
        </w:rPr>
        <w:t>{{country_name}}健康系统重塑路线图：基于MO-QPO引擎的</w:t>
      </w:r>
      <w:r>
        <w:rPr>
          <w:rFonts w:hint="eastAsia"/>
          <w:lang w:val="en-US" w:eastAsia="zh-CN"/>
        </w:rPr>
        <w:t>Pareto</w:t>
      </w:r>
      <w:r>
        <w:rPr>
          <w:rFonts w:hint="default"/>
        </w:rPr>
        <w:t>最优治理方案</w:t>
      </w:r>
    </w:p>
    <w:p w14:paraId="54141FEB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报告编号：</w:t>
      </w:r>
      <w:r>
        <w:rPr>
          <w:rFonts w:hint="default"/>
        </w:rPr>
        <w:t>HP-REPORT-{{iso_code}}-2026</w:t>
      </w:r>
    </w:p>
    <w:p w14:paraId="19C92744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发布机构：</w:t>
      </w:r>
      <w:r>
        <w:rPr>
          <w:rFonts w:hint="default"/>
        </w:rPr>
        <w:t>HALE-Potter全球健康决策中心</w:t>
      </w:r>
    </w:p>
    <w:p w14:paraId="0C6E783D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生成日期：</w:t>
      </w:r>
      <w:r>
        <w:rPr>
          <w:rFonts w:hint="default"/>
        </w:rPr>
        <w:t>{{report_date}}</w:t>
      </w:r>
    </w:p>
    <w:p w14:paraId="0D4B7DD5">
      <w:pPr>
        <w:bidi w:val="0"/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071BEC">
      <w:pPr>
        <w:pStyle w:val="2"/>
        <w:bidi w:val="0"/>
        <w:rPr>
          <w:rFonts w:hint="default"/>
        </w:rPr>
      </w:pPr>
      <w:r>
        <w:rPr>
          <w:rFonts w:hint="default"/>
        </w:rPr>
        <w:t>摘要与核心发现</w:t>
      </w:r>
    </w:p>
    <w:p w14:paraId="4380A384">
      <w:pPr>
        <w:bidi w:val="0"/>
        <w:rPr>
          <w:rFonts w:hint="default"/>
        </w:rPr>
      </w:pPr>
      <w:r>
        <w:rPr>
          <w:rFonts w:hint="default"/>
        </w:rPr>
        <w:t>本报告通过</w:t>
      </w:r>
      <w:r>
        <w:rPr>
          <w:rFonts w:hint="default" w:ascii="黑体" w:hAnsi="黑体" w:eastAsia="黑体" w:cs="黑体"/>
        </w:rPr>
        <w:t>HALE-Potter</w:t>
      </w:r>
      <w:r>
        <w:rPr>
          <w:rFonts w:hint="default"/>
        </w:rPr>
        <w:t>决策引擎，对{{country_name}}的健康系统进行了全维度扫描。基于Pareto最优法则，本研究识别了该国在资源配置中的结构性错配，并导出了在不增加额外财政负担前提下的资金重组方案。</w:t>
      </w:r>
    </w:p>
    <w:p w14:paraId="2313BE68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核心诊断：</w:t>
      </w:r>
      <w:r>
        <w:rPr>
          <w:rFonts w:hint="default"/>
        </w:rPr>
        <w:t>{{country_name}}的健康系统目前呈现{{core_feature}}特征。</w:t>
      </w:r>
    </w:p>
    <w:p w14:paraId="2A090023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重组效益：</w:t>
      </w:r>
      <w:r>
        <w:rPr>
          <w:rFonts w:hint="default"/>
        </w:rPr>
        <w:t>经MO-QPO引擎优化，预计可提升整体健康转化效率{{efficiency_gain}}%，有效填补{{main_risk_hole}}领域的资源缺口。</w:t>
      </w:r>
    </w:p>
    <w:p w14:paraId="2B770CA9">
      <w:pPr>
        <w:bidi w:val="0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AC539">
      <w:pPr>
        <w:pStyle w:val="2"/>
        <w:bidi w:val="0"/>
        <w:rPr>
          <w:rFonts w:hint="default"/>
        </w:rPr>
      </w:pPr>
      <w:r>
        <w:rPr>
          <w:rFonts w:hint="default"/>
        </w:rPr>
        <w:t>资源配置基准画像与错配诊断</w:t>
      </w:r>
    </w:p>
    <w:p w14:paraId="36A77F76">
      <w:pPr>
        <w:bidi w:val="0"/>
        <w:rPr>
          <w:rFonts w:hint="default"/>
        </w:rPr>
      </w:pPr>
      <w:r>
        <w:rPr>
          <w:rFonts w:hint="default"/>
        </w:rPr>
        <w:t>为了精准量化{{country_name}}的宏观健康资源配置初始状态，本文构建了“投入-风险-产出”多维基准画像。所有指标均已转化为全球195个主要经济体的百分位排名。</w:t>
      </w:r>
    </w:p>
    <w:p w14:paraId="229E7487">
      <w:pPr>
        <w:bidi w:val="0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t>[此处插入雷达图：Radar_{{iso_code}}.png]</w:t>
      </w:r>
    </w:p>
    <w:p w14:paraId="519C58D4">
      <w:pPr>
        <w:bidi w:val="0"/>
        <w:rPr>
          <w:rFonts w:hint="default"/>
        </w:rPr>
      </w:pPr>
      <w:r>
        <w:rPr>
          <w:rFonts w:hint="default"/>
        </w:rPr>
        <w:t>图1：{{country_name}}健康系统“投入-风险-产出”多维基准画像</w:t>
      </w:r>
    </w:p>
    <w:p w14:paraId="7185D36F">
      <w:pPr>
        <w:pStyle w:val="3"/>
        <w:numPr>
          <w:numId w:val="0"/>
        </w:numPr>
        <w:bidi w:val="0"/>
        <w:ind w:leftChars="0"/>
        <w:rPr>
          <w:rFonts w:hint="default"/>
        </w:rPr>
      </w:pPr>
      <w:r>
        <w:rPr>
          <w:rFonts w:hint="eastAsia"/>
          <w:lang w:val="en-US" w:eastAsia="zh-CN"/>
        </w:rPr>
        <w:t xml:space="preserve">2.1 </w:t>
      </w:r>
      <w:r>
        <w:rPr>
          <w:rFonts w:hint="default"/>
        </w:rPr>
        <w:t>诊断特征识别</w:t>
      </w:r>
    </w:p>
    <w:p w14:paraId="671DB2EE">
      <w:pPr>
        <w:bidi w:val="0"/>
        <w:rPr>
          <w:rFonts w:hint="default"/>
        </w:rPr>
      </w:pPr>
      <w:r>
        <w:rPr>
          <w:rFonts w:hint="default"/>
        </w:rPr>
        <w:t>根据{{country_name}}的实时画像数据（图1），该国健康系统呈现以下运行特征：</w:t>
      </w:r>
    </w:p>
    <w:p w14:paraId="13CD82A6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 w:ascii="黑体" w:hAnsi="黑体" w:eastAsia="黑体" w:cs="黑体"/>
        </w:rPr>
        <w:t>产出端：</w:t>
      </w:r>
      <w:r>
        <w:rPr>
          <w:rFonts w:hint="default"/>
        </w:rPr>
        <w:t>健康预期寿命（HALE）击败了全球{{hale_p}}%的国家。</w:t>
      </w:r>
    </w:p>
    <w:p w14:paraId="13C64D33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 w:ascii="黑体" w:hAnsi="黑体" w:eastAsia="黑体" w:cs="黑体"/>
        </w:rPr>
        <w:t>投入端：</w:t>
      </w:r>
      <w:r>
        <w:rPr>
          <w:rFonts w:hint="default"/>
        </w:rPr>
        <w:t>医师覆盖率及人均投入分别处于全球{{physician_p}}%与{{fund_p}}%分位。</w:t>
      </w:r>
    </w:p>
    <w:p w14:paraId="5F427CEF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 w:ascii="黑体" w:hAnsi="黑体" w:eastAsia="黑体" w:cs="黑体"/>
        </w:rPr>
        <w:t>风险端（黑洞识别）：</w:t>
      </w:r>
      <w:r>
        <w:rPr>
          <w:rFonts w:hint="default"/>
        </w:rPr>
        <w:t>图像显示{{risk_dimension_1}}与{{risk_dimension_2}}存在显著凹陷，这反映了该国在{{risk_desc}}方面面临严峻挑战。</w:t>
      </w:r>
    </w:p>
    <w:p w14:paraId="4BAC32CC">
      <w:pPr>
        <w:pStyle w:val="3"/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2.2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错配机制深度剖析</w:t>
      </w:r>
    </w:p>
    <w:p w14:paraId="0AAD8DC6">
      <w:pPr>
        <w:bidi w:val="0"/>
        <w:rPr>
          <w:rFonts w:hint="default"/>
        </w:rPr>
      </w:pPr>
      <w:r>
        <w:rPr>
          <w:rFonts w:hint="default"/>
        </w:rPr>
        <w:t>{{country_name}}存在典型的{{mismatch_type}}（如：资源对冲型错配/投入不足型错配）。这意味着即便系统管理效率极高，其产出红利也正在被极重的风险暴露负担所抵消。</w:t>
      </w:r>
    </w:p>
    <w:p w14:paraId="3D319DB8">
      <w:pPr>
        <w:bidi w:val="0"/>
        <w:rPr>
          <w:rFonts w:hint="default"/>
        </w:rPr>
      </w:pPr>
    </w:p>
    <w:p w14:paraId="0EDF2423">
      <w:pPr>
        <w:bidi w:val="0"/>
        <w:rPr>
          <w:rFonts w:hint="default"/>
        </w:rPr>
      </w:pPr>
      <w:r>
        <w:rPr>
          <w:rFonts w:hint="default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8D2F08">
      <w:pPr>
        <w:pStyle w:val="2"/>
        <w:bidi w:val="0"/>
        <w:rPr>
          <w:rFonts w:hint="default"/>
        </w:rPr>
      </w:pPr>
      <w:r>
        <w:rPr>
          <w:rFonts w:hint="default"/>
        </w:rPr>
        <w:t>迈向帕累托最优：资源流转路径推演</w:t>
      </w:r>
    </w:p>
    <w:p w14:paraId="0597B8AF">
      <w:pPr>
        <w:bidi w:val="0"/>
        <w:rPr>
          <w:rFonts w:hint="default"/>
        </w:rPr>
      </w:pPr>
      <w:r>
        <w:rPr>
          <w:rFonts w:hint="default"/>
        </w:rPr>
        <w:t>基于{{country_name}}的真实财政本底，本文利用MO-QPO引擎在满足零和博弈与制度摩擦约束的前提下，执行了资金流转的二次规划。</w:t>
      </w:r>
    </w:p>
    <w:p w14:paraId="406DA905">
      <w:pPr>
        <w:bidi w:val="0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t>[此处插入桑基图：Sankey_{{iso_code}}.png]</w:t>
      </w:r>
    </w:p>
    <w:p w14:paraId="7BDC1B26">
      <w:pPr>
        <w:bidi w:val="0"/>
        <w:rPr>
          <w:rFonts w:hint="default"/>
        </w:rPr>
      </w:pPr>
      <w:r>
        <w:rPr>
          <w:rFonts w:hint="default"/>
        </w:rPr>
        <w:t>图2：{{country_name}}健康系统资金池Pareto最优重组流向图</w:t>
      </w:r>
    </w:p>
    <w:p w14:paraId="134A9582">
      <w:pPr>
        <w:pStyle w:val="3"/>
        <w:numPr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3.1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靶向重组逻辑</w:t>
      </w:r>
    </w:p>
    <w:p w14:paraId="08A03F49">
      <w:pPr>
        <w:bidi w:val="0"/>
        <w:rPr>
          <w:rFonts w:hint="default"/>
        </w:rPr>
      </w:pPr>
      <w:r>
        <w:rPr>
          <w:rFonts w:hint="default"/>
        </w:rPr>
        <w:t>如图2所示，优化引擎并未采取极端的角点解，而是给出了精准的“结构性补强”路径：</w:t>
      </w:r>
    </w:p>
    <w:p w14:paraId="527E5E68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冗余剥离：</w:t>
      </w:r>
      <w:r>
        <w:rPr>
          <w:rFonts w:hint="default"/>
        </w:rPr>
        <w:t>系统识别到{{reduction_sector_1}}边际收益已近饱和，主张释放{{reduction_val_1}}%的沉淀资金。</w:t>
      </w:r>
    </w:p>
    <w:p w14:paraId="2424EB20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精准滴灌：</w:t>
      </w:r>
      <w:r>
        <w:rPr>
          <w:rFonts w:hint="default"/>
        </w:rPr>
        <w:t>释放的资金被定向注入{{injection_sector_1}}（新增{{injection_val_1}}%）与{{injection_sector_2}}（新增{{injection_val_2}}%），旨在填补雷达图中的凹陷维度。</w:t>
      </w:r>
    </w:p>
    <w:p w14:paraId="66859EC9">
      <w:pPr>
        <w:bidi w:val="0"/>
        <w:rPr>
          <w:rFonts w:hint="default"/>
        </w:rPr>
      </w:pPr>
    </w:p>
    <w:p w14:paraId="1E75F250">
      <w:pPr>
        <w:bidi w:val="0"/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7DE09F">
      <w:pPr>
        <w:pStyle w:val="2"/>
        <w:bidi w:val="0"/>
        <w:rPr>
          <w:rFonts w:hint="default"/>
        </w:rPr>
      </w:pPr>
      <w:r>
        <w:rPr>
          <w:rFonts w:hint="default"/>
        </w:rPr>
        <w:t>本土化靶向干预方案（政策处方）</w:t>
      </w:r>
    </w:p>
    <w:p w14:paraId="3C262DB7">
      <w:pPr>
        <w:bidi w:val="0"/>
        <w:rPr>
          <w:rFonts w:hint="default"/>
        </w:rPr>
      </w:pPr>
      <w:r>
        <w:rPr>
          <w:rFonts w:hint="default"/>
        </w:rPr>
        <w:t>立足于上述数学推演，本中心向{{country_name}}宏观决策层提出以下三阶梯式战略路线图：</w:t>
      </w:r>
    </w:p>
    <w:p w14:paraId="0F068CF3">
      <w:pPr>
        <w:bidi w:val="0"/>
        <w:rPr>
          <w:rFonts w:hint="default"/>
        </w:rPr>
      </w:pPr>
      <w:r>
        <w:rPr>
          <w:rFonts w:hint="default" w:ascii="黑体" w:hAnsi="黑体" w:eastAsia="黑体" w:cs="黑体"/>
        </w:rPr>
        <w:t>1.深化结构性改革，遏制资源错位（对应资金剥离-{{reduction_val_1}}%）</w:t>
      </w:r>
    </w:p>
    <w:p w14:paraId="2C40198D">
      <w:pPr>
        <w:bidi w:val="0"/>
        <w:rPr>
          <w:rFonts w:hint="default"/>
        </w:rPr>
      </w:pPr>
      <w:r>
        <w:rPr>
          <w:rFonts w:hint="default"/>
        </w:rPr>
        <w:t>针对{{country_name}}在{{reduction_sector_1}}领域的投入冗余，建议：{{policy_1_content}}。</w:t>
      </w:r>
    </w:p>
    <w:p w14:paraId="0A28C617">
      <w:pPr>
        <w:bidi w:val="0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t>2.建立跨界协同机制，实现外部性内部化（对应资金增量+{{injection_val_1}}%）</w:t>
      </w:r>
    </w:p>
    <w:p w14:paraId="0F997FDD">
      <w:pPr>
        <w:bidi w:val="0"/>
        <w:rPr>
          <w:rFonts w:hint="default"/>
        </w:rPr>
      </w:pPr>
      <w:r>
        <w:rPr>
          <w:rFonts w:hint="default"/>
        </w:rPr>
        <w:t>针对{{country_name}}的环境/公卫负债，建议：{{policy_2_content}}。</w:t>
      </w:r>
    </w:p>
    <w:p w14:paraId="4229FEE2">
      <w:pPr>
        <w:bidi w:val="0"/>
        <w:rPr>
          <w:rFonts w:hint="default" w:ascii="黑体" w:hAnsi="黑体" w:eastAsia="黑体" w:cs="黑体"/>
        </w:rPr>
      </w:pPr>
      <w:r>
        <w:rPr>
          <w:rFonts w:hint="default" w:ascii="黑体" w:hAnsi="黑体" w:eastAsia="黑体" w:cs="黑体"/>
        </w:rPr>
        <w:t>3.实施风险前置干预，筑牢疾病上游防线（对应资金增量+{{injection_val_2}}%）</w:t>
      </w:r>
    </w:p>
    <w:p w14:paraId="3DB5901D">
      <w:pPr>
        <w:bidi w:val="0"/>
        <w:rPr>
          <w:rFonts w:hint="default"/>
        </w:rPr>
      </w:pPr>
      <w:r>
        <w:rPr>
          <w:rFonts w:hint="default"/>
        </w:rPr>
        <w:t>针对占比极低但回报潜力极高的行为/预防防线，建议：{{policy_3_content}}。</w:t>
      </w:r>
    </w:p>
    <w:p w14:paraId="144F21B0">
      <w:pPr>
        <w:bidi w:val="0"/>
        <w:rPr>
          <w:rFonts w:hint="default"/>
        </w:rPr>
      </w:pPr>
      <w:r>
        <w:rPr>
          <w:rFonts w:hint="default"/>
        </w:rPr>
        <w:pict>
          <v:rect id="_x0000_i1030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3C52F">
      <w:pPr>
        <w:pStyle w:val="2"/>
        <w:bidi w:val="0"/>
        <w:rPr>
          <w:rFonts w:hint="default"/>
        </w:rPr>
      </w:pPr>
      <w:r>
        <w:rPr>
          <w:rFonts w:hint="default"/>
        </w:rPr>
        <w:t>技术注脚与方法论</w:t>
      </w:r>
    </w:p>
    <w:p w14:paraId="2EEE3BB4">
      <w:pPr>
        <w:bidi w:val="0"/>
        <w:rPr>
          <w:rFonts w:hint="default"/>
        </w:rPr>
      </w:pPr>
    </w:p>
    <w:p w14:paraId="03DD7730">
      <w:pPr>
        <w:bidi w:val="0"/>
        <w:rPr>
          <w:rFonts w:hint="default"/>
        </w:rPr>
      </w:pPr>
      <w:r>
        <w:rPr>
          <w:rFonts w:hint="eastAsia" w:ascii="黑体" w:hAnsi="黑体" w:eastAsia="黑体" w:cs="黑体"/>
          <w:lang w:val="en-US" w:eastAsia="zh-CN"/>
        </w:rPr>
        <w:t xml:space="preserve">· </w:t>
      </w:r>
      <w:r>
        <w:rPr>
          <w:rFonts w:hint="default" w:ascii="黑体" w:hAnsi="黑体" w:eastAsia="黑体" w:cs="黑体"/>
        </w:rPr>
        <w:t>MO-QPO引擎：</w:t>
      </w:r>
      <w:r>
        <w:rPr>
          <w:rFonts w:hint="default"/>
        </w:rPr>
        <w:t>采用多目标粒子群优化算法的二次规划变体。</w:t>
      </w:r>
    </w:p>
    <w:p w14:paraId="6499564D">
      <w:pPr>
        <w:bidi w:val="0"/>
        <w:rPr>
          <w:rFonts w:hint="default"/>
        </w:rPr>
      </w:pPr>
      <w:r>
        <w:rPr>
          <w:rFonts w:hint="eastAsia" w:ascii="黑体" w:hAnsi="黑体" w:eastAsia="黑体" w:cs="黑体"/>
          <w:lang w:val="en-US" w:eastAsia="zh-CN"/>
        </w:rPr>
        <w:t xml:space="preserve">· </w:t>
      </w:r>
      <w:r>
        <w:rPr>
          <w:rFonts w:hint="default" w:ascii="黑体" w:hAnsi="黑体" w:eastAsia="黑体" w:cs="黑体"/>
        </w:rPr>
        <w:t>归因负担控制指标：</w:t>
      </w:r>
      <w:r>
        <w:rPr>
          <w:rFonts w:hint="default"/>
        </w:rPr>
        <w:t>数值越低代表该因素引发的DALYs（伤残调整生命年）负债越重。</w:t>
      </w:r>
    </w:p>
    <w:p w14:paraId="55E6B5B3">
      <w:pPr>
        <w:bidi w:val="0"/>
        <w:rPr>
          <w:rFonts w:hint="default"/>
        </w:rPr>
      </w:pPr>
      <w:r>
        <w:rPr>
          <w:rFonts w:hint="eastAsia" w:ascii="黑体" w:hAnsi="黑体" w:eastAsia="黑体" w:cs="黑体"/>
          <w:lang w:val="en-US" w:eastAsia="zh-CN"/>
        </w:rPr>
        <w:t xml:space="preserve">· </w:t>
      </w:r>
      <w:bookmarkStart w:id="0" w:name="_GoBack"/>
      <w:bookmarkEnd w:id="0"/>
      <w:r>
        <w:rPr>
          <w:rFonts w:hint="default" w:ascii="黑体" w:hAnsi="黑体" w:eastAsia="黑体" w:cs="黑体"/>
        </w:rPr>
        <w:t>数据来源：</w:t>
      </w:r>
      <w:r>
        <w:rPr>
          <w:rFonts w:hint="default"/>
        </w:rPr>
        <w:t>融合WHOGHED、世界银行WDI及MPOWER实时数据库。</w:t>
      </w:r>
    </w:p>
    <w:p w14:paraId="0C8C13E1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D82B351-8356-4FB8-B837-8BF812E79053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53AC5"/>
    <w:multiLevelType w:val="multilevel"/>
    <w:tmpl w:val="80853AC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953B63DA"/>
    <w:multiLevelType w:val="singleLevel"/>
    <w:tmpl w:val="953B63DA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D6F72380"/>
    <w:multiLevelType w:val="singleLevel"/>
    <w:tmpl w:val="D6F7238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DB5A47A"/>
    <w:multiLevelType w:val="multilevel"/>
    <w:tmpl w:val="6DB5A47A"/>
    <w:lvl w:ilvl="0" w:tentative="0">
      <w:start w:val="1"/>
      <w:numFmt w:val="decimal"/>
      <w:suff w:val="nothing"/>
      <w:lvlText w:val="第%1章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420"/>
        </w:tabs>
        <w:ind w:left="575" w:hanging="575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isLgl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10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E528E8"/>
    <w:rsid w:val="039558AD"/>
    <w:rsid w:val="05AD520F"/>
    <w:rsid w:val="0C8B1D9F"/>
    <w:rsid w:val="0CCA02BC"/>
    <w:rsid w:val="0DFC5CE7"/>
    <w:rsid w:val="0EFD1AE1"/>
    <w:rsid w:val="0F3600A1"/>
    <w:rsid w:val="0F666021"/>
    <w:rsid w:val="13BB28FC"/>
    <w:rsid w:val="13D07BDF"/>
    <w:rsid w:val="155A34DA"/>
    <w:rsid w:val="17802C1E"/>
    <w:rsid w:val="198E359E"/>
    <w:rsid w:val="20695CF9"/>
    <w:rsid w:val="226F3A68"/>
    <w:rsid w:val="23E528E8"/>
    <w:rsid w:val="24AE60EE"/>
    <w:rsid w:val="304762F5"/>
    <w:rsid w:val="32BD71EB"/>
    <w:rsid w:val="34C44320"/>
    <w:rsid w:val="360271F9"/>
    <w:rsid w:val="37442069"/>
    <w:rsid w:val="39091AA1"/>
    <w:rsid w:val="3FC221B2"/>
    <w:rsid w:val="409136C9"/>
    <w:rsid w:val="40980DC5"/>
    <w:rsid w:val="4365585F"/>
    <w:rsid w:val="4A31518A"/>
    <w:rsid w:val="4B634E9F"/>
    <w:rsid w:val="4C0D7400"/>
    <w:rsid w:val="4C166A30"/>
    <w:rsid w:val="4EBB663A"/>
    <w:rsid w:val="52D17FAD"/>
    <w:rsid w:val="533B0F28"/>
    <w:rsid w:val="55F009BE"/>
    <w:rsid w:val="573715D1"/>
    <w:rsid w:val="576616F1"/>
    <w:rsid w:val="5D8A6CFA"/>
    <w:rsid w:val="628F0D75"/>
    <w:rsid w:val="63392CE9"/>
    <w:rsid w:val="65BB674C"/>
    <w:rsid w:val="6A4B287D"/>
    <w:rsid w:val="6C503787"/>
    <w:rsid w:val="6CBC13F4"/>
    <w:rsid w:val="71B47D1E"/>
    <w:rsid w:val="73C9003E"/>
    <w:rsid w:val="7444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420"/>
      </w:tabs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link w:val="17"/>
    <w:unhideWhenUsed/>
    <w:qFormat/>
    <w:uiPriority w:val="0"/>
    <w:pPr>
      <w:numPr>
        <w:ilvl w:val="1"/>
        <w:numId w:val="2"/>
      </w:numPr>
      <w:tabs>
        <w:tab w:val="left" w:pos="420"/>
      </w:tabs>
      <w:autoSpaceDE w:val="0"/>
      <w:autoSpaceDN w:val="0"/>
      <w:spacing w:before="240" w:after="240" w:line="360" w:lineRule="atLeast"/>
      <w:ind w:left="575" w:hanging="575"/>
      <w:outlineLvl w:val="1"/>
    </w:pPr>
    <w:rPr>
      <w:rFonts w:ascii="Calibri" w:hAnsi="Calibri" w:eastAsia="黑体"/>
      <w:sz w:val="28"/>
      <w:szCs w:val="30"/>
    </w:rPr>
  </w:style>
  <w:style w:type="paragraph" w:styleId="4">
    <w:name w:val="heading 3"/>
    <w:basedOn w:val="1"/>
    <w:next w:val="5"/>
    <w:link w:val="18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7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8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3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9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3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10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3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1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3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2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3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First Indent"/>
    <w:basedOn w:val="6"/>
    <w:qFormat/>
    <w:uiPriority w:val="0"/>
    <w:pPr>
      <w:ind w:firstLine="420" w:firstLineChars="100"/>
    </w:pPr>
  </w:style>
  <w:style w:type="paragraph" w:styleId="6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HTML Code"/>
    <w:basedOn w:val="15"/>
    <w:uiPriority w:val="0"/>
    <w:rPr>
      <w:rFonts w:ascii="Courier New" w:hAnsi="Courier New"/>
      <w:sz w:val="20"/>
    </w:rPr>
  </w:style>
  <w:style w:type="character" w:customStyle="1" w:styleId="17">
    <w:name w:val="标题 2 字符"/>
    <w:link w:val="3"/>
    <w:qFormat/>
    <w:uiPriority w:val="0"/>
    <w:rPr>
      <w:rFonts w:ascii="Calibri" w:hAnsi="Calibri" w:eastAsia="黑体" w:cs="宋体"/>
      <w:kern w:val="2"/>
      <w:sz w:val="28"/>
      <w:szCs w:val="30"/>
      <w:lang w:val="en-US" w:eastAsia="zh-CN" w:bidi="ar-SA"/>
    </w:rPr>
  </w:style>
  <w:style w:type="character" w:customStyle="1" w:styleId="18">
    <w:name w:val="标题 3 字符"/>
    <w:link w:val="4"/>
    <w:qFormat/>
    <w:uiPriority w:val="0"/>
    <w:rPr>
      <w:rFonts w:ascii="Calibri" w:hAnsi="Calibri" w:eastAsia="仿宋"/>
      <w:b/>
      <w:kern w:val="2"/>
      <w:sz w:val="28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2026-04-21T19:50:00Z</dcterms:created>
  <dc:creator>老板来碗鱼丸粗面.</dc:creator>
  <cp:lastModifiedBy>老板来碗鱼丸粗面.</cp:lastModifiedBy>
  <dcterms:modified xsi:type="dcterms:W3CDTF">2026-04-21T20:03:29Z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B883F10241AF44B99C67CA8EC9B77CCE_11</vt:lpwstr>
  </property>
  <property fmtid="{D5CDD505-2E9C-101B-9397-08002B2CF9AE}" pid="4" name="KSOTemplateDocerSaveRecord">
    <vt:lpwstr>eyJoZGlkIjoiMWViYjRmY2FiYmFmZTE0NWRkNGExODQyNDQxNjE1OTYiLCJ1c2VySWQiOiIxMTY3NjIxMTk3In0=</vt:lpwstr>
  </property>
</Properties>
</file>