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2D" w:rsidRPr="00C34A2D" w:rsidRDefault="00C34A2D" w:rsidP="00C34A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kern w:val="0"/>
          <w:sz w:val="32"/>
          <w:szCs w:val="32"/>
        </w:rPr>
      </w:pPr>
      <w:r w:rsidRPr="00C34A2D">
        <w:rPr>
          <w:rFonts w:ascii="Times New Roman" w:hAnsi="Times New Roman" w:cs="Times New Roman"/>
          <w:iCs/>
          <w:kern w:val="0"/>
          <w:sz w:val="32"/>
          <w:szCs w:val="32"/>
        </w:rPr>
        <w:t>Simulations</w:t>
      </w:r>
    </w:p>
    <w:p w:rsidR="00C34A2D" w:rsidRPr="00C34A2D" w:rsidRDefault="00C34A2D" w:rsidP="00C34A2D">
      <w:pPr>
        <w:autoSpaceDE w:val="0"/>
        <w:autoSpaceDN w:val="0"/>
        <w:adjustRightInd w:val="0"/>
        <w:rPr>
          <w:rFonts w:ascii="Times-Roman" w:hAnsi="Times-Roman" w:cs="Times-Roman"/>
          <w:b/>
          <w:kern w:val="0"/>
          <w:sz w:val="28"/>
          <w:szCs w:val="28"/>
        </w:rPr>
      </w:pPr>
      <w:r w:rsidRPr="00C34A2D">
        <w:rPr>
          <w:rFonts w:ascii="Times-Roman" w:hAnsi="Times-Roman" w:cs="Times-Roman" w:hint="eastAsia"/>
          <w:b/>
          <w:kern w:val="0"/>
          <w:sz w:val="28"/>
          <w:szCs w:val="28"/>
        </w:rPr>
        <w:t>KC:</w:t>
      </w:r>
    </w:p>
    <w:p w:rsidR="007E1414" w:rsidRDefault="00C34A2D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C34A2D">
        <w:rPr>
          <w:rFonts w:ascii="Times New Roman" w:hAnsi="Times New Roman" w:cs="Times New Roman"/>
          <w:kern w:val="0"/>
          <w:szCs w:val="21"/>
        </w:rPr>
        <w:t xml:space="preserve">KCs were modeled as single-compartment neurons with channels governed by Hodgkin-Huxley kinetics: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C</w:t>
      </w:r>
      <w:r w:rsidRPr="00C34A2D">
        <w:rPr>
          <w:rFonts w:ascii="Times New Roman" w:hAnsi="Times New Roman" w:cs="Times New Roman"/>
          <w:kern w:val="0"/>
          <w:szCs w:val="21"/>
        </w:rPr>
        <w:t>md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V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>/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d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proofErr w:type="spellEnd"/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 </w:t>
      </w:r>
      <w:r w:rsidRPr="00C34A2D">
        <w:rPr>
          <w:rFonts w:ascii="Times New Roman" w:hAnsi="Times New Roman" w:cs="Times New Roman"/>
          <w:kern w:val="0"/>
          <w:szCs w:val="21"/>
        </w:rPr>
        <w:t>_ _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>L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>(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V </w:t>
      </w:r>
      <w:r w:rsidRPr="00C34A2D">
        <w:rPr>
          <w:rFonts w:ascii="Times New Roman" w:hAnsi="Times New Roman" w:cs="Times New Roman"/>
          <w:kern w:val="0"/>
          <w:szCs w:val="21"/>
        </w:rPr>
        <w:t xml:space="preserve">_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E</w:t>
      </w:r>
      <w:r w:rsidRPr="00C34A2D">
        <w:rPr>
          <w:rFonts w:ascii="Times New Roman" w:hAnsi="Times New Roman" w:cs="Times New Roman"/>
          <w:kern w:val="0"/>
          <w:szCs w:val="21"/>
        </w:rPr>
        <w:t>L) _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I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, where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C</w:t>
      </w:r>
      <w:r w:rsidRPr="00C34A2D">
        <w:rPr>
          <w:rFonts w:ascii="Times New Roman" w:hAnsi="Times New Roman" w:cs="Times New Roman"/>
          <w:kern w:val="0"/>
          <w:szCs w:val="21"/>
        </w:rPr>
        <w:t xml:space="preserve">m is the membrane capacitance,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>L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is the leakage conductance,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V </w:t>
      </w:r>
      <w:r w:rsidRPr="00C34A2D">
        <w:rPr>
          <w:rFonts w:ascii="Times New Roman" w:hAnsi="Times New Roman" w:cs="Times New Roman"/>
          <w:kern w:val="0"/>
          <w:szCs w:val="21"/>
        </w:rPr>
        <w:t xml:space="preserve">is the membrane potential,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E</w:t>
      </w:r>
      <w:r w:rsidRPr="00C34A2D">
        <w:rPr>
          <w:rFonts w:ascii="Times New Roman" w:hAnsi="Times New Roman" w:cs="Times New Roman"/>
          <w:kern w:val="0"/>
          <w:szCs w:val="21"/>
        </w:rPr>
        <w:t xml:space="preserve">L is the leak reversal potential, and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I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is the sum of synaptic currents. Only passive membrane properties were simulated: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C</w:t>
      </w:r>
      <w:r w:rsidRPr="00C34A2D">
        <w:rPr>
          <w:rFonts w:ascii="Times New Roman" w:hAnsi="Times New Roman" w:cs="Times New Roman"/>
          <w:kern w:val="0"/>
          <w:szCs w:val="21"/>
        </w:rPr>
        <w:t xml:space="preserve">m _ 1.0 _F/cm2,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>L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_ 0.089 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mS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/cm2,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E</w:t>
      </w:r>
      <w:r w:rsidRPr="00C34A2D">
        <w:rPr>
          <w:rFonts w:ascii="Times New Roman" w:hAnsi="Times New Roman" w:cs="Times New Roman"/>
          <w:kern w:val="0"/>
          <w:szCs w:val="21"/>
        </w:rPr>
        <w:t xml:space="preserve">L _ _57.8 mV. Model parameters were tuned to produce the experimentally measured EPSP decay time constant: _ _ 11.5 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ms.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Synaptic currents mediated by PN spikes were calculated according to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I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_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O</w:t>
      </w:r>
      <w:r w:rsidRPr="00C34A2D">
        <w:rPr>
          <w:rFonts w:ascii="Times New Roman" w:hAnsi="Times New Roman" w:cs="Times New Roman"/>
          <w:kern w:val="0"/>
          <w:szCs w:val="21"/>
        </w:rPr>
        <w:t>] (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V </w:t>
      </w:r>
      <w:r w:rsidRPr="00C34A2D">
        <w:rPr>
          <w:rFonts w:ascii="Times New Roman" w:hAnsi="Times New Roman" w:cs="Times New Roman"/>
          <w:kern w:val="0"/>
          <w:szCs w:val="21"/>
        </w:rPr>
        <w:t xml:space="preserve">_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E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), where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is the maximal conductivity, 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O</w:t>
      </w:r>
      <w:r w:rsidRPr="00C34A2D">
        <w:rPr>
          <w:rFonts w:ascii="Times New Roman" w:hAnsi="Times New Roman" w:cs="Times New Roman"/>
          <w:kern w:val="0"/>
          <w:szCs w:val="21"/>
        </w:rPr>
        <w:t>](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 xml:space="preserve">) is the fraction of open channels, and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E</w:t>
      </w:r>
      <w:r w:rsidRPr="00C34A2D">
        <w:rPr>
          <w:rFonts w:ascii="Times New Roman" w:hAnsi="Times New Roman" w:cs="Times New Roman"/>
          <w:kern w:val="0"/>
          <w:szCs w:val="21"/>
        </w:rPr>
        <w:t>syn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_ 0 is the reversal potential. Synaptic currents were modeled by first-order activation schemes (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Destexhe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et al. 1994): </w:t>
      </w:r>
      <w:proofErr w:type="gramStart"/>
      <w:r w:rsidRPr="00C34A2D">
        <w:rPr>
          <w:rFonts w:ascii="Times New Roman" w:hAnsi="Times New Roman" w:cs="Times New Roman"/>
          <w:kern w:val="0"/>
          <w:szCs w:val="21"/>
        </w:rPr>
        <w:t>d[</w:t>
      </w:r>
      <w:proofErr w:type="gramEnd"/>
      <w:r w:rsidRPr="00C34A2D">
        <w:rPr>
          <w:rFonts w:ascii="Times New Roman" w:hAnsi="Times New Roman" w:cs="Times New Roman"/>
          <w:i/>
          <w:iCs/>
          <w:kern w:val="0"/>
          <w:szCs w:val="21"/>
        </w:rPr>
        <w:t>O</w:t>
      </w:r>
      <w:r w:rsidRPr="00C34A2D">
        <w:rPr>
          <w:rFonts w:ascii="Times New Roman" w:hAnsi="Times New Roman" w:cs="Times New Roman"/>
          <w:kern w:val="0"/>
          <w:szCs w:val="21"/>
        </w:rPr>
        <w:t>]/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d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proofErr w:type="spellEnd"/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 </w:t>
      </w:r>
      <w:r w:rsidRPr="00C34A2D">
        <w:rPr>
          <w:rFonts w:ascii="Times New Roman" w:hAnsi="Times New Roman" w:cs="Times New Roman"/>
          <w:kern w:val="0"/>
          <w:szCs w:val="21"/>
        </w:rPr>
        <w:t>_ _(1 _ 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O</w:t>
      </w:r>
      <w:r w:rsidRPr="00C34A2D">
        <w:rPr>
          <w:rFonts w:ascii="Times New Roman" w:hAnsi="Times New Roman" w:cs="Times New Roman"/>
          <w:kern w:val="0"/>
          <w:szCs w:val="21"/>
        </w:rPr>
        <w:t>])[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>] _ _[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O</w:t>
      </w:r>
      <w:r w:rsidRPr="00C34A2D">
        <w:rPr>
          <w:rFonts w:ascii="Times New Roman" w:hAnsi="Times New Roman" w:cs="Times New Roman"/>
          <w:kern w:val="0"/>
          <w:szCs w:val="21"/>
        </w:rPr>
        <w:t>], where 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>] represents the concentration of transmitter (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Bazhenov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et al. 2001). [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 xml:space="preserve">] _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A</w:t>
      </w:r>
      <w:proofErr w:type="gramStart"/>
      <w:r w:rsidRPr="00C34A2D">
        <w:rPr>
          <w:rFonts w:ascii="Times New Roman" w:hAnsi="Times New Roman" w:cs="Times New Roman"/>
          <w:kern w:val="0"/>
          <w:szCs w:val="21"/>
        </w:rPr>
        <w:t>_(</w:t>
      </w:r>
      <w:proofErr w:type="gramEnd"/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 xml:space="preserve">0 _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>max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_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>)_(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t </w:t>
      </w:r>
      <w:r w:rsidRPr="00C34A2D">
        <w:rPr>
          <w:rFonts w:ascii="Times New Roman" w:hAnsi="Times New Roman" w:cs="Times New Roman"/>
          <w:kern w:val="0"/>
          <w:szCs w:val="21"/>
        </w:rPr>
        <w:t xml:space="preserve">_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>0), where _(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 xml:space="preserve">) is the Heaviside (step-) function,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A </w:t>
      </w:r>
      <w:r w:rsidRPr="00C34A2D">
        <w:rPr>
          <w:rFonts w:ascii="Times New Roman" w:hAnsi="Times New Roman" w:cs="Times New Roman"/>
          <w:kern w:val="0"/>
          <w:szCs w:val="21"/>
        </w:rPr>
        <w:t xml:space="preserve">_ 0.5, </w:t>
      </w:r>
      <w:proofErr w:type="spellStart"/>
      <w:r w:rsidRPr="00C34A2D">
        <w:rPr>
          <w:rFonts w:ascii="Times New Roman" w:hAnsi="Times New Roman" w:cs="Times New Roman"/>
          <w:i/>
          <w:iCs/>
          <w:kern w:val="0"/>
          <w:szCs w:val="21"/>
        </w:rPr>
        <w:t>t</w:t>
      </w:r>
      <w:r w:rsidRPr="00C34A2D">
        <w:rPr>
          <w:rFonts w:ascii="Times New Roman" w:hAnsi="Times New Roman" w:cs="Times New Roman"/>
          <w:kern w:val="0"/>
          <w:szCs w:val="21"/>
        </w:rPr>
        <w:t>max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_ 0.3 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ms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(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Destexhe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et al. 1994). The rate constants, _ and _, were estimated from voltage-clamp data using 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clampfit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 software (MDS Analytical Technologies): _ _ 2.5 ms_1 and _ _ 0.4 ms_1. Two values of the maximal conductance of PN-KC synapses were tested: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 xml:space="preserve">1 _ 0.05 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mS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 xml:space="preserve">/cm2 to produce ESPS with amplitude 1.4 mV and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g</w:t>
      </w:r>
      <w:r w:rsidRPr="00C34A2D">
        <w:rPr>
          <w:rFonts w:ascii="Times New Roman" w:hAnsi="Times New Roman" w:cs="Times New Roman"/>
          <w:kern w:val="0"/>
          <w:szCs w:val="21"/>
        </w:rPr>
        <w:t xml:space="preserve">2 _ 0.04 </w:t>
      </w:r>
      <w:proofErr w:type="spellStart"/>
      <w:r w:rsidRPr="00C34A2D">
        <w:rPr>
          <w:rFonts w:ascii="Times New Roman" w:hAnsi="Times New Roman" w:cs="Times New Roman"/>
          <w:kern w:val="0"/>
          <w:szCs w:val="21"/>
        </w:rPr>
        <w:t>mS</w:t>
      </w:r>
      <w:proofErr w:type="spellEnd"/>
      <w:r w:rsidRPr="00C34A2D">
        <w:rPr>
          <w:rFonts w:ascii="Times New Roman" w:hAnsi="Times New Roman" w:cs="Times New Roman"/>
          <w:kern w:val="0"/>
          <w:szCs w:val="21"/>
        </w:rPr>
        <w:t>/cm2 to produce ESPS with amplitude 1.2 mV. To test the effect of PN</w:t>
      </w:r>
      <w:proofErr w:type="gramStart"/>
      <w:r w:rsidRPr="00C34A2D">
        <w:rPr>
          <w:rFonts w:ascii="Times New Roman" w:hAnsi="Times New Roman" w:cs="Times New Roman"/>
          <w:kern w:val="0"/>
          <w:szCs w:val="21"/>
        </w:rPr>
        <w:t>:KC</w:t>
      </w:r>
      <w:proofErr w:type="gramEnd"/>
      <w:r w:rsidRPr="00C34A2D">
        <w:rPr>
          <w:rFonts w:ascii="Times New Roman" w:hAnsi="Times New Roman" w:cs="Times New Roman"/>
          <w:kern w:val="0"/>
          <w:szCs w:val="21"/>
        </w:rPr>
        <w:t xml:space="preserve"> convergence on KC spiking probability, a network of KCs (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 xml:space="preserve">n </w:t>
      </w:r>
      <w:r w:rsidRPr="00C34A2D">
        <w:rPr>
          <w:rFonts w:ascii="Times New Roman" w:hAnsi="Times New Roman" w:cs="Times New Roman"/>
          <w:kern w:val="0"/>
          <w:szCs w:val="21"/>
        </w:rPr>
        <w:t xml:space="preserve">_ 1,000) was stimulated by PN input. PN spike times were taken from experimental data; different KCs in the network received input from different randomly selected sets of PNs. We assumed that a KC produces a spike when its membrane potential reaches the experimentally determined spike threshold </w:t>
      </w:r>
      <w:r w:rsidRPr="00C34A2D">
        <w:rPr>
          <w:rFonts w:ascii="Times New Roman" w:hAnsi="Times New Roman" w:cs="Times New Roman"/>
          <w:i/>
          <w:iCs/>
          <w:kern w:val="0"/>
          <w:szCs w:val="21"/>
        </w:rPr>
        <w:t>V</w:t>
      </w:r>
      <w:r w:rsidRPr="00C34A2D">
        <w:rPr>
          <w:rFonts w:ascii="Times New Roman" w:hAnsi="Times New Roman" w:cs="Times New Roman"/>
          <w:kern w:val="0"/>
          <w:szCs w:val="21"/>
        </w:rPr>
        <w:t>th _ _36.3 mV. KC spiking probability was then calculated for different values of PN</w:t>
      </w:r>
      <w:proofErr w:type="gramStart"/>
      <w:r w:rsidRPr="00C34A2D">
        <w:rPr>
          <w:rFonts w:ascii="Times New Roman" w:hAnsi="Times New Roman" w:cs="Times New Roman"/>
          <w:kern w:val="0"/>
          <w:szCs w:val="21"/>
        </w:rPr>
        <w:t>:KC</w:t>
      </w:r>
      <w:proofErr w:type="gramEnd"/>
      <w:r w:rsidRPr="00C34A2D">
        <w:rPr>
          <w:rFonts w:ascii="Times New Roman" w:hAnsi="Times New Roman" w:cs="Times New Roman"/>
          <w:kern w:val="0"/>
          <w:szCs w:val="21"/>
        </w:rPr>
        <w:t xml:space="preserve"> convergence ratio varying between 1 and 20.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:rsidR="00C34A2D" w:rsidRDefault="00C34A2D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C34A2D" w:rsidRDefault="00C34A2D" w:rsidP="00C34A2D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C34A2D">
        <w:rPr>
          <w:rFonts w:ascii="Times New Roman" w:hAnsi="Times New Roman" w:cs="Times New Roman" w:hint="eastAsia"/>
          <w:b/>
          <w:kern w:val="0"/>
          <w:sz w:val="28"/>
          <w:szCs w:val="28"/>
        </w:rPr>
        <w:t>PN:</w:t>
      </w: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</w:t>
      </w:r>
    </w:p>
    <w:p w:rsidR="00E528FC" w:rsidRDefault="00E528FC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PN is modeled as the stan</w:t>
      </w:r>
      <w:r w:rsidRPr="00E528FC">
        <w:rPr>
          <w:rFonts w:ascii="Times New Roman" w:hAnsi="Times New Roman" w:cs="Times New Roman"/>
          <w:kern w:val="0"/>
          <w:szCs w:val="21"/>
        </w:rPr>
        <w:t>dard leaky integrate-and- fire neuron.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E528FC">
        <w:rPr>
          <w:rFonts w:ascii="Times New Roman" w:hAnsi="Times New Roman" w:cs="Times New Roman"/>
          <w:kern w:val="0"/>
          <w:szCs w:val="21"/>
        </w:rPr>
        <w:t xml:space="preserve">The membrane potential of a PN at time t is determined by the following differential equation,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τm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dV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(t )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dt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= −V (t ) + V0 + IORN (t ) +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IpostLN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(t ) , where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τm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is the membrane time constant and V0 is the resting potential.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E528FC">
        <w:rPr>
          <w:rFonts w:ascii="Times New Roman" w:hAnsi="Times New Roman" w:cs="Times New Roman"/>
          <w:kern w:val="0"/>
          <w:szCs w:val="21"/>
        </w:rPr>
        <w:t xml:space="preserve">When the membrane potential of a PN exceeds the threshold value Vth, the PN emits a spike and the value of the membrane potential is reset to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Vreset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. After the spike emission, the PN enters an absolute refractory period that lasts for </w:t>
      </w:r>
      <w:proofErr w:type="gramStart"/>
      <w:r w:rsidRPr="00E528FC">
        <w:rPr>
          <w:rFonts w:ascii="Times New Roman" w:hAnsi="Times New Roman" w:cs="Times New Roman"/>
          <w:kern w:val="0"/>
          <w:szCs w:val="21"/>
        </w:rPr>
        <w:t>tr</w:t>
      </w:r>
      <w:proofErr w:type="gramEnd"/>
      <w:r w:rsidRPr="00E528FC">
        <w:rPr>
          <w:rFonts w:ascii="Times New Roman" w:hAnsi="Times New Roman" w:cs="Times New Roman"/>
          <w:kern w:val="0"/>
          <w:szCs w:val="21"/>
        </w:rPr>
        <w:t xml:space="preserve">. The membrane potential of a PN stays at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Vreset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during the refractory period.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E528FC">
        <w:rPr>
          <w:rFonts w:ascii="Times New Roman" w:hAnsi="Times New Roman" w:cs="Times New Roman"/>
          <w:kern w:val="0"/>
          <w:szCs w:val="21"/>
        </w:rPr>
        <w:t xml:space="preserve">The parameters in the leaky integrate-and-fire neuron model are set as follows: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τm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=5 ms</w:t>
      </w:r>
      <w:proofErr w:type="gramStart"/>
      <w:r w:rsidRPr="00E528FC">
        <w:rPr>
          <w:rFonts w:ascii="Times New Roman" w:hAnsi="Times New Roman" w:cs="Times New Roman"/>
          <w:kern w:val="0"/>
          <w:szCs w:val="21"/>
        </w:rPr>
        <w:t>,V0</w:t>
      </w:r>
      <w:proofErr w:type="gramEnd"/>
      <w:r w:rsidRPr="00E528FC">
        <w:rPr>
          <w:rFonts w:ascii="Times New Roman" w:hAnsi="Times New Roman" w:cs="Times New Roman"/>
          <w:kern w:val="0"/>
          <w:szCs w:val="21"/>
        </w:rPr>
        <w:t xml:space="preserve">=−60mV,Vth=−45mV,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Vreset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=−80mV,and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tr</w:t>
      </w:r>
      <w:proofErr w:type="spellEnd"/>
      <w:r w:rsidRPr="00E528FC">
        <w:rPr>
          <w:rFonts w:ascii="Times New Roman" w:hAnsi="Times New Roman" w:cs="Times New Roman"/>
          <w:kern w:val="0"/>
          <w:szCs w:val="21"/>
        </w:rPr>
        <w:t xml:space="preserve"> =1 </w:t>
      </w:r>
      <w:proofErr w:type="spellStart"/>
      <w:r w:rsidRPr="00E528FC">
        <w:rPr>
          <w:rFonts w:ascii="Times New Roman" w:hAnsi="Times New Roman" w:cs="Times New Roman"/>
          <w:kern w:val="0"/>
          <w:szCs w:val="21"/>
        </w:rPr>
        <w:t>ms.</w:t>
      </w:r>
      <w:proofErr w:type="spellEnd"/>
    </w:p>
    <w:p w:rsidR="00E528FC" w:rsidRDefault="00E528FC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 IORN </w:t>
      </w:r>
      <w:r>
        <w:rPr>
          <w:rFonts w:ascii="Times New Roman" w:hAnsi="Times New Roman" w:cs="Times New Roman" w:hint="eastAsia"/>
          <w:kern w:val="0"/>
          <w:szCs w:val="21"/>
        </w:rPr>
        <w:t>和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postLN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是</w:t>
      </w:r>
      <w:r>
        <w:rPr>
          <w:rFonts w:ascii="Times New Roman" w:hAnsi="Times New Roman" w:cs="Times New Roman" w:hint="eastAsia"/>
          <w:kern w:val="0"/>
          <w:szCs w:val="21"/>
        </w:rPr>
        <w:t xml:space="preserve"> PN</w:t>
      </w:r>
      <w:r>
        <w:rPr>
          <w:rFonts w:ascii="Times New Roman" w:hAnsi="Times New Roman" w:cs="Times New Roman" w:hint="eastAsia"/>
          <w:kern w:val="0"/>
          <w:szCs w:val="21"/>
        </w:rPr>
        <w:t>的</w:t>
      </w:r>
      <w:r>
        <w:rPr>
          <w:rFonts w:ascii="Times New Roman" w:hAnsi="Times New Roman" w:cs="Times New Roman"/>
          <w:kern w:val="0"/>
          <w:szCs w:val="21"/>
        </w:rPr>
        <w:t>上一级神经元</w:t>
      </w:r>
      <w:r>
        <w:rPr>
          <w:rFonts w:ascii="Times New Roman" w:hAnsi="Times New Roman" w:cs="Times New Roman" w:hint="eastAsia"/>
          <w:kern w:val="0"/>
          <w:szCs w:val="21"/>
        </w:rPr>
        <w:t>在我们这里</w:t>
      </w:r>
      <w:r>
        <w:rPr>
          <w:rFonts w:ascii="Times New Roman" w:hAnsi="Times New Roman" w:cs="Times New Roman"/>
          <w:kern w:val="0"/>
          <w:szCs w:val="21"/>
        </w:rPr>
        <w:t>可以不予考虑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E64E69" w:rsidRDefault="00E64E69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F4409D" w:rsidRDefault="00E64E69" w:rsidP="00C34A2D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Cs w:val="21"/>
        </w:rPr>
      </w:pPr>
      <w:r w:rsidRPr="00E64E69">
        <w:rPr>
          <w:rFonts w:asciiTheme="majorEastAsia" w:eastAsiaTheme="majorEastAsia" w:hAnsiTheme="majorEastAsia" w:cs="Times New Roman"/>
          <w:b/>
          <w:kern w:val="0"/>
          <w:sz w:val="28"/>
          <w:szCs w:val="28"/>
        </w:rPr>
        <w:t>PN-KC-APL之间关系：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PN 到 KC的</w:t>
      </w:r>
      <w:r>
        <w:rPr>
          <w:rFonts w:asciiTheme="majorEastAsia" w:eastAsiaTheme="majorEastAsia" w:hAnsiTheme="majorEastAsia" w:cs="Times New Roman"/>
          <w:kern w:val="0"/>
          <w:szCs w:val="21"/>
        </w:rPr>
        <w:t>投射关系根据我们的结果结合前人报道我们认为是：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一个KC平均</w:t>
      </w:r>
      <w:r>
        <w:rPr>
          <w:rFonts w:asciiTheme="majorEastAsia" w:eastAsiaTheme="majorEastAsia" w:hAnsiTheme="majorEastAsia" w:cs="Times New Roman"/>
          <w:kern w:val="0"/>
          <w:szCs w:val="21"/>
        </w:rPr>
        <w:t>接受</w:t>
      </w:r>
      <w:r w:rsidR="00663661">
        <w:rPr>
          <w:rFonts w:asciiTheme="majorEastAsia" w:eastAsiaTheme="majorEastAsia" w:hAnsiTheme="majorEastAsia" w:cs="Times New Roman" w:hint="eastAsia"/>
          <w:kern w:val="0"/>
          <w:szCs w:val="21"/>
        </w:rPr>
        <w:t>6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个PN</w:t>
      </w:r>
      <w:r w:rsidR="00663661">
        <w:rPr>
          <w:rFonts w:asciiTheme="majorEastAsia" w:eastAsiaTheme="majorEastAsia" w:hAnsiTheme="majorEastAsia" w:cs="Times New Roman"/>
          <w:kern w:val="0"/>
          <w:szCs w:val="21"/>
        </w:rPr>
        <w:t xml:space="preserve"> Axonal Terminal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（也就是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一个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KC平均有6个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input claw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）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的</w:t>
      </w:r>
      <w:r>
        <w:rPr>
          <w:rFonts w:asciiTheme="majorEastAsia" w:eastAsiaTheme="majorEastAsia" w:hAnsiTheme="majorEastAsia" w:cs="Times New Roman"/>
          <w:kern w:val="0"/>
          <w:szCs w:val="21"/>
        </w:rPr>
        <w:t>输入，体积比较大的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PN</w:t>
      </w:r>
      <w:r>
        <w:rPr>
          <w:rFonts w:asciiTheme="majorEastAsia" w:eastAsiaTheme="majorEastAsia" w:hAnsiTheme="majorEastAsia" w:cs="Times New Roman"/>
          <w:kern w:val="0"/>
          <w:szCs w:val="21"/>
        </w:rPr>
        <w:t xml:space="preserve"> Axonal Terminal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输出给20个KC，</w:t>
      </w:r>
      <w:r>
        <w:rPr>
          <w:rFonts w:asciiTheme="majorEastAsia" w:eastAsiaTheme="majorEastAsia" w:hAnsiTheme="majorEastAsia" w:cs="Times New Roman"/>
          <w:kern w:val="0"/>
          <w:szCs w:val="21"/>
        </w:rPr>
        <w:t>体积比较小的</w:t>
      </w:r>
      <w:r w:rsidR="00663661">
        <w:rPr>
          <w:rFonts w:asciiTheme="majorEastAsia" w:eastAsiaTheme="majorEastAsia" w:hAnsiTheme="majorEastAsia" w:cs="Times New Roman" w:hint="eastAsia"/>
          <w:kern w:val="0"/>
          <w:szCs w:val="21"/>
        </w:rPr>
        <w:t>PN</w:t>
      </w:r>
      <w:r w:rsidR="00663661">
        <w:rPr>
          <w:rFonts w:asciiTheme="majorEastAsia" w:eastAsiaTheme="majorEastAsia" w:hAnsiTheme="majorEastAsia" w:cs="Times New Roman"/>
          <w:kern w:val="0"/>
          <w:szCs w:val="21"/>
        </w:rPr>
        <w:t xml:space="preserve"> Axonal Terminal</w:t>
      </w:r>
      <w:r>
        <w:rPr>
          <w:rFonts w:asciiTheme="majorEastAsia" w:eastAsiaTheme="majorEastAsia" w:hAnsiTheme="majorEastAsia" w:cs="Times New Roman"/>
          <w:kern w:val="0"/>
          <w:szCs w:val="21"/>
        </w:rPr>
        <w:t>输出给</w:t>
      </w:r>
      <w:r w:rsidR="00663661">
        <w:rPr>
          <w:rFonts w:asciiTheme="majorEastAsia" w:eastAsiaTheme="majorEastAsia" w:hAnsiTheme="majorEastAsia" w:cs="Times New Roman" w:hint="eastAsia"/>
          <w:kern w:val="0"/>
          <w:szCs w:val="21"/>
        </w:rPr>
        <w:t>8个KC。果蝇</w:t>
      </w:r>
      <w:r w:rsidR="00663661">
        <w:rPr>
          <w:rFonts w:asciiTheme="majorEastAsia" w:eastAsiaTheme="majorEastAsia" w:hAnsiTheme="majorEastAsia" w:cs="Times New Roman"/>
          <w:kern w:val="0"/>
          <w:szCs w:val="21"/>
        </w:rPr>
        <w:t>单侧一共约有</w:t>
      </w:r>
      <w:r w:rsidR="00663661">
        <w:rPr>
          <w:rFonts w:asciiTheme="majorEastAsia" w:eastAsiaTheme="majorEastAsia" w:hAnsiTheme="majorEastAsia" w:cs="Times New Roman" w:hint="eastAsia"/>
          <w:kern w:val="0"/>
          <w:szCs w:val="21"/>
        </w:rPr>
        <w:t>150</w:t>
      </w:r>
      <w:r w:rsidR="00663661">
        <w:rPr>
          <w:rFonts w:asciiTheme="majorEastAsia" w:eastAsiaTheme="majorEastAsia" w:hAnsiTheme="majorEastAsia" w:cs="Times New Roman"/>
          <w:kern w:val="0"/>
          <w:szCs w:val="21"/>
        </w:rPr>
        <w:t>-200</w:t>
      </w:r>
      <w:r w:rsidR="00663661">
        <w:rPr>
          <w:rFonts w:asciiTheme="majorEastAsia" w:eastAsiaTheme="majorEastAsia" w:hAnsiTheme="majorEastAsia" w:cs="Times New Roman" w:hint="eastAsia"/>
          <w:kern w:val="0"/>
          <w:szCs w:val="21"/>
        </w:rPr>
        <w:t>个PN</w:t>
      </w:r>
      <w:r w:rsidR="00663661">
        <w:rPr>
          <w:rFonts w:asciiTheme="majorEastAsia" w:eastAsiaTheme="majorEastAsia" w:hAnsiTheme="majorEastAsia" w:cs="Times New Roman"/>
          <w:kern w:val="0"/>
          <w:szCs w:val="21"/>
        </w:rPr>
        <w:t>神经元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伸出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约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 xml:space="preserve">1100个PN 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Axo</w:t>
      </w:r>
      <w:bookmarkStart w:id="0" w:name="_GoBack"/>
      <w:bookmarkEnd w:id="0"/>
      <w:r w:rsidR="00DD01D6">
        <w:rPr>
          <w:rFonts w:asciiTheme="majorEastAsia" w:eastAsiaTheme="majorEastAsia" w:hAnsiTheme="majorEastAsia" w:cs="Times New Roman"/>
          <w:kern w:val="0"/>
          <w:szCs w:val="21"/>
        </w:rPr>
        <w:t>nal Terminal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，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投射给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约2500个KC神经元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（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约15000个KC C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law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。A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PL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与KC之间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 xml:space="preserve">具有one-to-all 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的反馈抑制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，也就是单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lastRenderedPageBreak/>
        <w:t>侧一个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APL神经元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对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所有2500KC神经元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有反馈抑制（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机制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类似于下文中蝗虫中的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GGN与KC的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关系）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。A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PL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对PN A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xonal Terminal也有突触前抑制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（针对PN-KC突触）并且与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体积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相关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，</w:t>
      </w:r>
      <w:r w:rsidR="00DD01D6">
        <w:rPr>
          <w:rFonts w:asciiTheme="majorEastAsia" w:eastAsiaTheme="majorEastAsia" w:hAnsiTheme="majorEastAsia" w:cs="Times New Roman" w:hint="eastAsia"/>
          <w:kern w:val="0"/>
          <w:szCs w:val="21"/>
        </w:rPr>
        <w:t>体积越</w:t>
      </w:r>
      <w:r w:rsidR="00DD01D6">
        <w:rPr>
          <w:rFonts w:asciiTheme="majorEastAsia" w:eastAsiaTheme="majorEastAsia" w:hAnsiTheme="majorEastAsia" w:cs="Times New Roman"/>
          <w:kern w:val="0"/>
          <w:szCs w:val="21"/>
        </w:rPr>
        <w:t>大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越有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可能接受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APL的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突触前抑制。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下文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中是蝗虫中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GGN对KC的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反馈抑制对sparse coding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的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作用，里面关于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GGN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与KC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的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相关结论可以直接借鉴到我们的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APL中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，但</w:t>
      </w:r>
      <w:r w:rsidR="00D95BAF">
        <w:rPr>
          <w:rFonts w:asciiTheme="majorEastAsia" w:eastAsiaTheme="majorEastAsia" w:hAnsiTheme="majorEastAsia" w:cs="Times New Roman" w:hint="eastAsia"/>
          <w:kern w:val="0"/>
          <w:szCs w:val="21"/>
        </w:rPr>
        <w:t>PN和KC的</w:t>
      </w:r>
      <w:r w:rsidR="00D95BAF">
        <w:rPr>
          <w:rFonts w:asciiTheme="majorEastAsia" w:eastAsiaTheme="majorEastAsia" w:hAnsiTheme="majorEastAsia" w:cs="Times New Roman"/>
          <w:kern w:val="0"/>
          <w:szCs w:val="21"/>
        </w:rPr>
        <w:t>生理以及连接关系用我上文中提到的最好。</w:t>
      </w:r>
    </w:p>
    <w:p w:rsidR="00E64E69" w:rsidRDefault="00D95BAF" w:rsidP="00F4409D">
      <w:pPr>
        <w:autoSpaceDE w:val="0"/>
        <w:autoSpaceDN w:val="0"/>
        <w:adjustRightInd w:val="0"/>
        <w:ind w:firstLineChars="200"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Theme="majorEastAsia" w:eastAsiaTheme="majorEastAsia" w:hAnsiTheme="majorEastAsia" w:cs="Times New Roman" w:hint="eastAsia"/>
          <w:kern w:val="0"/>
          <w:szCs w:val="21"/>
        </w:rPr>
        <w:t>关于APL对PN A</w:t>
      </w:r>
      <w:r>
        <w:rPr>
          <w:rFonts w:asciiTheme="majorEastAsia" w:eastAsiaTheme="majorEastAsia" w:hAnsiTheme="majorEastAsia" w:cs="Times New Roman"/>
          <w:kern w:val="0"/>
          <w:szCs w:val="21"/>
        </w:rPr>
        <w:t>xonal Terminal的突触前抑制，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我之前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想的是</w:t>
      </w:r>
      <w:r>
        <w:rPr>
          <w:rFonts w:asciiTheme="majorEastAsia" w:eastAsiaTheme="majorEastAsia" w:hAnsiTheme="majorEastAsia" w:cs="Times New Roman"/>
          <w:kern w:val="0"/>
          <w:szCs w:val="21"/>
        </w:rPr>
        <w:t>可以用大体积和小体积作代表，但最好的方式是将突触前抑制的强度和体积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用</w:t>
      </w:r>
      <w:r>
        <w:rPr>
          <w:rFonts w:asciiTheme="majorEastAsia" w:eastAsiaTheme="majorEastAsia" w:hAnsiTheme="majorEastAsia" w:cs="Times New Roman"/>
          <w:kern w:val="0"/>
          <w:szCs w:val="21"/>
        </w:rPr>
        <w:t>线性关系表示出来，例如我们有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terminal</w:t>
      </w:r>
      <w:r>
        <w:rPr>
          <w:rFonts w:asciiTheme="majorEastAsia" w:eastAsiaTheme="majorEastAsia" w:hAnsiTheme="majorEastAsia" w:cs="Times New Roman"/>
          <w:kern w:val="0"/>
          <w:szCs w:val="21"/>
        </w:rPr>
        <w:t>的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体积</w:t>
      </w:r>
      <w:r>
        <w:rPr>
          <w:rFonts w:asciiTheme="majorEastAsia" w:eastAsiaTheme="majorEastAsia" w:hAnsiTheme="majorEastAsia" w:cs="Times New Roman"/>
          <w:kern w:val="0"/>
          <w:szCs w:val="21"/>
        </w:rPr>
        <w:t>分布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，</w:t>
      </w:r>
      <w:r>
        <w:rPr>
          <w:rFonts w:asciiTheme="majorEastAsia" w:eastAsiaTheme="majorEastAsia" w:hAnsiTheme="majorEastAsia" w:cs="Times New Roman"/>
          <w:kern w:val="0"/>
          <w:szCs w:val="21"/>
        </w:rPr>
        <w:t>体积最小的抑制为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0，</w:t>
      </w:r>
      <w:r>
        <w:rPr>
          <w:rFonts w:asciiTheme="majorEastAsia" w:eastAsiaTheme="majorEastAsia" w:hAnsiTheme="majorEastAsia" w:cs="Times New Roman"/>
          <w:kern w:val="0"/>
          <w:szCs w:val="21"/>
        </w:rPr>
        <w:t>体积最大的抑制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设置</w:t>
      </w:r>
      <w:r>
        <w:rPr>
          <w:rFonts w:asciiTheme="majorEastAsia" w:eastAsiaTheme="majorEastAsia" w:hAnsiTheme="majorEastAsia" w:cs="Times New Roman"/>
          <w:kern w:val="0"/>
          <w:szCs w:val="21"/>
        </w:rPr>
        <w:t>为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0.4（</w:t>
      </w:r>
      <w:r>
        <w:rPr>
          <w:rFonts w:asciiTheme="majorEastAsia" w:eastAsiaTheme="majorEastAsia" w:hAnsiTheme="majorEastAsia" w:cs="Times New Roman"/>
          <w:kern w:val="0"/>
          <w:szCs w:val="21"/>
        </w:rPr>
        <w:t>因为我们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结构上</w:t>
      </w:r>
      <w:r>
        <w:rPr>
          <w:rFonts w:asciiTheme="majorEastAsia" w:eastAsiaTheme="majorEastAsia" w:hAnsiTheme="majorEastAsia" w:cs="Times New Roman"/>
          <w:kern w:val="0"/>
          <w:szCs w:val="21"/>
        </w:rPr>
        <w:t>观察到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0</w:t>
      </w:r>
      <w:r>
        <w:rPr>
          <w:rFonts w:asciiTheme="majorEastAsia" w:eastAsiaTheme="majorEastAsia" w:hAnsiTheme="majorEastAsia" w:cs="Times New Roman"/>
          <w:kern w:val="0"/>
          <w:szCs w:val="21"/>
        </w:rPr>
        <w:t>-4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个</w:t>
      </w:r>
      <w:r>
        <w:rPr>
          <w:rFonts w:asciiTheme="majorEastAsia" w:eastAsiaTheme="majorEastAsia" w:hAnsiTheme="majorEastAsia" w:cs="Times New Roman"/>
          <w:kern w:val="0"/>
          <w:szCs w:val="21"/>
        </w:rPr>
        <w:t>突触前抑制</w:t>
      </w:r>
      <w:r>
        <w:rPr>
          <w:rFonts w:asciiTheme="majorEastAsia" w:eastAsiaTheme="majorEastAsia" w:hAnsiTheme="majorEastAsia" w:cs="Times New Roman" w:hint="eastAsia"/>
          <w:kern w:val="0"/>
          <w:szCs w:val="21"/>
        </w:rPr>
        <w:t>）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，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只是这样的话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PN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 xml:space="preserve"> terminal和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KC的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对应关系也要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是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线性分布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（这部分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数据我在整理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）不知道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程序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语言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描述上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是否有</w:t>
      </w:r>
      <w:r w:rsidR="00F4409D">
        <w:rPr>
          <w:rFonts w:asciiTheme="majorEastAsia" w:eastAsiaTheme="majorEastAsia" w:hAnsiTheme="majorEastAsia" w:cs="Times New Roman"/>
          <w:kern w:val="0"/>
          <w:szCs w:val="21"/>
        </w:rPr>
        <w:t>困难</w:t>
      </w:r>
      <w:r w:rsidR="00F4409D">
        <w:rPr>
          <w:rFonts w:asciiTheme="majorEastAsia" w:eastAsiaTheme="majorEastAsia" w:hAnsiTheme="majorEastAsia" w:cs="Times New Roman" w:hint="eastAsia"/>
          <w:kern w:val="0"/>
          <w:szCs w:val="21"/>
        </w:rPr>
        <w:t>。</w:t>
      </w:r>
      <w:r w:rsidR="00E64E69" w:rsidRPr="00E64E69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DD01D6" w:rsidRDefault="00DD01D6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F4409D" w:rsidRDefault="00F4409D" w:rsidP="00C34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蝗虫中</w:t>
      </w:r>
      <w:r>
        <w:rPr>
          <w:rFonts w:ascii="Times New Roman" w:hAnsi="Times New Roman" w:cs="Times New Roman" w:hint="eastAsia"/>
          <w:kern w:val="0"/>
          <w:szCs w:val="21"/>
        </w:rPr>
        <w:t>GGN</w:t>
      </w:r>
      <w:r>
        <w:rPr>
          <w:rFonts w:ascii="Times New Roman" w:hAnsi="Times New Roman" w:cs="Times New Roman" w:hint="eastAsia"/>
          <w:kern w:val="0"/>
          <w:szCs w:val="21"/>
        </w:rPr>
        <w:t>与</w:t>
      </w:r>
      <w:r>
        <w:rPr>
          <w:rFonts w:ascii="Times New Roman" w:hAnsi="Times New Roman" w:cs="Times New Roman" w:hint="eastAsia"/>
          <w:kern w:val="0"/>
          <w:szCs w:val="21"/>
        </w:rPr>
        <w:t>KC</w:t>
      </w:r>
      <w:r>
        <w:rPr>
          <w:rFonts w:ascii="Times New Roman" w:hAnsi="Times New Roman" w:cs="Times New Roman" w:hint="eastAsia"/>
          <w:kern w:val="0"/>
          <w:szCs w:val="21"/>
        </w:rPr>
        <w:t>关系</w:t>
      </w:r>
      <w:r>
        <w:rPr>
          <w:rFonts w:ascii="Times New Roman" w:hAnsi="Times New Roman" w:cs="Times New Roman"/>
          <w:kern w:val="0"/>
          <w:szCs w:val="21"/>
        </w:rPr>
        <w:t>模型</w:t>
      </w: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张</w:t>
      </w:r>
      <w:r>
        <w:rPr>
          <w:rFonts w:ascii="Times New Roman" w:hAnsi="Times New Roman" w:cs="Times New Roman"/>
          <w:kern w:val="0"/>
          <w:szCs w:val="21"/>
        </w:rPr>
        <w:t>截图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>：</w:t>
      </w:r>
    </w:p>
    <w:p w:rsidR="00DD01D6" w:rsidRPr="00DD01D6" w:rsidRDefault="00DD01D6" w:rsidP="00C34A2D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Cs w:val="21"/>
        </w:rPr>
      </w:pPr>
      <w:r w:rsidRPr="00E64E69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6F51E3D" wp14:editId="34960FFC">
            <wp:extent cx="4648200" cy="3869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36" cy="38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E69">
        <w:rPr>
          <w:rFonts w:ascii="Times New Roman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4FC36A8E" wp14:editId="16DBA873">
            <wp:extent cx="4705350" cy="4842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95" cy="48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09D" w:rsidRPr="00F4409D">
        <w:rPr>
          <w:rFonts w:asciiTheme="majorEastAsia" w:eastAsiaTheme="majorEastAsia" w:hAnsiTheme="majorEastAsia" w:cs="Times New Roman"/>
          <w:noProof/>
          <w:kern w:val="0"/>
          <w:szCs w:val="21"/>
        </w:rPr>
        <w:lastRenderedPageBreak/>
        <w:drawing>
          <wp:inline distT="0" distB="0" distL="0" distR="0" wp14:anchorId="6F0214F4" wp14:editId="3DEAC15D">
            <wp:extent cx="5274310" cy="5400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1D6" w:rsidRPr="00DD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2D"/>
    <w:rsid w:val="00663661"/>
    <w:rsid w:val="007E1414"/>
    <w:rsid w:val="00C133E3"/>
    <w:rsid w:val="00C34A2D"/>
    <w:rsid w:val="00D95BAF"/>
    <w:rsid w:val="00DD01D6"/>
    <w:rsid w:val="00E528FC"/>
    <w:rsid w:val="00E64E69"/>
    <w:rsid w:val="00F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6CD1-8F4C-47B6-B81E-3E04924E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Zhang Tielin</cp:lastModifiedBy>
  <cp:revision>2</cp:revision>
  <dcterms:created xsi:type="dcterms:W3CDTF">2019-06-16T05:08:00Z</dcterms:created>
  <dcterms:modified xsi:type="dcterms:W3CDTF">2019-06-16T05:08:00Z</dcterms:modified>
</cp:coreProperties>
</file>