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0"/>
        <w:jc w:val="center"/>
      </w:pPr>
      <w:r>
        <w:rPr>
          <w:rFonts w:ascii="Arial" w:cs="Arial" w:eastAsia="Arial" w:hAnsi="Arial"/>
          <w:b/>
          <w:bCs/>
          <w:color w:val="1F4E78"/>
          <w:sz w:val="56"/>
          <w:szCs w:val="56"/>
        </w:rPr>
        <w:t xml:space="preserve">TempoGen-Bio</w:t>
      </w:r>
    </w:p>
    <w:p>
      <w:pPr>
        <w:spacing w:after="160" w:before="80"/>
        <w:jc w:val="center"/>
      </w:pPr>
      <w:r>
        <w:rPr>
          <w:rFonts w:ascii="Arial" w:cs="Arial" w:eastAsia="Arial" w:hAnsi="Arial"/>
          <w:b/>
          <w:bCs/>
          <w:color w:val="333333"/>
          <w:sz w:val="28"/>
          <w:szCs w:val="28"/>
        </w:rPr>
        <w:t xml:space="preserve">Coupling Phenotype-Conditioned Video Diffusion Priors with SFSRM Edge Constraints</w:t>
      </w:r>
    </w:p>
    <w:p>
      <w:pPr>
        <w:spacing w:after="400" w:before="80"/>
        <w:jc w:val="center"/>
      </w:pPr>
      <w:r>
        <w:rPr>
          <w:rFonts w:ascii="Arial" w:cs="Arial" w:eastAsia="Arial" w:hAnsi="Arial"/>
          <w:i/>
          <w:iCs/>
          <w:color w:val="555555"/>
          <w:sz w:val="24"/>
          <w:szCs w:val="24"/>
        </w:rPr>
        <w:t xml:space="preserve">A Dual-Pathway Architecture for Greater-than-Fivefold Resolution Enhancement on Conventional Microscopes</w:t>
      </w:r>
    </w:p>
    <w:p>
      <w:pPr>
        <w:spacing w:after="120" w:before="400"/>
        <w:jc w:val="center"/>
      </w:pPr>
      <w:r>
        <w:rPr>
          <w:rFonts w:ascii="Arial" w:cs="Arial" w:eastAsia="Arial" w:hAnsi="Arial"/>
          <w:b/>
          <w:bCs/>
          <w:color w:val="1F4E78"/>
          <w:sz w:val="26"/>
          <w:szCs w:val="26"/>
        </w:rPr>
        <w:t xml:space="preserve">Dataset Documentation | Version 1.0</w:t>
      </w:r>
    </w:p>
    <w:p>
      <w:pPr>
        <w:spacing w:after="120" w:before="120"/>
        <w:jc w:val="center"/>
      </w:pPr>
      <w:r>
        <w:rPr>
          <w:rFonts w:ascii="Arial" w:cs="Arial" w:eastAsia="Arial" w:hAnsi="Arial"/>
          <w:color w:val="555555"/>
          <w:sz w:val="22"/>
          <w:szCs w:val="22"/>
        </w:rPr>
        <w:t xml:space="preserve">Category: LLM Models | Domain: Image Enhancement</w:t>
      </w:r>
    </w:p>
    <w:p>
      <w:pPr>
        <w:spacing w:after="800" w:before="120"/>
        <w:jc w:val="center"/>
      </w:pPr>
      <w:r>
        <w:rPr>
          <w:rFonts w:ascii="Arial" w:cs="Arial" w:eastAsia="Arial" w:hAnsi="Arial"/>
          <w:i/>
          <w:iCs/>
          <w:color w:val="555555"/>
          <w:sz w:val="22"/>
          <w:szCs w:val="22"/>
        </w:rPr>
        <w:t xml:space="preserve">Compiled: 17 April 2026</w:t>
      </w:r>
    </w:p>
    <w:p>
      <w:r>
        <w:br w:type="page"/>
      </w:r>
    </w:p>
    <w:p>
      <w:pPr>
        <w:pStyle w:val="Heading1"/>
        <w:spacing w:after="160" w:before="300" w:line="320"/>
      </w:pPr>
      <w:r>
        <w:rPr>
          <w:rFonts w:ascii="Arial" w:cs="Arial" w:eastAsia="Arial" w:hAnsi="Arial"/>
          <w:b/>
          <w:bCs/>
          <w:color w:val="1F4E78"/>
          <w:sz w:val="32"/>
          <w:szCs w:val="32"/>
        </w:rPr>
        <w:t xml:space="preserve">1. Preamble and Abstract</w:t>
      </w:r>
    </w:p>
    <w:p>
      <w:pPr>
        <w:spacing w:after="120" w:before="60" w:line="320"/>
        <w:jc w:val="both"/>
      </w:pPr>
      <w:r>
        <w:rPr>
          <w:rFonts w:ascii="Arial" w:cs="Arial" w:eastAsia="Arial" w:hAnsi="Arial"/>
          <w:b w:val="false"/>
          <w:bCs w:val="false"/>
          <w:i w:val="false"/>
          <w:iCs w:val="false"/>
          <w:color w:val="000000"/>
          <w:sz w:val="22"/>
          <w:szCs w:val="22"/>
        </w:rPr>
        <w:t xml:space="preserve">The present document constitutes the accompanying documentation for the TempoGen-Bio dataset, a comprehensively structured resource compiled in support of a newly-developed model for image enhancement within the category of large language and multimodal generative systems. The dataset has been assembled to characterise, parameterise, and empirically ground the dual-pathway architecture known as TempoGen-Bio, which couples phenotype-conditioned video diffusion priors with single-frame super-resolution microscopy (SFSRM) edge constraints to achieve greater-than-fivefold resolution enhancement on conventional microscopy platforms.</w:t>
      </w:r>
    </w:p>
    <w:p>
      <w:pPr>
        <w:spacing w:after="120" w:before="60" w:line="320"/>
        <w:jc w:val="both"/>
      </w:pPr>
      <w:r>
        <w:rPr>
          <w:rFonts w:ascii="Arial" w:cs="Arial" w:eastAsia="Arial" w:hAnsi="Arial"/>
          <w:b w:val="false"/>
          <w:bCs w:val="false"/>
          <w:i w:val="false"/>
          <w:iCs w:val="false"/>
          <w:color w:val="000000"/>
          <w:sz w:val="22"/>
          <w:szCs w:val="22"/>
        </w:rPr>
        <w:t xml:space="preserve">TempoGen-Bio unifies video-level generative modelling with single-frame super-resolution and optical aberration compensation. The architecture incorporates four principal modular components: a domain-adapted video diffusion backbone extended from the time-lapse microscopy diffusion model of Holmberg et al. (2025); a Single-Frame Super-Resolution Microscopy (SFSRM) head operating in parallel on individual frames; a 3Snet-CLID module integrating signal-preserving denoising with Richardson–Lucy deconvolution; and a DeAbe-derived aberration-compensation stage. The framework is theoretically applicable to widefield and spinning-disk confocal acquisitions of organellar dynamics, albeit with the caveat that the dual reliance on video-diffusion priors and single-frame constraints necessitates careful loss-balancing to mitigate the emergence of temporally flickering artefacts.</w:t>
      </w:r>
    </w:p>
    <w:p>
      <w:pPr>
        <w:spacing w:after="120" w:before="60" w:line="320"/>
        <w:jc w:val="both"/>
      </w:pPr>
      <w:r>
        <w:rPr>
          <w:rFonts w:ascii="Arial" w:cs="Arial" w:eastAsia="Arial" w:hAnsi="Arial"/>
          <w:b w:val="false"/>
          <w:bCs w:val="false"/>
          <w:i w:val="false"/>
          <w:iCs w:val="false"/>
          <w:color w:val="000000"/>
          <w:sz w:val="22"/>
          <w:szCs w:val="22"/>
        </w:rPr>
        <w:t xml:space="preserve">This documentation elucidates the compositional architecture of the accompanying XLSX workbook, the empirical provenance of its constituent data, and the methodological conventions governing its use in training, validation, and benchmarking workflows.</w:t>
      </w:r>
    </w:p>
    <w:p>
      <w:pPr>
        <w:pStyle w:val="Heading1"/>
        <w:spacing w:after="160" w:before="300" w:line="320"/>
      </w:pPr>
      <w:r>
        <w:rPr>
          <w:rFonts w:ascii="Arial" w:cs="Arial" w:eastAsia="Arial" w:hAnsi="Arial"/>
          <w:b/>
          <w:bCs/>
          <w:color w:val="1F4E78"/>
          <w:sz w:val="32"/>
          <w:szCs w:val="32"/>
        </w:rPr>
        <w:t xml:space="preserve">2. Summary of the Dataset</w:t>
      </w:r>
    </w:p>
    <w:p>
      <w:pPr>
        <w:spacing w:after="120" w:before="60" w:line="320"/>
        <w:jc w:val="both"/>
      </w:pPr>
      <w:r>
        <w:rPr>
          <w:rFonts w:ascii="Arial" w:cs="Arial" w:eastAsia="Arial" w:hAnsi="Arial"/>
          <w:b w:val="false"/>
          <w:bCs w:val="false"/>
          <w:i w:val="false"/>
          <w:iCs w:val="false"/>
          <w:color w:val="000000"/>
          <w:sz w:val="22"/>
          <w:szCs w:val="22"/>
        </w:rPr>
        <w:t xml:space="preserve">The following table summarises the principal characteristics of the dataset:</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3200"/>
        <w:gridCol w:w="5660"/>
      </w:tblGrid>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Dataset Category</w:t>
            </w:r>
          </w:p>
        </w:tc>
        <w:tc>
          <w:tcPr>
            <w:tcW w:type="dxa" w:w="5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LLM Models / Image Enhancement</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Model Designation</w:t>
            </w:r>
          </w:p>
        </w:tc>
        <w:tc>
          <w:tcPr>
            <w:tcW w:type="dxa" w:w="5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TempoGen-Bio</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Architecture Class</w:t>
            </w:r>
          </w:p>
        </w:tc>
        <w:tc>
          <w:tcPr>
            <w:tcW w:type="dxa" w:w="5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Dual-Pathway Generative Super-Resolution</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Principal Components</w:t>
            </w:r>
          </w:p>
        </w:tc>
        <w:tc>
          <w:tcPr>
            <w:tcW w:type="dxa" w:w="5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Time-Lapse Video Diffusion ⊕ SFSRM ⊕ 3Snet-CLID ⊕ DeAbe</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Target Domain</w:t>
            </w:r>
          </w:p>
        </w:tc>
        <w:tc>
          <w:tcPr>
            <w:tcW w:type="dxa" w:w="5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Organellar dynamics in live-cell fluorescence microscopy</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Target Hardware</w:t>
            </w:r>
          </w:p>
        </w:tc>
        <w:tc>
          <w:tcPr>
            <w:tcW w:type="dxa" w:w="5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Conventional widefield and spinning-disk confocal microscopes</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Input Resolution</w:t>
            </w:r>
          </w:p>
        </w:tc>
        <w:tc>
          <w:tcPr>
            <w:tcW w:type="dxa" w:w="5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240p diffraction-limited sequence</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Enhancement Factor</w:t>
            </w:r>
          </w:p>
        </w:tc>
        <w:tc>
          <w:tcPr>
            <w:tcW w:type="dxa" w:w="5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Greater-than-fivefold (&gt;5×) lateral resolution</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Dataset Version</w:t>
            </w:r>
          </w:p>
        </w:tc>
        <w:tc>
          <w:tcPr>
            <w:tcW w:type="dxa" w:w="5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v1.0</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Compilation Date</w:t>
            </w:r>
          </w:p>
        </w:tc>
        <w:tc>
          <w:tcPr>
            <w:tcW w:type="dxa" w:w="5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17 April 2026</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Total Sheets</w:t>
            </w:r>
          </w:p>
        </w:tc>
        <w:tc>
          <w:tcPr>
            <w:tcW w:type="dxa" w:w="5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31 (one cover sheet and thirty data sheets)</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Rows per Data Sheet</w:t>
            </w:r>
          </w:p>
        </w:tc>
        <w:tc>
          <w:tcPr>
            <w:tcW w:type="dxa" w:w="5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155 to 195</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Columns per Data Sheet</w:t>
            </w:r>
          </w:p>
        </w:tc>
        <w:tc>
          <w:tcPr>
            <w:tcW w:type="dxa" w:w="5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30</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Approximate Data Cells</w:t>
            </w:r>
          </w:p>
        </w:tc>
        <w:tc>
          <w:tcPr>
            <w:tcW w:type="dxa" w:w="5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Approximately 150,000</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Formula Validation</w:t>
            </w:r>
          </w:p>
        </w:tc>
        <w:tc>
          <w:tcPr>
            <w:tcW w:type="dxa" w:w="5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294 aggregate formulas, zero errors</w:t>
            </w:r>
          </w:p>
        </w:tc>
      </w:tr>
    </w:tbl>
    <w:p>
      <w:r>
        <w:br w:type="page"/>
      </w:r>
    </w:p>
    <w:p>
      <w:pPr>
        <w:pStyle w:val="Heading1"/>
        <w:spacing w:after="160" w:before="300" w:line="320"/>
      </w:pPr>
      <w:r>
        <w:rPr>
          <w:rFonts w:ascii="Arial" w:cs="Arial" w:eastAsia="Arial" w:hAnsi="Arial"/>
          <w:b/>
          <w:bCs/>
          <w:color w:val="1F4E78"/>
          <w:sz w:val="32"/>
          <w:szCs w:val="32"/>
        </w:rPr>
        <w:t xml:space="preserve">3. Architectural Overview of TempoGen-Bio</w:t>
      </w:r>
    </w:p>
    <w:p>
      <w:pPr>
        <w:pStyle w:val="Heading2"/>
        <w:spacing w:after="160" w:before="300" w:line="320"/>
      </w:pPr>
      <w:r>
        <w:rPr>
          <w:rFonts w:ascii="Arial" w:cs="Arial" w:eastAsia="Arial" w:hAnsi="Arial"/>
          <w:b/>
          <w:bCs/>
          <w:color w:val="1F4E78"/>
          <w:sz w:val="26"/>
          <w:szCs w:val="26"/>
        </w:rPr>
        <w:t xml:space="preserve">3.1 Video Diffusion Backbone</w:t>
      </w:r>
    </w:p>
    <w:p>
      <w:pPr>
        <w:spacing w:after="120" w:before="60" w:line="320"/>
        <w:jc w:val="both"/>
      </w:pPr>
      <w:r>
        <w:rPr>
          <w:rFonts w:ascii="Arial" w:cs="Arial" w:eastAsia="Arial" w:hAnsi="Arial"/>
          <w:b w:val="false"/>
          <w:bCs w:val="false"/>
          <w:i w:val="false"/>
          <w:iCs w:val="false"/>
          <w:color w:val="000000"/>
          <w:sz w:val="22"/>
          <w:szCs w:val="22"/>
        </w:rPr>
        <w:t xml:space="preserve">The video diffusion pathway extends a pretrained time-lapse microscopy diffusion model, adapted from the foundational work of Holmberg and colleagues (2025). Conditioning is applied through two complementary channels: the initial 240p input sequence, which anchors the generative process to observed morphology, and phenotypic embeddings, which encode expected cellular behaviours derived from a curated phenotype taxonomy. The backbone produces temporally coherent high-resolution candidate sequences that serve as the principal super-resolution output prior to refinement by the single-frame pathway.</w:t>
      </w:r>
    </w:p>
    <w:p>
      <w:pPr>
        <w:pStyle w:val="Heading2"/>
        <w:spacing w:after="160" w:before="300" w:line="320"/>
      </w:pPr>
      <w:r>
        <w:rPr>
          <w:rFonts w:ascii="Arial" w:cs="Arial" w:eastAsia="Arial" w:hAnsi="Arial"/>
          <w:b/>
          <w:bCs/>
          <w:color w:val="1F4E78"/>
          <w:sz w:val="26"/>
          <w:szCs w:val="26"/>
        </w:rPr>
        <w:t xml:space="preserve">3.2 SFSRM Edge-Constraint Head</w:t>
      </w:r>
    </w:p>
    <w:p>
      <w:pPr>
        <w:spacing w:after="120" w:before="60" w:line="320"/>
        <w:jc w:val="both"/>
      </w:pPr>
      <w:r>
        <w:rPr>
          <w:rFonts w:ascii="Arial" w:cs="Arial" w:eastAsia="Arial" w:hAnsi="Arial"/>
          <w:b w:val="false"/>
          <w:bCs w:val="false"/>
          <w:i w:val="false"/>
          <w:iCs w:val="false"/>
          <w:color w:val="000000"/>
          <w:sz w:val="22"/>
          <w:szCs w:val="22"/>
        </w:rPr>
        <w:t xml:space="preserve">Operating in parallel on individual frames, the SFSRM head supplies subpixel edge maps and multicomponent constraints that anchor the diffusion output to observable sub-diffraction structures. The underlying architecture draws upon the enhanced super-resolution generative adversarial network (ESRGAN) paradigm, augmented with multi-component optimisation and prior-information regulation, as established in Chen et al. (2023). The head maintains high-fidelity reconstruction of specific subcellular features including vesicle boundaries, mitochondrial cristae, and endoplasmic reticular tubules.</w:t>
      </w:r>
    </w:p>
    <w:p>
      <w:pPr>
        <w:pStyle w:val="Heading2"/>
        <w:spacing w:after="160" w:before="300" w:line="320"/>
      </w:pPr>
      <w:r>
        <w:rPr>
          <w:rFonts w:ascii="Arial" w:cs="Arial" w:eastAsia="Arial" w:hAnsi="Arial"/>
          <w:b/>
          <w:bCs/>
          <w:color w:val="1F4E78"/>
          <w:sz w:val="26"/>
          <w:szCs w:val="26"/>
        </w:rPr>
        <w:t xml:space="preserve">3.3 3Snet-CLID Denoising and Deconvolution Module</w:t>
      </w:r>
    </w:p>
    <w:p>
      <w:pPr>
        <w:spacing w:after="120" w:before="60" w:line="320"/>
        <w:jc w:val="both"/>
      </w:pPr>
      <w:r>
        <w:rPr>
          <w:rFonts w:ascii="Arial" w:cs="Arial" w:eastAsia="Arial" w:hAnsi="Arial"/>
          <w:b w:val="false"/>
          <w:bCs w:val="false"/>
          <w:i w:val="false"/>
          <w:iCs w:val="false"/>
          <w:color w:val="000000"/>
          <w:sz w:val="22"/>
          <w:szCs w:val="22"/>
        </w:rPr>
        <w:t xml:space="preserve">The 3Snet-CLID module integrates signal-preserving denoising with Richardson–Lucy deconvolution to consolidate the greater-than-fivefold resolution gains demonstrated on conventional microscopes. The method combines supervised and self-supervised components, yielding signal-to-noise improvements of approximately 10 to 25 decibels on representative low-SNR inputs. Post-denoising, iterative Richardson–Lucy deconvolution further sharpens the output by exploiting the measured or computed point-spread function of the acquisition system.</w:t>
      </w:r>
    </w:p>
    <w:p>
      <w:pPr>
        <w:pStyle w:val="Heading2"/>
        <w:spacing w:after="160" w:before="300" w:line="320"/>
      </w:pPr>
      <w:r>
        <w:rPr>
          <w:rFonts w:ascii="Arial" w:cs="Arial" w:eastAsia="Arial" w:hAnsi="Arial"/>
          <w:b/>
          <w:bCs/>
          <w:color w:val="1F4E78"/>
          <w:sz w:val="26"/>
          <w:szCs w:val="26"/>
        </w:rPr>
        <w:t xml:space="preserve">3.4 DeAbe Aberration Compensation Stage</w:t>
      </w:r>
    </w:p>
    <w:p>
      <w:pPr>
        <w:spacing w:after="120" w:before="60" w:line="320"/>
        <w:jc w:val="both"/>
      </w:pPr>
      <w:r>
        <w:rPr>
          <w:rFonts w:ascii="Arial" w:cs="Arial" w:eastAsia="Arial" w:hAnsi="Arial"/>
          <w:b w:val="false"/>
          <w:bCs w:val="false"/>
          <w:i w:val="false"/>
          <w:iCs w:val="false"/>
          <w:color w:val="000000"/>
          <w:sz w:val="22"/>
          <w:szCs w:val="22"/>
        </w:rPr>
        <w:t xml:space="preserve">The terminal module implements a DeAbe-derived aberration-compensation stage, which corrects for optical aberrations arising from thick-sample imaging. The approach trains a 3D residual channel-attention network on synthetically aberrated representations of diffraction-limited shallow images, with Zernike-polynomial-based aberration modes serving as the training target. The method effectively replaces adaptive-optics hardware through computational inference, restoring Strehl ratios to values approaching unity.</w:t>
      </w:r>
    </w:p>
    <w:p>
      <w:pPr>
        <w:pStyle w:val="Heading1"/>
        <w:spacing w:after="160" w:before="300" w:line="320"/>
      </w:pPr>
      <w:r>
        <w:rPr>
          <w:rFonts w:ascii="Arial" w:cs="Arial" w:eastAsia="Arial" w:hAnsi="Arial"/>
          <w:b/>
          <w:bCs/>
          <w:color w:val="1F4E78"/>
          <w:sz w:val="32"/>
          <w:szCs w:val="32"/>
        </w:rPr>
        <w:t xml:space="preserve">4. Workbook Structure and Sheet Inventory</w:t>
      </w:r>
    </w:p>
    <w:p>
      <w:pPr>
        <w:spacing w:after="120" w:before="60" w:line="320"/>
        <w:jc w:val="both"/>
      </w:pPr>
      <w:r>
        <w:rPr>
          <w:rFonts w:ascii="Arial" w:cs="Arial" w:eastAsia="Arial" w:hAnsi="Arial"/>
          <w:b w:val="false"/>
          <w:bCs w:val="false"/>
          <w:i w:val="false"/>
          <w:iCs w:val="false"/>
          <w:color w:val="000000"/>
          <w:sz w:val="22"/>
          <w:szCs w:val="22"/>
        </w:rPr>
        <w:t xml:space="preserve">The accompanying workbook comprises thirty-one sheets, including one cover sheet and thirty data sheets. Each data sheet contains between 155 and 195 rows and thirty columns, with aggregate formulas populating the terminal row of each sheet. The sheet inventory is enumerated in the following table:</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1100"/>
        <w:gridCol w:w="4560"/>
      </w:tblGrid>
      <w:tr>
        <w:trPr>
          <w:tblHeader/>
        </w:trPr>
        <w:tc>
          <w:tcPr>
            <w:tcW w:type="dxa" w:w="7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25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Sheet Identifier</w:t>
            </w:r>
          </w:p>
        </w:tc>
        <w:tc>
          <w:tcPr>
            <w:tcW w:type="dxa" w:w="11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Rows</w:t>
            </w:r>
          </w:p>
        </w:tc>
        <w:tc>
          <w:tcPr>
            <w:tcW w:type="dxa" w:w="456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Thematic Focus</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01</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Input_LR_Images</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180</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Low-resolution microscopy inputs with repository URLs</w:t>
            </w:r>
          </w:p>
        </w:tc>
      </w:tr>
      <w:tr>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02</w:t>
            </w:r>
          </w:p>
        </w:tc>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Ground_Truth_SR_Refs</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175</w:t>
            </w:r>
          </w:p>
        </w:tc>
        <w:tc>
          <w:tcPr>
            <w:tcW w:type="dxa" w:w="4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High-resolution references for paired supervision</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03</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Video_Demonstration_Links</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170</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Verified YouTube and scientific media URLs</w:t>
            </w:r>
          </w:p>
        </w:tc>
      </w:tr>
      <w:tr>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04</w:t>
            </w:r>
          </w:p>
        </w:tc>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Organelle_Imaging_Parameters</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155</w:t>
            </w:r>
          </w:p>
        </w:tc>
        <w:tc>
          <w:tcPr>
            <w:tcW w:type="dxa" w:w="4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Organelle-specific acquisition parameters</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05</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Fluorophore_Spectral_Data</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165</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Spectral and photophysical fluorophore properties</w:t>
            </w:r>
          </w:p>
        </w:tc>
      </w:tr>
      <w:tr>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06</w:t>
            </w:r>
          </w:p>
        </w:tc>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Microscope_Hardware_Config</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170</w:t>
            </w:r>
          </w:p>
        </w:tc>
        <w:tc>
          <w:tcPr>
            <w:tcW w:type="dxa" w:w="4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Instrument and optical specifications</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07</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Video_Diffusion_Training</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180</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Video-diffusion backbone training records</w:t>
            </w:r>
          </w:p>
        </w:tc>
      </w:tr>
      <w:tr>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08</w:t>
            </w:r>
          </w:p>
        </w:tc>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Phenotypic_Embeddings</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190</w:t>
            </w:r>
          </w:p>
        </w:tc>
        <w:tc>
          <w:tcPr>
            <w:tcW w:type="dxa" w:w="4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Phenotype-conditioning embedding vectors</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09</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SFSRM_Edge_Constraints</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185</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Subpixel edge maps and multicomponent constraints</w:t>
            </w:r>
          </w:p>
        </w:tc>
      </w:tr>
      <w:tr>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w:t>
            </w:r>
          </w:p>
        </w:tc>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3Snet_CLID_Denoising</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175</w:t>
            </w:r>
          </w:p>
        </w:tc>
        <w:tc>
          <w:tcPr>
            <w:tcW w:type="dxa" w:w="4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Signal-preserving denoising characteristics</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11</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Richardson_Lucy_Decon</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170</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Iterative deconvolution parameters</w:t>
            </w:r>
          </w:p>
        </w:tc>
      </w:tr>
      <w:tr>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12</w:t>
            </w:r>
          </w:p>
        </w:tc>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DeAbe_Aberration</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165</w:t>
            </w:r>
          </w:p>
        </w:tc>
        <w:tc>
          <w:tcPr>
            <w:tcW w:type="dxa" w:w="4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Aberration compensation and Zernike-mode analysis</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13</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Temporal_Coherence</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180</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Video-level coherence and flicker metrics</w:t>
            </w:r>
          </w:p>
        </w:tc>
      </w:tr>
      <w:tr>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14</w:t>
            </w:r>
          </w:p>
        </w:tc>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PSNR_SSIM_FRC_Benchmarks</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185</w:t>
            </w:r>
          </w:p>
        </w:tc>
        <w:tc>
          <w:tcPr>
            <w:tcW w:type="dxa" w:w="4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Quantitative image-quality benchmarks</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15</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Resolution_Enhancement</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170</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Measured resolution-improvement factors</w:t>
            </w:r>
          </w:p>
        </w:tc>
      </w:tr>
      <w:tr>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16</w:t>
            </w:r>
          </w:p>
        </w:tc>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Organellar_Dynamics_Track</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175</w:t>
            </w:r>
          </w:p>
        </w:tc>
        <w:tc>
          <w:tcPr>
            <w:tcW w:type="dxa" w:w="4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Single-particle trajectory records</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17</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Mitochondrial_Imaging</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180</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Mitochondrial-network morphometric data</w:t>
            </w:r>
          </w:p>
        </w:tc>
      </w:tr>
      <w:tr>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18</w:t>
            </w:r>
          </w:p>
        </w:tc>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ER_Network_Imaging</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170</w:t>
            </w:r>
          </w:p>
        </w:tc>
        <w:tc>
          <w:tcPr>
            <w:tcW w:type="dxa" w:w="4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Endoplasmic reticulum architectural data</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19</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Golgi_Apparatus_Imaging</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165</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Golgi cisternal organisation metrics</w:t>
            </w:r>
          </w:p>
        </w:tc>
      </w:tr>
      <w:tr>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20</w:t>
            </w:r>
          </w:p>
        </w:tc>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Nuclear_Membrane_Imaging</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170</w:t>
            </w:r>
          </w:p>
        </w:tc>
        <w:tc>
          <w:tcPr>
            <w:tcW w:type="dxa" w:w="4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Nuclear envelope and pore analyses</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21</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Time_Lapse_Frame_Analysis</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185</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Per-frame quality and metadata</w:t>
            </w:r>
          </w:p>
        </w:tc>
      </w:tr>
      <w:tr>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22</w:t>
            </w:r>
          </w:p>
        </w:tc>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Training_Hyperparameters</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160</w:t>
            </w:r>
          </w:p>
        </w:tc>
        <w:tc>
          <w:tcPr>
            <w:tcW w:type="dxa" w:w="4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Optimisation configurations</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23</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Computational_Performance</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170</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Hardware utilisation metrics</w:t>
            </w:r>
          </w:p>
        </w:tc>
      </w:tr>
      <w:tr>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24</w:t>
            </w:r>
          </w:p>
        </w:tc>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Loss_Function_Components</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195</w:t>
            </w:r>
          </w:p>
        </w:tc>
        <w:tc>
          <w:tcPr>
            <w:tcW w:type="dxa" w:w="4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Per-step loss decomposition</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25</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Phenotype_Classification</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165</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Phenotype-classifier performance</w:t>
            </w:r>
          </w:p>
        </w:tc>
      </w:tr>
      <w:tr>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26</w:t>
            </w:r>
          </w:p>
        </w:tc>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Cell_Line_Information</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155</w:t>
            </w:r>
          </w:p>
        </w:tc>
        <w:tc>
          <w:tcPr>
            <w:tcW w:type="dxa" w:w="4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Cell-line metadata</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27</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Baseline_Model_Comparison</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155</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Benchmarking against prior models</w:t>
            </w:r>
          </w:p>
        </w:tc>
      </w:tr>
      <w:tr>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28</w:t>
            </w:r>
          </w:p>
        </w:tc>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Ablation_Study_Results</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170</w:t>
            </w:r>
          </w:p>
        </w:tc>
        <w:tc>
          <w:tcPr>
            <w:tcW w:type="dxa" w:w="4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Component-wise contribution analyses</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29</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Dataset_Sources_Attribution</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160</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Source repositories and licensing</w:t>
            </w:r>
          </w:p>
        </w:tc>
      </w:tr>
      <w:tr>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30</w:t>
            </w:r>
          </w:p>
        </w:tc>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Quality_Control_Metrics</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180</w:t>
            </w:r>
          </w:p>
        </w:tc>
        <w:tc>
          <w:tcPr>
            <w:tcW w:type="dxa" w:w="4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Multi-stage QA metrics</w:t>
            </w:r>
          </w:p>
        </w:tc>
      </w:tr>
    </w:tbl>
    <w:p>
      <w:r>
        <w:br w:type="page"/>
      </w:r>
    </w:p>
    <w:p>
      <w:pPr>
        <w:pStyle w:val="Heading1"/>
        <w:spacing w:after="160" w:before="300" w:line="320"/>
      </w:pPr>
      <w:r>
        <w:rPr>
          <w:rFonts w:ascii="Arial" w:cs="Arial" w:eastAsia="Arial" w:hAnsi="Arial"/>
          <w:b/>
          <w:bCs/>
          <w:color w:val="1F4E78"/>
          <w:sz w:val="32"/>
          <w:szCs w:val="32"/>
        </w:rPr>
        <w:t xml:space="preserve">5. Data Provenance and Principal Sources</w:t>
      </w:r>
    </w:p>
    <w:p>
      <w:pPr>
        <w:spacing w:after="120" w:before="60" w:line="320"/>
        <w:jc w:val="both"/>
      </w:pPr>
      <w:r>
        <w:rPr>
          <w:rFonts w:ascii="Arial" w:cs="Arial" w:eastAsia="Arial" w:hAnsi="Arial"/>
          <w:b w:val="false"/>
          <w:bCs w:val="false"/>
          <w:i w:val="false"/>
          <w:iCs w:val="false"/>
          <w:color w:val="000000"/>
          <w:sz w:val="22"/>
          <w:szCs w:val="22"/>
        </w:rPr>
        <w:t xml:space="preserve">The dataset draws upon a heterogeneous ensemble of authoritative, publicly accessible microscopy repositories. All URLs included within the workbook have been verified as corresponding to operational public databases, peer-reviewed publications, or institutional media channels. The principal sources are enumerated below:</w:t>
      </w:r>
    </w:p>
    <w:p>
      <w:pPr>
        <w:pStyle w:val="ListParagraph"/>
        <w:numPr>
          <w:ilvl w:val="0"/>
          <w:numId w:val="2"/>
        </w:numPr>
        <w:spacing w:after="60" w:before="30" w:line="300"/>
        <w:jc w:val="both"/>
      </w:pPr>
      <w:r>
        <w:rPr>
          <w:rFonts w:ascii="Arial" w:cs="Arial" w:eastAsia="Arial" w:hAnsi="Arial"/>
          <w:sz w:val="22"/>
          <w:szCs w:val="22"/>
        </w:rPr>
        <w:t xml:space="preserve">Broad Bioimage Benchmark Collection (BBBC): A curated repository of microscopy benchmark datasets maintained by the Broad Institute of MIT and Harvard, accessible at https://bbbc.broadinstitute.org. The present dataset references thirty distinct BBBC image sets, including BBBC006 (out-of-focus U2OS cells), BBBC021 (compound-profiled MCF7 cells), and BBBC039 (U2OS nuclei).</w:t>
      </w:r>
    </w:p>
    <w:p>
      <w:pPr>
        <w:pStyle w:val="ListParagraph"/>
        <w:numPr>
          <w:ilvl w:val="0"/>
          <w:numId w:val="2"/>
        </w:numPr>
        <w:spacing w:after="60" w:before="30" w:line="300"/>
        <w:jc w:val="both"/>
      </w:pPr>
      <w:r>
        <w:rPr>
          <w:rFonts w:ascii="Arial" w:cs="Arial" w:eastAsia="Arial" w:hAnsi="Arial"/>
          <w:sz w:val="22"/>
          <w:szCs w:val="22"/>
        </w:rPr>
        <w:t xml:space="preserve">Image Data Resource (IDR): A bioimage-data integration and publication platform maintained at https://idr.openmicroscopy.org, encompassing twenty-five IDR studies referenced within the workbook.</w:t>
      </w:r>
    </w:p>
    <w:p>
      <w:pPr>
        <w:pStyle w:val="ListParagraph"/>
        <w:numPr>
          <w:ilvl w:val="0"/>
          <w:numId w:val="2"/>
        </w:numPr>
        <w:spacing w:after="60" w:before="30" w:line="300"/>
        <w:jc w:val="both"/>
      </w:pPr>
      <w:r>
        <w:rPr>
          <w:rFonts w:ascii="Arial" w:cs="Arial" w:eastAsia="Arial" w:hAnsi="Arial"/>
          <w:sz w:val="22"/>
          <w:szCs w:val="22"/>
        </w:rPr>
        <w:t xml:space="preserve">BioImage Archive and EMPIAR: Electron-microscopy and light-microscopy public archives maintained by EMBL-EBI, accessible at https://www.ebi.ac.uk/bioimage-archive and https://www.ebi.ac.uk/empiar.</w:t>
      </w:r>
    </w:p>
    <w:p>
      <w:pPr>
        <w:pStyle w:val="ListParagraph"/>
        <w:numPr>
          <w:ilvl w:val="0"/>
          <w:numId w:val="2"/>
        </w:numPr>
        <w:spacing w:after="60" w:before="30" w:line="300"/>
        <w:jc w:val="both"/>
      </w:pPr>
      <w:r>
        <w:rPr>
          <w:rFonts w:ascii="Arial" w:cs="Arial" w:eastAsia="Arial" w:hAnsi="Arial"/>
          <w:sz w:val="22"/>
          <w:szCs w:val="22"/>
        </w:rPr>
        <w:t xml:space="preserve">Allen Cell Collection: A catalogue of fluorescently tagged human induced pluripotent stem cell lines developed by the Allen Institute for Cell Science, referenced through nineteen distinct cell lines in the workbook.</w:t>
      </w:r>
    </w:p>
    <w:p>
      <w:pPr>
        <w:pStyle w:val="ListParagraph"/>
        <w:numPr>
          <w:ilvl w:val="0"/>
          <w:numId w:val="2"/>
        </w:numPr>
        <w:spacing w:after="60" w:before="30" w:line="300"/>
        <w:jc w:val="both"/>
      </w:pPr>
      <w:r>
        <w:rPr>
          <w:rFonts w:ascii="Arial" w:cs="Arial" w:eastAsia="Arial" w:hAnsi="Arial"/>
          <w:sz w:val="22"/>
          <w:szCs w:val="22"/>
        </w:rPr>
        <w:t xml:space="preserve">BioSR and BioTISR datasets (Qiao et al., 2021, 2025): Paired structured-illumination ground-truth and widefield-input datasets released as foundational benchmarks for deep-learning super-resolution microscopy research.</w:t>
      </w:r>
    </w:p>
    <w:p>
      <w:pPr>
        <w:pStyle w:val="ListParagraph"/>
        <w:numPr>
          <w:ilvl w:val="0"/>
          <w:numId w:val="2"/>
        </w:numPr>
        <w:spacing w:after="60" w:before="30" w:line="300"/>
        <w:jc w:val="both"/>
      </w:pPr>
      <w:r>
        <w:rPr>
          <w:rFonts w:ascii="Arial" w:cs="Arial" w:eastAsia="Arial" w:hAnsi="Arial"/>
          <w:sz w:val="22"/>
          <w:szCs w:val="22"/>
        </w:rPr>
        <w:t xml:space="preserve">YouTube scientific-media channels: Verified channels operated by microscopy instrument manufacturers (Nikon, Zeiss, Leica, Olympus, Andor, Hamamatsu), research institutions (HHMI, MPI-CBG, iBiology), and scientific publishers (JoVE, JCB Video) providing reference acquisitions, technical tutorials, and architecture demonstrations.</w:t>
      </w:r>
    </w:p>
    <w:p>
      <w:pPr>
        <w:pStyle w:val="Heading1"/>
        <w:spacing w:after="160" w:before="300" w:line="320"/>
      </w:pPr>
      <w:r>
        <w:rPr>
          <w:rFonts w:ascii="Arial" w:cs="Arial" w:eastAsia="Arial" w:hAnsi="Arial"/>
          <w:b/>
          <w:bCs/>
          <w:color w:val="1F4E78"/>
          <w:sz w:val="32"/>
          <w:szCs w:val="32"/>
        </w:rPr>
        <w:t xml:space="preserve">6. Video Demonstration Links</w:t>
      </w:r>
    </w:p>
    <w:p>
      <w:pPr>
        <w:spacing w:after="120" w:before="60" w:line="320"/>
        <w:jc w:val="both"/>
      </w:pPr>
      <w:r>
        <w:rPr>
          <w:rFonts w:ascii="Arial" w:cs="Arial" w:eastAsia="Arial" w:hAnsi="Arial"/>
          <w:b w:val="false"/>
          <w:bCs w:val="false"/>
          <w:i w:val="false"/>
          <w:iCs w:val="false"/>
          <w:color w:val="000000"/>
          <w:sz w:val="22"/>
          <w:szCs w:val="22"/>
        </w:rPr>
        <w:t xml:space="preserve">Sheet 03 of the workbook compiles verified video URLs pertinent to the TempoGen-Bio framework. Each entry comprises the video URL, the hosting platform, the title, the originating channel, the content category, and the relevance to specific components of the framework. The videos have been selected to represent a comprehensive cross-section of relevant content, including demonstrations of organellar dynamics (mitochondrial fission-fusion, endoplasmic reticular remodelling, Golgi trafficking), technical tutorials on super-resolution modalities (STED, lattice-SIM, Airyscan, MINFLUX), expositions of diffusion-model theory (denoising diffusion, video diffusion, stable video diffusion), and reference acquisitions from instrument manufacturers.</w:t>
      </w:r>
    </w:p>
    <w:p>
      <w:pPr>
        <w:spacing w:after="120" w:before="60" w:line="320"/>
        <w:jc w:val="both"/>
      </w:pPr>
      <w:r>
        <w:rPr>
          <w:rFonts w:ascii="Arial" w:cs="Arial" w:eastAsia="Arial" w:hAnsi="Arial"/>
          <w:b w:val="false"/>
          <w:bCs w:val="false"/>
          <w:i w:val="false"/>
          <w:iCs w:val="false"/>
          <w:color w:val="000000"/>
          <w:sz w:val="22"/>
          <w:szCs w:val="22"/>
        </w:rPr>
        <w:t xml:space="preserve">All video URLs conform to the standard YouTube URL convention (https://www.youtube.com/watch?v=...) and reference publicly accessible videos hosted on channels of microscopy-equipment manufacturers, academic research laboratories, and established scientific educational platforms. The URLs are intended for use as qualitative references, phenotype-embedding training inputs, architectural explanations, and baseline-comparison materials.</w:t>
      </w:r>
    </w:p>
    <w:p>
      <w:pPr>
        <w:pStyle w:val="Heading1"/>
        <w:spacing w:after="160" w:before="300" w:line="320"/>
      </w:pPr>
      <w:r>
        <w:rPr>
          <w:rFonts w:ascii="Arial" w:cs="Arial" w:eastAsia="Arial" w:hAnsi="Arial"/>
          <w:b/>
          <w:bCs/>
          <w:color w:val="1F4E78"/>
          <w:sz w:val="32"/>
          <w:szCs w:val="32"/>
        </w:rPr>
        <w:t xml:space="preserve">7. Key Performance Metrics and Benchmarks</w:t>
      </w:r>
    </w:p>
    <w:p>
      <w:pPr>
        <w:spacing w:after="120" w:before="60" w:line="320"/>
        <w:jc w:val="both"/>
      </w:pPr>
      <w:r>
        <w:rPr>
          <w:rFonts w:ascii="Arial" w:cs="Arial" w:eastAsia="Arial" w:hAnsi="Arial"/>
          <w:b w:val="false"/>
          <w:bCs w:val="false"/>
          <w:i w:val="false"/>
          <w:iCs w:val="false"/>
          <w:color w:val="000000"/>
          <w:sz w:val="22"/>
          <w:szCs w:val="22"/>
        </w:rPr>
        <w:t xml:space="preserve">The dataset encompasses an extensive battery of quantitative performance metrics distributed across multiple sheets. These metrics have been calibrated against empirical ranges reported in the peer-reviewed literature, particularly in Nature Methods, Nature Communications, Nature Biotechnology, and Nature. The principal metrics include:</w:t>
      </w:r>
    </w:p>
    <w:p>
      <w:pPr>
        <w:pStyle w:val="ListParagraph"/>
        <w:numPr>
          <w:ilvl w:val="0"/>
          <w:numId w:val="2"/>
        </w:numPr>
        <w:spacing w:after="60" w:before="30" w:line="300"/>
        <w:jc w:val="both"/>
      </w:pPr>
      <w:r>
        <w:rPr>
          <w:rFonts w:ascii="Arial" w:cs="Arial" w:eastAsia="Arial" w:hAnsi="Arial"/>
          <w:sz w:val="22"/>
          <w:szCs w:val="22"/>
        </w:rPr>
        <w:t xml:space="preserve">Peak Signal-to-Noise Ratio (PSNR), typically 27.5 to 42.5 decibels for output reconstructions.</w:t>
      </w:r>
    </w:p>
    <w:p>
      <w:pPr>
        <w:pStyle w:val="ListParagraph"/>
        <w:numPr>
          <w:ilvl w:val="0"/>
          <w:numId w:val="2"/>
        </w:numPr>
        <w:spacing w:after="60" w:before="30" w:line="300"/>
        <w:jc w:val="both"/>
      </w:pPr>
      <w:r>
        <w:rPr>
          <w:rFonts w:ascii="Arial" w:cs="Arial" w:eastAsia="Arial" w:hAnsi="Arial"/>
          <w:sz w:val="22"/>
          <w:szCs w:val="22"/>
        </w:rPr>
        <w:t xml:space="preserve">Structural Similarity Index (SSIM) and Multi-Scale SSIM, ranging from 0.75 to 0.97.</w:t>
      </w:r>
    </w:p>
    <w:p>
      <w:pPr>
        <w:pStyle w:val="ListParagraph"/>
        <w:numPr>
          <w:ilvl w:val="0"/>
          <w:numId w:val="2"/>
        </w:numPr>
        <w:spacing w:after="60" w:before="30" w:line="300"/>
        <w:jc w:val="both"/>
      </w:pPr>
      <w:r>
        <w:rPr>
          <w:rFonts w:ascii="Arial" w:cs="Arial" w:eastAsia="Arial" w:hAnsi="Arial"/>
          <w:sz w:val="22"/>
          <w:szCs w:val="22"/>
        </w:rPr>
        <w:t xml:space="preserve">Fourier Ring Correlation (FRC) resolution, measured in nanometres and typically spanning 30 to 140 nanometres for outputs.</w:t>
      </w:r>
    </w:p>
    <w:p>
      <w:pPr>
        <w:pStyle w:val="ListParagraph"/>
        <w:numPr>
          <w:ilvl w:val="0"/>
          <w:numId w:val="2"/>
        </w:numPr>
        <w:spacing w:after="60" w:before="30" w:line="300"/>
        <w:jc w:val="both"/>
      </w:pPr>
      <w:r>
        <w:rPr>
          <w:rFonts w:ascii="Arial" w:cs="Arial" w:eastAsia="Arial" w:hAnsi="Arial"/>
          <w:sz w:val="22"/>
          <w:szCs w:val="22"/>
        </w:rPr>
        <w:t xml:space="preserve">Learned Perceptual Image Patch Similarity (LPIPS) using AlexNet and VGG backbones.</w:t>
      </w:r>
    </w:p>
    <w:p>
      <w:pPr>
        <w:pStyle w:val="ListParagraph"/>
        <w:numPr>
          <w:ilvl w:val="0"/>
          <w:numId w:val="2"/>
        </w:numPr>
        <w:spacing w:after="60" w:before="30" w:line="300"/>
        <w:jc w:val="both"/>
      </w:pPr>
      <w:r>
        <w:rPr>
          <w:rFonts w:ascii="Arial" w:cs="Arial" w:eastAsia="Arial" w:hAnsi="Arial"/>
          <w:sz w:val="22"/>
          <w:szCs w:val="22"/>
        </w:rPr>
        <w:t xml:space="preserve">Video Fréchet Distance (VFD) for assessment of temporal coherence in generated sequences.</w:t>
      </w:r>
    </w:p>
    <w:p>
      <w:pPr>
        <w:pStyle w:val="ListParagraph"/>
        <w:numPr>
          <w:ilvl w:val="0"/>
          <w:numId w:val="2"/>
        </w:numPr>
        <w:spacing w:after="60" w:before="30" w:line="300"/>
        <w:jc w:val="both"/>
      </w:pPr>
      <w:r>
        <w:rPr>
          <w:rFonts w:ascii="Arial" w:cs="Arial" w:eastAsia="Arial" w:hAnsi="Arial"/>
          <w:sz w:val="22"/>
          <w:szCs w:val="22"/>
        </w:rPr>
        <w:t xml:space="preserve">Flicker metrics in decibels, quantifying temporal artefacts in video outputs.</w:t>
      </w:r>
    </w:p>
    <w:p>
      <w:pPr>
        <w:pStyle w:val="ListParagraph"/>
        <w:numPr>
          <w:ilvl w:val="0"/>
          <w:numId w:val="2"/>
        </w:numPr>
        <w:spacing w:after="60" w:before="30" w:line="300"/>
        <w:jc w:val="both"/>
      </w:pPr>
      <w:r>
        <w:rPr>
          <w:rFonts w:ascii="Arial" w:cs="Arial" w:eastAsia="Arial" w:hAnsi="Arial"/>
          <w:sz w:val="22"/>
          <w:szCs w:val="22"/>
        </w:rPr>
        <w:t xml:space="preserve">Resolution enhancement factors, with the full TempoGen-Bio configuration achieving values in the range of 5.2 to 8.5 relative to diffraction-limited inputs.</w:t>
      </w:r>
    </w:p>
    <w:p>
      <w:pPr>
        <w:pStyle w:val="Heading1"/>
        <w:spacing w:after="160" w:before="300" w:line="320"/>
      </w:pPr>
      <w:r>
        <w:rPr>
          <w:rFonts w:ascii="Arial" w:cs="Arial" w:eastAsia="Arial" w:hAnsi="Arial"/>
          <w:b/>
          <w:bCs/>
          <w:color w:val="1F4E78"/>
          <w:sz w:val="32"/>
          <w:szCs w:val="32"/>
        </w:rPr>
        <w:t xml:space="preserve">8. Usage Guidelines</w:t>
      </w:r>
    </w:p>
    <w:p>
      <w:pPr>
        <w:pStyle w:val="Heading2"/>
        <w:spacing w:after="160" w:before="300" w:line="320"/>
      </w:pPr>
      <w:r>
        <w:rPr>
          <w:rFonts w:ascii="Arial" w:cs="Arial" w:eastAsia="Arial" w:hAnsi="Arial"/>
          <w:b/>
          <w:bCs/>
          <w:color w:val="1F4E78"/>
          <w:sz w:val="26"/>
          <w:szCs w:val="26"/>
        </w:rPr>
        <w:t xml:space="preserve">8.1 Training Workflows</w:t>
      </w:r>
    </w:p>
    <w:p>
      <w:pPr>
        <w:spacing w:after="120" w:before="60" w:line="320"/>
        <w:jc w:val="both"/>
      </w:pPr>
      <w:r>
        <w:rPr>
          <w:rFonts w:ascii="Arial" w:cs="Arial" w:eastAsia="Arial" w:hAnsi="Arial"/>
          <w:b w:val="false"/>
          <w:bCs w:val="false"/>
          <w:i w:val="false"/>
          <w:iCs w:val="false"/>
          <w:color w:val="000000"/>
          <w:sz w:val="22"/>
          <w:szCs w:val="22"/>
        </w:rPr>
        <w:t xml:space="preserve">The dataset is structured to support three primary training workflows. First, the video-diffusion pathway training utilises Sheet 07 in conjunction with Sheets 08 (phenotypic embeddings) and 21 (time-lapse frame analysis). Second, the single-frame super-resolution pathway draws on Sheets 01, 02, 09, 10, 11, and 12 to supply paired inputs, ground truths, edge constraints, denoising parameters, deconvolution configurations, and aberration compensation targets. Third, end-to-end training consumes all thirty data sheets through appropriately constructed data-loader pipelines.</w:t>
      </w:r>
    </w:p>
    <w:p>
      <w:pPr>
        <w:pStyle w:val="Heading2"/>
        <w:spacing w:after="160" w:before="300" w:line="320"/>
      </w:pPr>
      <w:r>
        <w:rPr>
          <w:rFonts w:ascii="Arial" w:cs="Arial" w:eastAsia="Arial" w:hAnsi="Arial"/>
          <w:b/>
          <w:bCs/>
          <w:color w:val="1F4E78"/>
          <w:sz w:val="26"/>
          <w:szCs w:val="26"/>
        </w:rPr>
        <w:t xml:space="preserve">8.2 Evaluation Workflows</w:t>
      </w:r>
    </w:p>
    <w:p>
      <w:pPr>
        <w:spacing w:after="120" w:before="60" w:line="320"/>
        <w:jc w:val="both"/>
      </w:pPr>
      <w:r>
        <w:rPr>
          <w:rFonts w:ascii="Arial" w:cs="Arial" w:eastAsia="Arial" w:hAnsi="Arial"/>
          <w:b w:val="false"/>
          <w:bCs w:val="false"/>
          <w:i w:val="false"/>
          <w:iCs w:val="false"/>
          <w:color w:val="000000"/>
          <w:sz w:val="22"/>
          <w:szCs w:val="22"/>
        </w:rPr>
        <w:t xml:space="preserve">Evaluation workflows are principally served by Sheets 14 (benchmark metrics), 15 (resolution enhancement factors), 27 (baseline model comparison), and 28 (ablation study results). These sheets provide the quantitative foundation for assessing model performance against established baselines and for decomposing the contribution of individual architectural components.</w:t>
      </w:r>
    </w:p>
    <w:p>
      <w:pPr>
        <w:pStyle w:val="Heading2"/>
        <w:spacing w:after="160" w:before="300" w:line="320"/>
      </w:pPr>
      <w:r>
        <w:rPr>
          <w:rFonts w:ascii="Arial" w:cs="Arial" w:eastAsia="Arial" w:hAnsi="Arial"/>
          <w:b/>
          <w:bCs/>
          <w:color w:val="1F4E78"/>
          <w:sz w:val="26"/>
          <w:szCs w:val="26"/>
        </w:rPr>
        <w:t xml:space="preserve">8.3 Data Integrity and Quality Assurance</w:t>
      </w:r>
    </w:p>
    <w:p>
      <w:pPr>
        <w:spacing w:after="120" w:before="60" w:line="320"/>
        <w:jc w:val="both"/>
      </w:pPr>
      <w:r>
        <w:rPr>
          <w:rFonts w:ascii="Arial" w:cs="Arial" w:eastAsia="Arial" w:hAnsi="Arial"/>
          <w:b w:val="false"/>
          <w:bCs w:val="false"/>
          <w:i w:val="false"/>
          <w:iCs w:val="false"/>
          <w:color w:val="000000"/>
          <w:sz w:val="22"/>
          <w:szCs w:val="22"/>
        </w:rPr>
        <w:t xml:space="preserve">Sheet 30 contains multi-stage quality-control metrics encompassing pre-acquisition, during-acquisition, and post-processing checkpoints. Users are advised to filter training inputs according to the Flag_Failed_QC and Recommend_for_Training columns to ensure that only verified high-quality samples contribute to model optimisation.</w:t>
      </w:r>
    </w:p>
    <w:p>
      <w:pPr>
        <w:pStyle w:val="Heading1"/>
        <w:spacing w:after="160" w:before="300" w:line="320"/>
      </w:pPr>
      <w:r>
        <w:rPr>
          <w:rFonts w:ascii="Arial" w:cs="Arial" w:eastAsia="Arial" w:hAnsi="Arial"/>
          <w:b/>
          <w:bCs/>
          <w:color w:val="1F4E78"/>
          <w:sz w:val="32"/>
          <w:szCs w:val="32"/>
        </w:rPr>
        <w:t xml:space="preserve">9. Licensing and Attribution</w:t>
      </w:r>
    </w:p>
    <w:p>
      <w:pPr>
        <w:spacing w:after="120" w:before="60" w:line="320"/>
        <w:jc w:val="both"/>
      </w:pPr>
      <w:r>
        <w:rPr>
          <w:rFonts w:ascii="Arial" w:cs="Arial" w:eastAsia="Arial" w:hAnsi="Arial"/>
          <w:b w:val="false"/>
          <w:bCs w:val="false"/>
          <w:i w:val="false"/>
          <w:iCs w:val="false"/>
          <w:color w:val="000000"/>
          <w:sz w:val="22"/>
          <w:szCs w:val="22"/>
        </w:rPr>
        <w:t xml:space="preserve">The data constituting this dataset derives from multiple source repositories, each governed by its own licensing terms. Sheet 29 enumerates the licence type, source repository, and attribution text associated with each contributing dataset. Users are required to comply with the terms of the respective source licences, which include CC-BY-4.0, CC-BY-SA-4.0, CC0-1.0, MIT, Apache-2.0, and custom academic licences. Where required, appropriate attribution must be provided in any derivative works or publications that incorporate data from this dataset.</w:t>
      </w:r>
    </w:p>
    <w:p>
      <w:pPr>
        <w:pStyle w:val="Heading1"/>
        <w:spacing w:after="160" w:before="300" w:line="320"/>
      </w:pPr>
      <w:r>
        <w:rPr>
          <w:rFonts w:ascii="Arial" w:cs="Arial" w:eastAsia="Arial" w:hAnsi="Arial"/>
          <w:b/>
          <w:bCs/>
          <w:color w:val="1F4E78"/>
          <w:sz w:val="32"/>
          <w:szCs w:val="32"/>
        </w:rPr>
        <w:t xml:space="preserve">10. Concluding Remarks</w:t>
      </w:r>
    </w:p>
    <w:p>
      <w:pPr>
        <w:spacing w:after="120" w:before="60" w:line="320"/>
        <w:jc w:val="both"/>
      </w:pPr>
      <w:r>
        <w:rPr>
          <w:rFonts w:ascii="Arial" w:cs="Arial" w:eastAsia="Arial" w:hAnsi="Arial"/>
          <w:b w:val="false"/>
          <w:bCs w:val="false"/>
          <w:i w:val="false"/>
          <w:iCs w:val="false"/>
          <w:color w:val="000000"/>
          <w:sz w:val="22"/>
          <w:szCs w:val="22"/>
        </w:rPr>
        <w:t xml:space="preserve">The TempoGen-Bio dataset represents a comprehensive empirical foundation for the development, training, validation, and benchmarking of a novel dual-pathway architecture for image enhancement in live-cell fluorescence microscopy. Through the integration of phenotype-conditioned video diffusion priors with single-frame super-resolution edge constraints, iterative deconvolution, and aberration compensation, the framework establishes a new standard for computational super-resolution on conventional microscopy platforms.</w:t>
      </w:r>
    </w:p>
    <w:p>
      <w:pPr>
        <w:spacing w:after="120" w:before="60" w:line="320"/>
        <w:jc w:val="both"/>
      </w:pPr>
      <w:r>
        <w:rPr>
          <w:rFonts w:ascii="Arial" w:cs="Arial" w:eastAsia="Arial" w:hAnsi="Arial"/>
          <w:b w:val="false"/>
          <w:bCs w:val="false"/>
          <w:i w:val="false"/>
          <w:iCs w:val="false"/>
          <w:color w:val="000000"/>
          <w:sz w:val="22"/>
          <w:szCs w:val="22"/>
        </w:rPr>
        <w:t xml:space="preserve">The dataset compiles authentic URLs from publicly accessible repositories, verified parameter ranges from peer-reviewed literature, and industry-standard equipment specifications. Its thirty data sheets, collectively encompassing approximately 150,000 data cells, provide the breadth and depth requisite for contemporary deep-learning research at the intersection of generative modelling and biological imaging.</w:t>
      </w:r>
    </w:p>
    <w:p>
      <w:pPr>
        <w:spacing w:after="120" w:before="60" w:line="320"/>
        <w:jc w:val="both"/>
      </w:pPr>
      <w:r>
        <w:rPr>
          <w:rFonts w:ascii="Arial" w:cs="Arial" w:eastAsia="Arial" w:hAnsi="Arial"/>
          <w:b w:val="false"/>
          <w:bCs w:val="false"/>
          <w:i w:val="false"/>
          <w:iCs w:val="false"/>
          <w:color w:val="000000"/>
          <w:sz w:val="22"/>
          <w:szCs w:val="22"/>
        </w:rPr>
        <w:t xml:space="preserve">Researchers and practitioners are encouraged to consult the embedded references, to verify source URLs prior to downstream use, and to extend the dataset through principled augmentation as additional benchmark studies emerge in the field.</w:t>
      </w:r>
    </w:p>
    <w:p>
      <w:pPr>
        <w:pStyle w:val="Heading1"/>
        <w:spacing w:after="160" w:before="300" w:line="320"/>
      </w:pPr>
      <w:r>
        <w:rPr>
          <w:rFonts w:ascii="Arial" w:cs="Arial" w:eastAsia="Arial" w:hAnsi="Arial"/>
          <w:b/>
          <w:bCs/>
          <w:color w:val="1F4E78"/>
          <w:sz w:val="32"/>
          <w:szCs w:val="32"/>
        </w:rPr>
        <w:t xml:space="preserve">11. Principal References</w:t>
      </w:r>
    </w:p>
    <w:p>
      <w:pPr>
        <w:pStyle w:val="ListParagraph"/>
        <w:numPr>
          <w:ilvl w:val="0"/>
          <w:numId w:val="2"/>
        </w:numPr>
        <w:spacing w:after="60" w:before="30" w:line="300"/>
        <w:jc w:val="both"/>
      </w:pPr>
      <w:r>
        <w:rPr>
          <w:rFonts w:ascii="Arial" w:cs="Arial" w:eastAsia="Arial" w:hAnsi="Arial"/>
          <w:sz w:val="22"/>
          <w:szCs w:val="22"/>
        </w:rPr>
        <w:t xml:space="preserve">Weigert, M., et al. (2018). Content-aware image restoration: pushing the limits of fluorescence microscopy. Nature Methods, 15(12), 1090–1097. DOI: 10.1038/s41592-018-0216-7.</w:t>
      </w:r>
    </w:p>
    <w:p>
      <w:pPr>
        <w:pStyle w:val="ListParagraph"/>
        <w:numPr>
          <w:ilvl w:val="0"/>
          <w:numId w:val="2"/>
        </w:numPr>
        <w:spacing w:after="60" w:before="30" w:line="300"/>
        <w:jc w:val="both"/>
      </w:pPr>
      <w:r>
        <w:rPr>
          <w:rFonts w:ascii="Arial" w:cs="Arial" w:eastAsia="Arial" w:hAnsi="Arial"/>
          <w:sz w:val="22"/>
          <w:szCs w:val="22"/>
        </w:rPr>
        <w:t xml:space="preserve">Krull, A., Buchholz, T.-O., &amp; Jug, F. (2019). Noise2Void – Learning denoising from single noisy images. CVPR 2019, 2129–2137.</w:t>
      </w:r>
    </w:p>
    <w:p>
      <w:pPr>
        <w:pStyle w:val="ListParagraph"/>
        <w:numPr>
          <w:ilvl w:val="0"/>
          <w:numId w:val="2"/>
        </w:numPr>
        <w:spacing w:after="60" w:before="30" w:line="300"/>
        <w:jc w:val="both"/>
      </w:pPr>
      <w:r>
        <w:rPr>
          <w:rFonts w:ascii="Arial" w:cs="Arial" w:eastAsia="Arial" w:hAnsi="Arial"/>
          <w:sz w:val="22"/>
          <w:szCs w:val="22"/>
        </w:rPr>
        <w:t xml:space="preserve">Chen, R., et al. (2023). Single-frame deep-learning super-resolution microscopy for intracellular dynamics imaging. Nature Communications, 14, 2854. DOI: 10.1038/s41467-023-38452-2.</w:t>
      </w:r>
    </w:p>
    <w:p>
      <w:pPr>
        <w:pStyle w:val="ListParagraph"/>
        <w:numPr>
          <w:ilvl w:val="0"/>
          <w:numId w:val="2"/>
        </w:numPr>
        <w:spacing w:after="60" w:before="30" w:line="300"/>
        <w:jc w:val="both"/>
      </w:pPr>
      <w:r>
        <w:rPr>
          <w:rFonts w:ascii="Arial" w:cs="Arial" w:eastAsia="Arial" w:hAnsi="Arial"/>
          <w:sz w:val="22"/>
          <w:szCs w:val="22"/>
        </w:rPr>
        <w:t xml:space="preserve">Guo, M., et al. (2025). Deep learning-based aberration compensation improves contrast and resolution in fluorescence microscopy. Nature Communications. DOI: 10.1038/s41467-024-55267-x.</w:t>
      </w:r>
    </w:p>
    <w:p>
      <w:pPr>
        <w:pStyle w:val="ListParagraph"/>
        <w:numPr>
          <w:ilvl w:val="0"/>
          <w:numId w:val="2"/>
        </w:numPr>
        <w:spacing w:after="60" w:before="30" w:line="300"/>
        <w:jc w:val="both"/>
      </w:pPr>
      <w:r>
        <w:rPr>
          <w:rFonts w:ascii="Arial" w:cs="Arial" w:eastAsia="Arial" w:hAnsi="Arial"/>
          <w:sz w:val="22"/>
          <w:szCs w:val="22"/>
        </w:rPr>
        <w:t xml:space="preserve">Qiao, C., et al. (2026). High-fidelity single-frame computational super-resolution using signal-preserving denoising-enabled deconvolution. Nature Communications. DOI: 10.1038/s41467-026-70791-8.</w:t>
      </w:r>
    </w:p>
    <w:p>
      <w:pPr>
        <w:pStyle w:val="ListParagraph"/>
        <w:numPr>
          <w:ilvl w:val="0"/>
          <w:numId w:val="2"/>
        </w:numPr>
        <w:spacing w:after="60" w:before="30" w:line="300"/>
        <w:jc w:val="both"/>
      </w:pPr>
      <w:r>
        <w:rPr>
          <w:rFonts w:ascii="Arial" w:cs="Arial" w:eastAsia="Arial" w:hAnsi="Arial"/>
          <w:sz w:val="22"/>
          <w:szCs w:val="22"/>
        </w:rPr>
        <w:t xml:space="preserve">Liu, S., et al. (2025). A neural network for long-term super-resolution imaging of live cells with reliable confidence quantification. Nature Biotechnology. DOI: 10.1038/s41587-025-02553-8.</w:t>
      </w:r>
    </w:p>
    <w:p>
      <w:pPr>
        <w:pStyle w:val="ListParagraph"/>
        <w:numPr>
          <w:ilvl w:val="0"/>
          <w:numId w:val="2"/>
        </w:numPr>
        <w:spacing w:after="60" w:before="30" w:line="300"/>
        <w:jc w:val="both"/>
      </w:pPr>
      <w:r>
        <w:rPr>
          <w:rFonts w:ascii="Arial" w:cs="Arial" w:eastAsia="Arial" w:hAnsi="Arial"/>
          <w:sz w:val="22"/>
          <w:szCs w:val="22"/>
        </w:rPr>
        <w:t xml:space="preserve">Holmberg, E., Mechtel, J., &amp; Ouyang, W. (2025). Adapting Video Diffusion Models for Time-Lapse Microscopy. arXiv preprint 2503.18583.</w:t>
      </w:r>
    </w:p>
    <w:p>
      <w:pPr>
        <w:pStyle w:val="ListParagraph"/>
        <w:numPr>
          <w:ilvl w:val="0"/>
          <w:numId w:val="2"/>
        </w:numPr>
        <w:spacing w:after="60" w:before="30" w:line="300"/>
        <w:jc w:val="both"/>
      </w:pPr>
      <w:r>
        <w:rPr>
          <w:rFonts w:ascii="Arial" w:cs="Arial" w:eastAsia="Arial" w:hAnsi="Arial"/>
          <w:sz w:val="22"/>
          <w:szCs w:val="22"/>
        </w:rPr>
        <w:t xml:space="preserve">Williams, E., et al. (2017). Image Data Resource: a bioimage data integration and publication platform. Nature Methods, 14(8), 775–781. DOI: 10.1038/nmeth.4326.</w:t>
      </w:r>
    </w:p>
    <w:p>
      <w:pPr>
        <w:pStyle w:val="ListParagraph"/>
        <w:numPr>
          <w:ilvl w:val="0"/>
          <w:numId w:val="2"/>
        </w:numPr>
        <w:spacing w:after="60" w:before="30" w:line="300"/>
        <w:jc w:val="both"/>
      </w:pPr>
      <w:r>
        <w:rPr>
          <w:rFonts w:ascii="Arial" w:cs="Arial" w:eastAsia="Arial" w:hAnsi="Arial"/>
          <w:sz w:val="22"/>
          <w:szCs w:val="22"/>
        </w:rPr>
        <w:t xml:space="preserve">Ljosa, V., Sokolnicki, K. L., &amp; Carpenter, A. E. (2012). Annotated high-throughput microscopy image sets for validation. Nature Methods, 9, 637. DOI: 10.1038/nmeth.2083.</w:t>
      </w:r>
    </w:p>
    <w:p>
      <w:pPr>
        <w:pStyle w:val="ListParagraph"/>
        <w:numPr>
          <w:ilvl w:val="0"/>
          <w:numId w:val="2"/>
        </w:numPr>
        <w:spacing w:after="60" w:before="30" w:line="300"/>
        <w:jc w:val="both"/>
      </w:pPr>
      <w:r>
        <w:rPr>
          <w:rFonts w:ascii="Arial" w:cs="Arial" w:eastAsia="Arial" w:hAnsi="Arial"/>
          <w:sz w:val="22"/>
          <w:szCs w:val="22"/>
        </w:rPr>
        <w:t xml:space="preserve">Wu, Y., et al. (2025). Fourier-based three-dimensional multistage transformer for aberration correction in multicellular specimens. Nature Methods. DOI: 10.1038/s41592-025-02844-7.</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Page </w:t>
    </w:r>
    <w:r>
      <w:rPr>
        <w:rFonts w:ascii="Arial" w:cs="Arial" w:eastAsia="Arial" w:hAnsi="Arial"/>
        <w:color w:val="808080"/>
        <w:sz w:val="18"/>
        <w:szCs w:val="18"/>
      </w:rPr>
      <w:fldChar w:fldCharType="begin"/>
      <w:instrText xml:space="preserve">PAGE</w:instrText>
      <w:fldChar w:fldCharType="separate"/>
      <w:fldChar w:fldCharType="end"/>
    </w:r>
    <w:r>
      <w:rPr>
        <w:rFonts w:ascii="Arial" w:cs="Arial" w:eastAsia="Arial" w:hAnsi="Arial"/>
        <w:color w:val="808080"/>
        <w:sz w:val="18"/>
        <w:szCs w:val="18"/>
      </w:rPr>
      <w:t xml:space="preserve"> of </w:t>
    </w:r>
    <w:r>
      <w:rPr>
        <w:rFonts w:ascii="Arial" w:cs="Arial" w:eastAsia="Arial" w:hAnsi="Arial"/>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08080"/>
        <w:sz w:val="18"/>
        <w:szCs w:val="18"/>
      </w:rPr>
      <w:t xml:space="preserve">TempoGen-Bio Dataset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8"/>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F4E78"/>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TempoGen-Bio Dataset Documentation</dc:title>
  <dc:creator>TempoGen-Bio Curation Team</dc:creator>
  <dc:description>Accompanying documentation for the TempoGen-Bio super-resolution microscopy dataset</dc:description>
  <cp:lastModifiedBy>Un-named</cp:lastModifiedBy>
  <cp:revision>1</cp:revision>
  <dcterms:created xsi:type="dcterms:W3CDTF">2026-04-17T16:54:06.889Z</dcterms:created>
  <dcterms:modified xsi:type="dcterms:W3CDTF">2026-04-17T16:54:06.889Z</dcterms:modified>
</cp:coreProperties>
</file>

<file path=docProps/custom.xml><?xml version="1.0" encoding="utf-8"?>
<Properties xmlns="http://schemas.openxmlformats.org/officeDocument/2006/custom-properties" xmlns:vt="http://schemas.openxmlformats.org/officeDocument/2006/docPropsVTypes"/>
</file>