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A173B">
      <w:pPr>
        <w:spacing w:before="2400" w:after="400"/>
        <w:jc w:val="center"/>
      </w:pPr>
      <w:r>
        <w:rPr>
          <w:rFonts w:ascii="黑体" w:hAnsi="黑体" w:eastAsia="黑体"/>
          <w:b/>
          <w:sz w:val="52"/>
        </w:rPr>
        <w:t>数字图像处理教学平台</w:t>
      </w:r>
    </w:p>
    <w:p w14:paraId="6526D669">
      <w:pPr>
        <w:spacing w:before="0" w:after="400"/>
        <w:jc w:val="center"/>
      </w:pPr>
      <w:r>
        <w:rPr>
          <w:rFonts w:ascii="黑体" w:hAnsi="黑体" w:eastAsia="黑体"/>
          <w:b/>
          <w:sz w:val="52"/>
        </w:rPr>
        <w:t>技术架构说明</w:t>
      </w:r>
    </w:p>
    <w:p w14:paraId="56FE3EEA">
      <w:pPr>
        <w:spacing w:before="600"/>
        <w:jc w:val="center"/>
      </w:pPr>
      <w:r>
        <w:rPr>
          <w:rFonts w:ascii="仿宋" w:hAnsi="仿宋" w:eastAsia="仿宋"/>
          <w:sz w:val="32"/>
        </w:rPr>
        <w:t>—— AI赋能交互式教学平台总体设计</w:t>
      </w:r>
    </w:p>
    <w:p w14:paraId="1BE2E281">
      <w:pPr>
        <w:spacing w:before="2400"/>
        <w:jc w:val="center"/>
      </w:pPr>
      <w:r>
        <w:rPr>
          <w:rFonts w:ascii="仿宋" w:hAnsi="仿宋" w:eastAsia="仿宋"/>
          <w:sz w:val="32"/>
        </w:rPr>
        <w:t>西南交通大学希望学院</w:t>
      </w:r>
    </w:p>
    <w:p w14:paraId="0F5D9017">
      <w:pPr>
        <w:spacing w:before="200"/>
        <w:jc w:val="center"/>
      </w:pPr>
      <w:r>
        <w:rPr>
          <w:rFonts w:ascii="仿宋" w:hAnsi="仿宋" w:eastAsia="仿宋"/>
          <w:sz w:val="28"/>
        </w:rPr>
        <w:t>2026年8月</w:t>
      </w:r>
    </w:p>
    <w:p w14:paraId="023D815A">
      <w:r>
        <w:br w:type="page"/>
      </w:r>
    </w:p>
    <w:p w14:paraId="555A871C">
      <w:pPr>
        <w:spacing w:before="360" w:after="160"/>
      </w:pPr>
      <w:r>
        <w:rPr>
          <w:rFonts w:ascii="黑体" w:hAnsi="黑体" w:eastAsia="黑体"/>
          <w:b/>
          <w:sz w:val="32"/>
        </w:rPr>
        <w:t>目  录</w:t>
      </w:r>
    </w:p>
    <w:p w14:paraId="601072D3">
      <w:pPr>
        <w:spacing w:line="480" w:lineRule="auto"/>
      </w:pPr>
      <w:r>
        <w:rPr>
          <w:rFonts w:ascii="仿宋" w:hAnsi="仿宋" w:eastAsia="仿宋"/>
          <w:sz w:val="28"/>
        </w:rPr>
        <w:t>一、项目概述</w:t>
      </w:r>
    </w:p>
    <w:p w14:paraId="17DEA881">
      <w:pPr>
        <w:spacing w:line="480" w:lineRule="auto"/>
      </w:pPr>
      <w:r>
        <w:rPr>
          <w:rFonts w:ascii="仿宋" w:hAnsi="仿宋" w:eastAsia="仿宋"/>
          <w:sz w:val="28"/>
        </w:rPr>
        <w:t>二、总体架构设计</w:t>
      </w:r>
    </w:p>
    <w:p w14:paraId="6BF19D11">
      <w:pPr>
        <w:spacing w:line="480" w:lineRule="auto"/>
      </w:pPr>
      <w:r>
        <w:rPr>
          <w:rFonts w:ascii="仿宋" w:hAnsi="仿宋" w:eastAsia="仿宋"/>
          <w:sz w:val="28"/>
        </w:rPr>
        <w:t>三、技术选型</w:t>
      </w:r>
    </w:p>
    <w:p w14:paraId="6D48E3F6">
      <w:pPr>
        <w:spacing w:line="480" w:lineRule="auto"/>
      </w:pPr>
      <w:r>
        <w:rPr>
          <w:rFonts w:ascii="仿宋" w:hAnsi="仿宋" w:eastAsia="仿宋"/>
          <w:sz w:val="28"/>
        </w:rPr>
        <w:t>四、核心功能模块</w:t>
      </w:r>
    </w:p>
    <w:p w14:paraId="420815C5">
      <w:pPr>
        <w:spacing w:line="480" w:lineRule="auto"/>
      </w:pPr>
      <w:r>
        <w:rPr>
          <w:rFonts w:ascii="仿宋" w:hAnsi="仿宋" w:eastAsia="仿宋"/>
          <w:sz w:val="28"/>
        </w:rPr>
        <w:t>五、数据库设计</w:t>
      </w:r>
    </w:p>
    <w:p w14:paraId="786AB3B0">
      <w:pPr>
        <w:spacing w:line="480" w:lineRule="auto"/>
      </w:pPr>
      <w:r>
        <w:rPr>
          <w:rFonts w:ascii="仿宋" w:hAnsi="仿宋" w:eastAsia="仿宋"/>
          <w:sz w:val="28"/>
        </w:rPr>
        <w:t>六、AI能力集成</w:t>
      </w:r>
    </w:p>
    <w:p w14:paraId="39B59D3B">
      <w:pPr>
        <w:spacing w:line="480" w:lineRule="auto"/>
      </w:pPr>
      <w:r>
        <w:rPr>
          <w:rFonts w:ascii="仿宋" w:hAnsi="仿宋" w:eastAsia="仿宋"/>
          <w:sz w:val="28"/>
        </w:rPr>
        <w:t>七、部署架构</w:t>
      </w:r>
    </w:p>
    <w:p w14:paraId="7364D942">
      <w:pPr>
        <w:spacing w:line="480" w:lineRule="auto"/>
      </w:pPr>
      <w:r>
        <w:rPr>
          <w:rFonts w:ascii="仿宋" w:hAnsi="仿宋" w:eastAsia="仿宋"/>
          <w:sz w:val="28"/>
        </w:rPr>
        <w:t>八、工程结构与代码规模</w:t>
      </w:r>
    </w:p>
    <w:p w14:paraId="6655F490">
      <w:pPr>
        <w:spacing w:line="480" w:lineRule="auto"/>
      </w:pPr>
      <w:r>
        <w:rPr>
          <w:rFonts w:ascii="仿宋" w:hAnsi="仿宋" w:eastAsia="仿宋"/>
          <w:sz w:val="28"/>
        </w:rPr>
        <w:t>九、总结与展望</w:t>
      </w:r>
    </w:p>
    <w:p w14:paraId="4207CA13">
      <w:r>
        <w:br w:type="page"/>
      </w:r>
    </w:p>
    <w:p w14:paraId="3690CCA1">
      <w:pPr>
        <w:spacing w:before="360" w:after="160"/>
      </w:pPr>
      <w:r>
        <w:rPr>
          <w:rFonts w:ascii="黑体" w:hAnsi="黑体" w:eastAsia="黑体"/>
          <w:b/>
          <w:sz w:val="32"/>
        </w:rPr>
        <w:t>一、项目概述</w:t>
      </w:r>
    </w:p>
    <w:p w14:paraId="39D52D50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数字图像处理教学平台是一套面向高校数字图像处理课程的AI赋能交互式教学系统。平台以DeepSeek大语言模型为智能引擎，围绕冈萨雷斯《数字图像处理》第四版教材体系，构建了覆盖全部12章教学内容、78个实时交互式图像处理操作、13类客观量化分析指标、12组多通道并行对比方案和7维度教学数据中台的完整教学支撑体系。</w:t>
      </w:r>
    </w:p>
    <w:p w14:paraId="745AF6F2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核心设计理念是将人工智能能力深度嵌入教学全流程，构建“AI主动分析—AI错误引导—AI对话助手”三层递进式智能引导体系，实现“参数—结果—指标—分析”四位一体实时联动，推动课堂教学从经验驱动向数据驱动转型。</w:t>
      </w:r>
    </w:p>
    <w:p w14:paraId="43C80621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平台已通过容器化架构部署于公网（https://dip.likangle.top），采用Docker Compose双容器编排与Cloudflare Tunnel内网穿透方案，实现无需公网IP的轻量化互联网访问，具备良好的可复制性与推广价值。</w:t>
      </w:r>
    </w:p>
    <w:p w14:paraId="588237AC">
      <w:pPr>
        <w:spacing w:before="360" w:after="160"/>
      </w:pPr>
      <w:r>
        <w:rPr>
          <w:rFonts w:ascii="黑体" w:hAnsi="黑体" w:eastAsia="黑体"/>
          <w:b/>
          <w:sz w:val="32"/>
        </w:rPr>
        <w:t>二、总体架构设计</w:t>
      </w:r>
    </w:p>
    <w:p w14:paraId="0F7F8F5C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平台采用经典分层架构，自上而下分为表现层、应用层、服务层、数据层四层，各层职责清晰、解耦独立，整体架构如下：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02FEE6D7">
        <w:trPr>
          <w:jc w:val="center"/>
        </w:trPr>
        <w:tc>
          <w:tcPr>
            <w:tcW w:w="9066" w:type="dxa"/>
            <w:shd w:val="clear" w:color="auto" w:fill="D9E2F3"/>
            <w:vAlign w:val="center"/>
          </w:tcPr>
          <w:p w14:paraId="1EA5D7B1">
            <w:pPr>
              <w:spacing w:before="40" w:after="40" w:line="288" w:lineRule="auto"/>
              <w:jc w:val="center"/>
            </w:pPr>
            <w:r>
              <w:rPr>
                <w:rFonts w:ascii="仿宋" w:hAnsi="仿宋" w:eastAsia="仿宋"/>
                <w:b w:val="0"/>
                <w:sz w:val="22"/>
              </w:rPr>
              <w:t>表现层（前端）</w:t>
            </w:r>
            <w:r>
              <w:rPr>
                <w:rFonts w:ascii="仿宋" w:hAnsi="仿宋" w:eastAsia="仿宋"/>
                <w:b w:val="0"/>
                <w:sz w:val="22"/>
              </w:rPr>
              <w:br w:type="textWrapping"/>
            </w:r>
            <w:r>
              <w:rPr>
                <w:rFonts w:ascii="仿宋" w:hAnsi="仿宋" w:eastAsia="仿宋"/>
                <w:b w:val="0"/>
                <w:sz w:val="22"/>
              </w:rPr>
              <w:t>原生 HTML / CSS / JavaScript + marked.js 渲染</w:t>
            </w:r>
          </w:p>
        </w:tc>
      </w:tr>
    </w:tbl>
    <w:p w14:paraId="0139892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40CDACD8">
        <w:trPr>
          <w:jc w:val="center"/>
        </w:trPr>
        <w:tc>
          <w:tcPr>
            <w:tcW w:w="9066" w:type="dxa"/>
            <w:shd w:val="clear" w:color="auto" w:fill="E2EFDA"/>
            <w:vAlign w:val="center"/>
          </w:tcPr>
          <w:p w14:paraId="54914E08">
            <w:pPr>
              <w:spacing w:before="40" w:after="40" w:line="288" w:lineRule="auto"/>
              <w:jc w:val="center"/>
            </w:pPr>
            <w:r>
              <w:rPr>
                <w:rFonts w:ascii="仿宋" w:hAnsi="仿宋" w:eastAsia="仿宋"/>
                <w:b w:val="0"/>
                <w:sz w:val="22"/>
              </w:rPr>
              <w:t>应用层（业务逻辑）</w:t>
            </w:r>
            <w:r>
              <w:rPr>
                <w:rFonts w:ascii="仿宋" w:hAnsi="仿宋" w:eastAsia="仿宋"/>
                <w:b w:val="0"/>
                <w:sz w:val="22"/>
              </w:rPr>
              <w:br w:type="textWrapping"/>
            </w:r>
            <w:r>
              <w:rPr>
                <w:rFonts w:ascii="仿宋" w:hAnsi="仿宋" w:eastAsia="仿宋"/>
                <w:b w:val="0"/>
                <w:sz w:val="22"/>
              </w:rPr>
              <w:t>Flask 路由：图像处理 / 量化分析 / 多通道对比 / 数据中台 / 讨论社区 / 理论教学</w:t>
            </w:r>
          </w:p>
        </w:tc>
      </w:tr>
    </w:tbl>
    <w:p w14:paraId="7C5FA1C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5716B8C4">
        <w:trPr>
          <w:jc w:val="center"/>
        </w:trPr>
        <w:tc>
          <w:tcPr>
            <w:tcW w:w="9066" w:type="dxa"/>
            <w:shd w:val="clear" w:color="auto" w:fill="FCE4D6"/>
            <w:vAlign w:val="center"/>
          </w:tcPr>
          <w:p w14:paraId="072E415D">
            <w:pPr>
              <w:spacing w:before="40" w:after="40" w:line="288" w:lineRule="auto"/>
              <w:jc w:val="center"/>
            </w:pPr>
            <w:r>
              <w:rPr>
                <w:rFonts w:ascii="仿宋" w:hAnsi="仿宋" w:eastAsia="仿宋"/>
                <w:b w:val="0"/>
                <w:sz w:val="22"/>
              </w:rPr>
              <w:t>服务层（能力支撑）</w:t>
            </w:r>
            <w:r>
              <w:rPr>
                <w:rFonts w:ascii="仿宋" w:hAnsi="仿宋" w:eastAsia="仿宋"/>
                <w:b w:val="0"/>
                <w:sz w:val="22"/>
              </w:rPr>
              <w:br w:type="textWrapping"/>
            </w:r>
            <w:r>
              <w:rPr>
                <w:rFonts w:ascii="仿宋" w:hAnsi="仿宋" w:eastAsia="仿宋"/>
                <w:b w:val="0"/>
                <w:sz w:val="22"/>
              </w:rPr>
              <w:t>OpenCV 图像处理引擎 · DeepSeek 大模型 API · 量化指标计算引擎</w:t>
            </w:r>
          </w:p>
        </w:tc>
      </w:tr>
    </w:tbl>
    <w:p w14:paraId="5BD987E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14B3B2D0">
        <w:trPr>
          <w:jc w:val="center"/>
        </w:trPr>
        <w:tc>
          <w:tcPr>
            <w:tcW w:w="9066" w:type="dxa"/>
            <w:shd w:val="clear" w:color="auto" w:fill="EDEDED"/>
            <w:vAlign w:val="center"/>
          </w:tcPr>
          <w:p w14:paraId="6F687619">
            <w:pPr>
              <w:spacing w:before="40" w:after="40" w:line="288" w:lineRule="auto"/>
              <w:jc w:val="center"/>
            </w:pPr>
            <w:r>
              <w:rPr>
                <w:rFonts w:ascii="仿宋" w:hAnsi="仿宋" w:eastAsia="仿宋"/>
                <w:b w:val="0"/>
                <w:sz w:val="22"/>
              </w:rPr>
              <w:t>数据层（存储）</w:t>
            </w:r>
            <w:r>
              <w:rPr>
                <w:rFonts w:ascii="仿宋" w:hAnsi="仿宋" w:eastAsia="仿宋"/>
                <w:b w:val="0"/>
                <w:sz w:val="22"/>
              </w:rPr>
              <w:br w:type="textWrapping"/>
            </w:r>
            <w:r>
              <w:rPr>
                <w:rFonts w:ascii="仿宋" w:hAnsi="仿宋" w:eastAsia="仿宋"/>
                <w:b w:val="0"/>
                <w:sz w:val="22"/>
              </w:rPr>
              <w:t>SQLite（WAL模式）· 文件存储（images/）· 教学资源（ppt/）</w:t>
            </w:r>
          </w:p>
        </w:tc>
      </w:tr>
    </w:tbl>
    <w:p w14:paraId="4E1A9FA9"/>
    <w:p w14:paraId="6E6A134D">
      <w:pPr>
        <w:spacing w:before="240" w:after="120"/>
      </w:pPr>
      <w:r>
        <w:rPr>
          <w:rFonts w:ascii="楷体" w:hAnsi="楷体" w:eastAsia="楷体"/>
          <w:b/>
          <w:sz w:val="28"/>
        </w:rPr>
        <w:t>2.1 分层职责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685"/>
      </w:tblGrid>
      <w:tr w14:paraId="7AC6D451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30D009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层级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0DB2ACF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职责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09C0540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关键技术</w:t>
            </w:r>
          </w:p>
        </w:tc>
      </w:tr>
      <w:tr w14:paraId="08AB315C">
        <w:trPr>
          <w:jc w:val="center"/>
        </w:trPr>
        <w:tc>
          <w:tcPr>
            <w:tcW w:w="1417" w:type="dxa"/>
            <w:vAlign w:val="center"/>
          </w:tcPr>
          <w:p w14:paraId="5B1E9C9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表现层</w:t>
            </w:r>
          </w:p>
        </w:tc>
        <w:tc>
          <w:tcPr>
            <w:tcW w:w="3969" w:type="dxa"/>
            <w:vAlign w:val="center"/>
          </w:tcPr>
          <w:p w14:paraId="23A6A55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用户交互、图像展示、AI对话界面、数据可视化</w:t>
            </w:r>
          </w:p>
        </w:tc>
        <w:tc>
          <w:tcPr>
            <w:tcW w:w="3685" w:type="dxa"/>
            <w:vAlign w:val="center"/>
          </w:tcPr>
          <w:p w14:paraId="38FB5524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HTML/CSS/JS、marked.js、SSE</w:t>
            </w:r>
          </w:p>
        </w:tc>
      </w:tr>
      <w:tr w14:paraId="12E325D5">
        <w:trPr>
          <w:jc w:val="center"/>
        </w:trPr>
        <w:tc>
          <w:tcPr>
            <w:tcW w:w="1417" w:type="dxa"/>
            <w:vAlign w:val="center"/>
          </w:tcPr>
          <w:p w14:paraId="5AF9225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应用层</w:t>
            </w:r>
          </w:p>
        </w:tc>
        <w:tc>
          <w:tcPr>
            <w:tcW w:w="3969" w:type="dxa"/>
            <w:vAlign w:val="center"/>
          </w:tcPr>
          <w:p w14:paraId="440D8E9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业务路由、权限控制、教学流程编排</w:t>
            </w:r>
          </w:p>
        </w:tc>
        <w:tc>
          <w:tcPr>
            <w:tcW w:w="3685" w:type="dxa"/>
            <w:vAlign w:val="center"/>
          </w:tcPr>
          <w:p w14:paraId="5420F2E1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Flask、Jinja2、Gunicorn</w:t>
            </w:r>
          </w:p>
        </w:tc>
      </w:tr>
      <w:tr w14:paraId="1C62253C">
        <w:trPr>
          <w:jc w:val="center"/>
        </w:trPr>
        <w:tc>
          <w:tcPr>
            <w:tcW w:w="1417" w:type="dxa"/>
            <w:vAlign w:val="center"/>
          </w:tcPr>
          <w:p w14:paraId="145A8DA1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服务层</w:t>
            </w:r>
          </w:p>
        </w:tc>
        <w:tc>
          <w:tcPr>
            <w:tcW w:w="3969" w:type="dxa"/>
            <w:vAlign w:val="center"/>
          </w:tcPr>
          <w:p w14:paraId="0991C4D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图像算法执行、AI分析生成、量化指标计算</w:t>
            </w:r>
          </w:p>
        </w:tc>
        <w:tc>
          <w:tcPr>
            <w:tcW w:w="3685" w:type="dxa"/>
            <w:vAlign w:val="center"/>
          </w:tcPr>
          <w:p w14:paraId="185E6424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OpenCV、DeepSeek API、NumPy</w:t>
            </w:r>
          </w:p>
        </w:tc>
      </w:tr>
      <w:tr w14:paraId="7658956A">
        <w:trPr>
          <w:jc w:val="center"/>
        </w:trPr>
        <w:tc>
          <w:tcPr>
            <w:tcW w:w="1417" w:type="dxa"/>
            <w:vAlign w:val="center"/>
          </w:tcPr>
          <w:p w14:paraId="1B72CA71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数据层</w:t>
            </w:r>
          </w:p>
        </w:tc>
        <w:tc>
          <w:tcPr>
            <w:tcW w:w="3969" w:type="dxa"/>
            <w:vAlign w:val="center"/>
          </w:tcPr>
          <w:p w14:paraId="3B64A75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用户/操作/分析数据持久化、文件资源管理</w:t>
            </w:r>
          </w:p>
        </w:tc>
        <w:tc>
          <w:tcPr>
            <w:tcW w:w="3685" w:type="dxa"/>
            <w:vAlign w:val="center"/>
          </w:tcPr>
          <w:p w14:paraId="14F11A5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SQLite、WAL模式、文件系统</w:t>
            </w:r>
          </w:p>
        </w:tc>
      </w:tr>
    </w:tbl>
    <w:p w14:paraId="770EB2E6"/>
    <w:p w14:paraId="6317C8BD">
      <w:pPr>
        <w:spacing w:before="240" w:after="120"/>
      </w:pPr>
      <w:r>
        <w:rPr>
          <w:rFonts w:ascii="楷体" w:hAnsi="楷体" w:eastAsia="楷体"/>
          <w:b/>
          <w:sz w:val="28"/>
        </w:rPr>
        <w:t>2.2 架构特点</w:t>
      </w:r>
    </w:p>
    <w:p w14:paraId="620BB58A">
      <w:pPr>
        <w:spacing w:line="360" w:lineRule="auto"/>
        <w:ind w:left="480"/>
      </w:pPr>
      <w:r>
        <w:rPr>
          <w:rFonts w:ascii="仿宋" w:hAnsi="仿宋" w:eastAsia="仿宋"/>
          <w:sz w:val="24"/>
        </w:rPr>
        <w:t>轻量化：无前端框架、无消息队列、无独立缓存服务，单机即可完整运行；</w:t>
      </w:r>
    </w:p>
    <w:p w14:paraId="7E69A4BD">
      <w:pPr>
        <w:spacing w:line="360" w:lineRule="auto"/>
        <w:ind w:left="480"/>
      </w:pPr>
      <w:r>
        <w:rPr>
          <w:rFonts w:ascii="仿宋" w:hAnsi="仿宋" w:eastAsia="仿宋"/>
          <w:sz w:val="24"/>
        </w:rPr>
        <w:t>AI解耦：大模型能力通过API层隔离，可平滑替换不同模型服务；</w:t>
      </w:r>
    </w:p>
    <w:p w14:paraId="05C184C3">
      <w:pPr>
        <w:spacing w:line="360" w:lineRule="auto"/>
        <w:ind w:left="480"/>
      </w:pPr>
      <w:r>
        <w:rPr>
          <w:rFonts w:ascii="仿宋" w:hAnsi="仿宋" w:eastAsia="仿宋"/>
          <w:sz w:val="24"/>
        </w:rPr>
        <w:t>数据闭环：操作日志→量化指标→AI分析→数据中台，形成完整教学数据链路；</w:t>
      </w:r>
    </w:p>
    <w:p w14:paraId="2BE3D388">
      <w:pPr>
        <w:spacing w:line="360" w:lineRule="auto"/>
        <w:ind w:left="480"/>
      </w:pPr>
      <w:r>
        <w:rPr>
          <w:rFonts w:ascii="仿宋" w:hAnsi="仿宋" w:eastAsia="仿宋"/>
          <w:sz w:val="24"/>
        </w:rPr>
        <w:t>部署极简：双容器编排，零公网IP即可上线，非专业运维人员可独立维护。</w:t>
      </w:r>
    </w:p>
    <w:p w14:paraId="07775CFA">
      <w:pPr>
        <w:spacing w:before="360" w:after="160"/>
      </w:pPr>
      <w:r>
        <w:rPr>
          <w:rFonts w:ascii="黑体" w:hAnsi="黑体" w:eastAsia="黑体"/>
          <w:b/>
          <w:sz w:val="32"/>
        </w:rPr>
        <w:t>三、技术选型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4252"/>
      </w:tblGrid>
      <w:tr w14:paraId="388D989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FD2F05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层级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E2BB49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技术选型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4263AC1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选型理由</w:t>
            </w:r>
          </w:p>
        </w:tc>
      </w:tr>
      <w:tr w14:paraId="434FDFA8">
        <w:trPr>
          <w:jc w:val="center"/>
        </w:trPr>
        <w:tc>
          <w:tcPr>
            <w:tcW w:w="1417" w:type="dxa"/>
            <w:vAlign w:val="center"/>
          </w:tcPr>
          <w:p w14:paraId="64E2107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后端框架</w:t>
            </w:r>
          </w:p>
        </w:tc>
        <w:tc>
          <w:tcPr>
            <w:tcW w:w="3402" w:type="dxa"/>
            <w:vAlign w:val="center"/>
          </w:tcPr>
          <w:p w14:paraId="7374292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Python Flask + Gunicorn</w:t>
            </w:r>
          </w:p>
        </w:tc>
        <w:tc>
          <w:tcPr>
            <w:tcW w:w="4252" w:type="dxa"/>
            <w:vAlign w:val="center"/>
          </w:tcPr>
          <w:p w14:paraId="7698A0E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轻量灵活，生态成熟，适合教学平台快速迭代</w:t>
            </w:r>
          </w:p>
        </w:tc>
      </w:tr>
      <w:tr w14:paraId="133B24C9">
        <w:trPr>
          <w:jc w:val="center"/>
        </w:trPr>
        <w:tc>
          <w:tcPr>
            <w:tcW w:w="1417" w:type="dxa"/>
            <w:vAlign w:val="center"/>
          </w:tcPr>
          <w:p w14:paraId="7607E08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图像处理</w:t>
            </w:r>
          </w:p>
        </w:tc>
        <w:tc>
          <w:tcPr>
            <w:tcW w:w="3402" w:type="dxa"/>
            <w:vAlign w:val="center"/>
          </w:tcPr>
          <w:p w14:paraId="70A01B8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OpenCV + NumPy + Pillow</w:t>
            </w:r>
          </w:p>
        </w:tc>
        <w:tc>
          <w:tcPr>
            <w:tcW w:w="4252" w:type="dxa"/>
            <w:vAlign w:val="center"/>
          </w:tcPr>
          <w:p w14:paraId="2CF8ADD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工业级图像算法库，覆盖课程全部算法需求</w:t>
            </w:r>
          </w:p>
        </w:tc>
      </w:tr>
      <w:tr w14:paraId="2BC1FC4E">
        <w:trPr>
          <w:jc w:val="center"/>
        </w:trPr>
        <w:tc>
          <w:tcPr>
            <w:tcW w:w="1417" w:type="dxa"/>
            <w:vAlign w:val="center"/>
          </w:tcPr>
          <w:p w14:paraId="7ABAE59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前端</w:t>
            </w:r>
          </w:p>
        </w:tc>
        <w:tc>
          <w:tcPr>
            <w:tcW w:w="3402" w:type="dxa"/>
            <w:vAlign w:val="center"/>
          </w:tcPr>
          <w:p w14:paraId="6899890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原生 HTML/CSS/JS + marked.js</w:t>
            </w:r>
          </w:p>
        </w:tc>
        <w:tc>
          <w:tcPr>
            <w:tcW w:w="4252" w:type="dxa"/>
            <w:vAlign w:val="center"/>
          </w:tcPr>
          <w:p w14:paraId="136FADE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零框架依赖，加载快，便于学生阅读源码</w:t>
            </w:r>
          </w:p>
        </w:tc>
      </w:tr>
      <w:tr w14:paraId="07A68564">
        <w:trPr>
          <w:jc w:val="center"/>
        </w:trPr>
        <w:tc>
          <w:tcPr>
            <w:tcW w:w="1417" w:type="dxa"/>
            <w:vAlign w:val="center"/>
          </w:tcPr>
          <w:p w14:paraId="241E0797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数据库</w:t>
            </w:r>
          </w:p>
        </w:tc>
        <w:tc>
          <w:tcPr>
            <w:tcW w:w="3402" w:type="dxa"/>
            <w:vAlign w:val="center"/>
          </w:tcPr>
          <w:p w14:paraId="7FB72104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SQLite（WAL模式）</w:t>
            </w:r>
          </w:p>
        </w:tc>
        <w:tc>
          <w:tcPr>
            <w:tcW w:w="4252" w:type="dxa"/>
            <w:vAlign w:val="center"/>
          </w:tcPr>
          <w:p w14:paraId="5DE95AC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文件型零运维，WAL提升并发读写性能</w:t>
            </w:r>
          </w:p>
        </w:tc>
      </w:tr>
      <w:tr w14:paraId="1AE528C1">
        <w:trPr>
          <w:jc w:val="center"/>
        </w:trPr>
        <w:tc>
          <w:tcPr>
            <w:tcW w:w="1417" w:type="dxa"/>
            <w:vAlign w:val="center"/>
          </w:tcPr>
          <w:p w14:paraId="09B311C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AI引擎</w:t>
            </w:r>
          </w:p>
        </w:tc>
        <w:tc>
          <w:tcPr>
            <w:tcW w:w="3402" w:type="dxa"/>
            <w:vAlign w:val="center"/>
          </w:tcPr>
          <w:p w14:paraId="0DA3199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DeepSeek API（deepseek-chat）</w:t>
            </w:r>
          </w:p>
        </w:tc>
        <w:tc>
          <w:tcPr>
            <w:tcW w:w="4252" w:type="dxa"/>
            <w:vAlign w:val="center"/>
          </w:tcPr>
          <w:p w14:paraId="6A2FB8C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中文能力强、成本低，OpenAI兼容接口</w:t>
            </w:r>
          </w:p>
        </w:tc>
      </w:tr>
      <w:tr w14:paraId="4663EEBE">
        <w:trPr>
          <w:jc w:val="center"/>
        </w:trPr>
        <w:tc>
          <w:tcPr>
            <w:tcW w:w="1417" w:type="dxa"/>
            <w:vAlign w:val="center"/>
          </w:tcPr>
          <w:p w14:paraId="3D78B121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部署</w:t>
            </w:r>
          </w:p>
        </w:tc>
        <w:tc>
          <w:tcPr>
            <w:tcW w:w="3402" w:type="dxa"/>
            <w:vAlign w:val="center"/>
          </w:tcPr>
          <w:p w14:paraId="0C13AAF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Docker + Docker Compose + Cloudflare Tunnel</w:t>
            </w:r>
          </w:p>
        </w:tc>
        <w:tc>
          <w:tcPr>
            <w:tcW w:w="4252" w:type="dxa"/>
            <w:vAlign w:val="center"/>
          </w:tcPr>
          <w:p w14:paraId="1BDED9D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容器化隔离，内网穿透免公网IP</w:t>
            </w:r>
          </w:p>
        </w:tc>
      </w:tr>
    </w:tbl>
    <w:p w14:paraId="52FB7638"/>
    <w:p w14:paraId="4BEDFBB5">
      <w:pPr>
        <w:spacing w:before="240" w:after="120"/>
      </w:pPr>
      <w:r>
        <w:rPr>
          <w:rFonts w:ascii="楷体" w:hAnsi="楷体" w:eastAsia="楷体"/>
          <w:b/>
          <w:sz w:val="28"/>
        </w:rPr>
        <w:t>3.1 关键依赖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984"/>
        <w:gridCol w:w="4252"/>
      </w:tblGrid>
      <w:tr w14:paraId="15CD5963"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4369920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依赖包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2D02A4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版本要求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0C77B3E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用途</w:t>
            </w:r>
          </w:p>
        </w:tc>
      </w:tr>
      <w:tr w14:paraId="5BAF6064">
        <w:trPr>
          <w:jc w:val="center"/>
        </w:trPr>
        <w:tc>
          <w:tcPr>
            <w:tcW w:w="2835" w:type="dxa"/>
            <w:vAlign w:val="center"/>
          </w:tcPr>
          <w:p w14:paraId="2AD21A7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flask</w:t>
            </w:r>
          </w:p>
        </w:tc>
        <w:tc>
          <w:tcPr>
            <w:tcW w:w="1984" w:type="dxa"/>
            <w:vAlign w:val="center"/>
          </w:tcPr>
          <w:p w14:paraId="2A4A72A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&gt;=2.0</w:t>
            </w:r>
          </w:p>
        </w:tc>
        <w:tc>
          <w:tcPr>
            <w:tcW w:w="4252" w:type="dxa"/>
            <w:vAlign w:val="center"/>
          </w:tcPr>
          <w:p w14:paraId="47531B9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Web框架</w:t>
            </w:r>
          </w:p>
        </w:tc>
      </w:tr>
      <w:tr w14:paraId="2281258B">
        <w:trPr>
          <w:jc w:val="center"/>
        </w:trPr>
        <w:tc>
          <w:tcPr>
            <w:tcW w:w="2835" w:type="dxa"/>
            <w:vAlign w:val="center"/>
          </w:tcPr>
          <w:p w14:paraId="0B380457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werkzeug</w:t>
            </w:r>
          </w:p>
        </w:tc>
        <w:tc>
          <w:tcPr>
            <w:tcW w:w="1984" w:type="dxa"/>
            <w:vAlign w:val="center"/>
          </w:tcPr>
          <w:p w14:paraId="59B6BB7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&gt;=2.0</w:t>
            </w:r>
          </w:p>
        </w:tc>
        <w:tc>
          <w:tcPr>
            <w:tcW w:w="4252" w:type="dxa"/>
            <w:vAlign w:val="center"/>
          </w:tcPr>
          <w:p w14:paraId="04C3C21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WSGI工具集</w:t>
            </w:r>
          </w:p>
        </w:tc>
      </w:tr>
      <w:tr w14:paraId="11CC12D3">
        <w:trPr>
          <w:jc w:val="center"/>
        </w:trPr>
        <w:tc>
          <w:tcPr>
            <w:tcW w:w="2835" w:type="dxa"/>
            <w:vAlign w:val="center"/>
          </w:tcPr>
          <w:p w14:paraId="5A7960A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gunicorn</w:t>
            </w:r>
          </w:p>
        </w:tc>
        <w:tc>
          <w:tcPr>
            <w:tcW w:w="1984" w:type="dxa"/>
            <w:vAlign w:val="center"/>
          </w:tcPr>
          <w:p w14:paraId="19FDBC5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&gt;=21.2</w:t>
            </w:r>
          </w:p>
        </w:tc>
        <w:tc>
          <w:tcPr>
            <w:tcW w:w="4252" w:type="dxa"/>
            <w:vAlign w:val="center"/>
          </w:tcPr>
          <w:p w14:paraId="7187789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生产级WSGI服务器</w:t>
            </w:r>
          </w:p>
        </w:tc>
      </w:tr>
      <w:tr w14:paraId="055750F0">
        <w:trPr>
          <w:jc w:val="center"/>
        </w:trPr>
        <w:tc>
          <w:tcPr>
            <w:tcW w:w="2835" w:type="dxa"/>
            <w:vAlign w:val="center"/>
          </w:tcPr>
          <w:p w14:paraId="257EEEF1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opencv-python</w:t>
            </w:r>
          </w:p>
        </w:tc>
        <w:tc>
          <w:tcPr>
            <w:tcW w:w="1984" w:type="dxa"/>
            <w:vAlign w:val="center"/>
          </w:tcPr>
          <w:p w14:paraId="6CE53F7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&gt;=4.5</w:t>
            </w:r>
          </w:p>
        </w:tc>
        <w:tc>
          <w:tcPr>
            <w:tcW w:w="4252" w:type="dxa"/>
            <w:vAlign w:val="center"/>
          </w:tcPr>
          <w:p w14:paraId="204F208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图像处理算法</w:t>
            </w:r>
          </w:p>
        </w:tc>
      </w:tr>
      <w:tr w14:paraId="61B5BC71">
        <w:trPr>
          <w:jc w:val="center"/>
        </w:trPr>
        <w:tc>
          <w:tcPr>
            <w:tcW w:w="2835" w:type="dxa"/>
            <w:vAlign w:val="center"/>
          </w:tcPr>
          <w:p w14:paraId="46AA5FE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opencv-contrib-python</w:t>
            </w:r>
          </w:p>
        </w:tc>
        <w:tc>
          <w:tcPr>
            <w:tcW w:w="1984" w:type="dxa"/>
            <w:vAlign w:val="center"/>
          </w:tcPr>
          <w:p w14:paraId="1917D52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&gt;=4.5</w:t>
            </w:r>
          </w:p>
        </w:tc>
        <w:tc>
          <w:tcPr>
            <w:tcW w:w="4252" w:type="dxa"/>
            <w:vAlign w:val="center"/>
          </w:tcPr>
          <w:p w14:paraId="495C955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扩展算法（SIFT等）</w:t>
            </w:r>
          </w:p>
        </w:tc>
      </w:tr>
      <w:tr w14:paraId="72E6BFB0">
        <w:trPr>
          <w:jc w:val="center"/>
        </w:trPr>
        <w:tc>
          <w:tcPr>
            <w:tcW w:w="2835" w:type="dxa"/>
            <w:vAlign w:val="center"/>
          </w:tcPr>
          <w:p w14:paraId="5D741FB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numpy</w:t>
            </w:r>
          </w:p>
        </w:tc>
        <w:tc>
          <w:tcPr>
            <w:tcW w:w="1984" w:type="dxa"/>
            <w:vAlign w:val="center"/>
          </w:tcPr>
          <w:p w14:paraId="05E14C2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&gt;=1.21</w:t>
            </w:r>
          </w:p>
        </w:tc>
        <w:tc>
          <w:tcPr>
            <w:tcW w:w="4252" w:type="dxa"/>
            <w:vAlign w:val="center"/>
          </w:tcPr>
          <w:p w14:paraId="3C01E68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数值计算</w:t>
            </w:r>
          </w:p>
        </w:tc>
      </w:tr>
      <w:tr w14:paraId="0E0BFB74">
        <w:trPr>
          <w:jc w:val="center"/>
        </w:trPr>
        <w:tc>
          <w:tcPr>
            <w:tcW w:w="2835" w:type="dxa"/>
            <w:vAlign w:val="center"/>
          </w:tcPr>
          <w:p w14:paraId="0D91575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Pillow</w:t>
            </w:r>
          </w:p>
        </w:tc>
        <w:tc>
          <w:tcPr>
            <w:tcW w:w="1984" w:type="dxa"/>
            <w:vAlign w:val="center"/>
          </w:tcPr>
          <w:p w14:paraId="2EDA8C3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&gt;=9.0</w:t>
            </w:r>
          </w:p>
        </w:tc>
        <w:tc>
          <w:tcPr>
            <w:tcW w:w="4252" w:type="dxa"/>
            <w:vAlign w:val="center"/>
          </w:tcPr>
          <w:p w14:paraId="302B61E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图像文件处理</w:t>
            </w:r>
          </w:p>
        </w:tc>
      </w:tr>
      <w:tr w14:paraId="3182A381">
        <w:trPr>
          <w:jc w:val="center"/>
        </w:trPr>
        <w:tc>
          <w:tcPr>
            <w:tcW w:w="2835" w:type="dxa"/>
            <w:vAlign w:val="center"/>
          </w:tcPr>
          <w:p w14:paraId="776412A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requests</w:t>
            </w:r>
          </w:p>
        </w:tc>
        <w:tc>
          <w:tcPr>
            <w:tcW w:w="1984" w:type="dxa"/>
            <w:vAlign w:val="center"/>
          </w:tcPr>
          <w:p w14:paraId="69F7715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&gt;=2.25</w:t>
            </w:r>
          </w:p>
        </w:tc>
        <w:tc>
          <w:tcPr>
            <w:tcW w:w="4252" w:type="dxa"/>
            <w:vAlign w:val="center"/>
          </w:tcPr>
          <w:p w14:paraId="5AC475C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大模型API调用</w:t>
            </w:r>
          </w:p>
        </w:tc>
      </w:tr>
    </w:tbl>
    <w:p w14:paraId="43CE7FBE"/>
    <w:p w14:paraId="1D91D644">
      <w:pPr>
        <w:spacing w:before="360" w:after="160"/>
      </w:pPr>
      <w:r>
        <w:rPr>
          <w:rFonts w:ascii="黑体" w:hAnsi="黑体" w:eastAsia="黑体"/>
          <w:b/>
          <w:sz w:val="32"/>
        </w:rPr>
        <w:t>四、核心功能模块</w:t>
      </w:r>
    </w:p>
    <w:p w14:paraId="74C3368B">
      <w:pPr>
        <w:spacing w:before="240" w:after="120"/>
      </w:pPr>
      <w:r>
        <w:rPr>
          <w:rFonts w:ascii="楷体" w:hAnsi="楷体" w:eastAsia="楷体"/>
          <w:b/>
          <w:sz w:val="28"/>
        </w:rPr>
        <w:t>4.1 交互式图像处理引擎</w:t>
      </w:r>
    </w:p>
    <w:p w14:paraId="00B38829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内置78个实时交互式图像处理操作，其中12章基础操作66个、综合工程案例12个。基础操作覆盖采样量化、灰度变换、空间/频率域滤波、图像复原、彩色处理、小波变换、图像压缩、形态学处理、图像分割、特征提取、目标检测等课程核心模块；工程案例涵盖遥感采样分析、文档几何校正、零件缺陷检测、CT去噪、老照片复原、航拍色彩增强、多分辨率融合、JPEG压缩优化、PCB缺陷检测、遥感水体提取、零件分类识别、交通标志检测等真实应用场景。</w:t>
      </w:r>
    </w:p>
    <w:p w14:paraId="1B5A38B8">
      <w:pPr>
        <w:spacing w:before="240" w:after="120"/>
      </w:pPr>
      <w:r>
        <w:rPr>
          <w:rFonts w:ascii="楷体" w:hAnsi="楷体" w:eastAsia="楷体"/>
          <w:b/>
          <w:sz w:val="28"/>
        </w:rPr>
        <w:t>4.2 量化指标分析引擎</w:t>
      </w:r>
    </w:p>
    <w:p w14:paraId="14C0572C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实现13类客观量化分析指标：均值、标准差、RMS对比度、信息熵、拉普拉斯方差（锐度）、PSNR、MSE、MAE、Canny边缘密度、Sobel梯度幅值均值、直方图Bhattacharyya距离与KL散度、连通域数量、频谱高频能量比。系统按操作类型（去噪/噪声/边缘）自动匹配专项分析，输出“基础指标对比→专项分析→理论依据→参数优化建议”四段式报告。</w:t>
      </w:r>
    </w:p>
    <w:p w14:paraId="5D71D6D3">
      <w:pPr>
        <w:spacing w:before="240" w:after="120"/>
      </w:pPr>
      <w:r>
        <w:rPr>
          <w:rFonts w:ascii="楷体" w:hAnsi="楷体" w:eastAsia="楷体"/>
          <w:b/>
          <w:sz w:val="28"/>
        </w:rPr>
        <w:t>4.3 多通道并行对比</w:t>
      </w:r>
    </w:p>
    <w:p w14:paraId="0517894B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平台定义12组多通道对比方案，覆盖第3至12章核心算法专题，每组配置2至6个独立通道，前端并行调用处理接口实现批量执行，结果以网格布局同屏展示，配套代码面板支持Tab切换查看各算法实现。</w:t>
      </w:r>
    </w:p>
    <w:p w14:paraId="7A4E03B8">
      <w:pPr>
        <w:spacing w:before="240" w:after="120"/>
      </w:pPr>
      <w:r>
        <w:rPr>
          <w:rFonts w:ascii="楷体" w:hAnsi="楷体" w:eastAsia="楷体"/>
          <w:b/>
          <w:sz w:val="28"/>
        </w:rPr>
        <w:t>4.4 教学数据中台</w:t>
      </w:r>
    </w:p>
    <w:p w14:paraId="6EF343CC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数据中台提供7个维度的统计分析接口：总览（学生/班级/操作数/今日活跃）、操作统计、学生排名（含成功率）、错误分析（错误率）、学生详情、时间趋势、章节热力图。全部维度按班级或教师/管理员权限隔离，支撑精准学情诊断。</w:t>
      </w:r>
    </w:p>
    <w:p w14:paraId="7ED54219">
      <w:pPr>
        <w:spacing w:before="240" w:after="120"/>
      </w:pPr>
      <w:r>
        <w:rPr>
          <w:rFonts w:ascii="楷体" w:hAnsi="楷体" w:eastAsia="楷体"/>
          <w:b/>
          <w:sz w:val="28"/>
        </w:rPr>
        <w:t>4.5 理论教学库</w:t>
      </w:r>
    </w:p>
    <w:p w14:paraId="123AB0F5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平台建设三库分离的理论教学体系：数学公式库、算法步骤库、参数说明库，按操作ID返回结构化理论内容（概念定义/公式/步骤/参数），实现理论与实操联动教学。</w:t>
      </w:r>
    </w:p>
    <w:p w14:paraId="2C7039AF">
      <w:pPr>
        <w:spacing w:before="240" w:after="120"/>
      </w:pPr>
      <w:r>
        <w:rPr>
          <w:rFonts w:ascii="楷体" w:hAnsi="楷体" w:eastAsia="楷体"/>
          <w:b/>
          <w:sz w:val="28"/>
        </w:rPr>
        <w:t>4.6 讨论社区</w:t>
      </w:r>
    </w:p>
    <w:p w14:paraId="5B9A0BBC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平台提供章节级嵌套评论功能，支持发表、软删除、管理员评论日志分页筛选，构建师生异步交流的线上教学共同体。</w:t>
      </w:r>
    </w:p>
    <w:p w14:paraId="2C9B1022">
      <w:pPr>
        <w:spacing w:before="360" w:after="160"/>
      </w:pPr>
      <w:r>
        <w:rPr>
          <w:rFonts w:ascii="黑体" w:hAnsi="黑体" w:eastAsia="黑体"/>
          <w:b/>
          <w:sz w:val="32"/>
        </w:rPr>
        <w:t>五、数据库设计</w:t>
      </w:r>
    </w:p>
    <w:p w14:paraId="65559926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平台采用SQLite文件型数据库（WAL模式，开启外键约束），共6张核心数据表：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819"/>
        <w:gridCol w:w="2551"/>
      </w:tblGrid>
      <w:tr w14:paraId="719ED2F1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FAE912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表名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0256FD8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主要字段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2F92322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用途</w:t>
            </w:r>
          </w:p>
        </w:tc>
      </w:tr>
      <w:tr w14:paraId="14208CEC">
        <w:trPr>
          <w:jc w:val="center"/>
        </w:trPr>
        <w:tc>
          <w:tcPr>
            <w:tcW w:w="1701" w:type="dxa"/>
            <w:vAlign w:val="center"/>
          </w:tcPr>
          <w:p w14:paraId="1F8EA78A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users</w:t>
            </w:r>
          </w:p>
        </w:tc>
        <w:tc>
          <w:tcPr>
            <w:tcW w:w="4819" w:type="dxa"/>
            <w:vAlign w:val="center"/>
          </w:tcPr>
          <w:p w14:paraId="230DBF0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id, username(UNIQUE), password, role, student_id(UNIQUE), display_name, created_at</w:t>
            </w:r>
          </w:p>
        </w:tc>
        <w:tc>
          <w:tcPr>
            <w:tcW w:w="2551" w:type="dxa"/>
            <w:vAlign w:val="center"/>
          </w:tcPr>
          <w:p w14:paraId="75E7D801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用户与角色管理</w:t>
            </w:r>
          </w:p>
        </w:tc>
      </w:tr>
      <w:tr w14:paraId="3495B4DC">
        <w:trPr>
          <w:jc w:val="center"/>
        </w:trPr>
        <w:tc>
          <w:tcPr>
            <w:tcW w:w="1701" w:type="dxa"/>
            <w:vAlign w:val="center"/>
          </w:tcPr>
          <w:p w14:paraId="164C0937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classes</w:t>
            </w:r>
          </w:p>
        </w:tc>
        <w:tc>
          <w:tcPr>
            <w:tcW w:w="4819" w:type="dxa"/>
            <w:vAlign w:val="center"/>
          </w:tcPr>
          <w:p w14:paraId="4486FA1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id, name, teacher_id(FK), created_at</w:t>
            </w:r>
          </w:p>
        </w:tc>
        <w:tc>
          <w:tcPr>
            <w:tcW w:w="2551" w:type="dxa"/>
            <w:vAlign w:val="center"/>
          </w:tcPr>
          <w:p w14:paraId="08FDB1F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班级管理</w:t>
            </w:r>
          </w:p>
        </w:tc>
      </w:tr>
      <w:tr w14:paraId="46720A7C">
        <w:trPr>
          <w:jc w:val="center"/>
        </w:trPr>
        <w:tc>
          <w:tcPr>
            <w:tcW w:w="1701" w:type="dxa"/>
            <w:vAlign w:val="center"/>
          </w:tcPr>
          <w:p w14:paraId="5E0C3C5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class_students</w:t>
            </w:r>
          </w:p>
        </w:tc>
        <w:tc>
          <w:tcPr>
            <w:tcW w:w="4819" w:type="dxa"/>
            <w:vAlign w:val="center"/>
          </w:tcPr>
          <w:p w14:paraId="3017D83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id, class_id(FK), student_id(FK), UNIQUE(class_id, student_id)</w:t>
            </w:r>
          </w:p>
        </w:tc>
        <w:tc>
          <w:tcPr>
            <w:tcW w:w="2551" w:type="dxa"/>
            <w:vAlign w:val="center"/>
          </w:tcPr>
          <w:p w14:paraId="4DD42D3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班级学生关联</w:t>
            </w:r>
          </w:p>
        </w:tc>
      </w:tr>
      <w:tr w14:paraId="3CC8DF8E">
        <w:trPr>
          <w:jc w:val="center"/>
        </w:trPr>
        <w:tc>
          <w:tcPr>
            <w:tcW w:w="1701" w:type="dxa"/>
            <w:vAlign w:val="center"/>
          </w:tcPr>
          <w:p w14:paraId="337F7D7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operation_logs</w:t>
            </w:r>
          </w:p>
        </w:tc>
        <w:tc>
          <w:tcPr>
            <w:tcW w:w="4819" w:type="dxa"/>
            <w:vAlign w:val="center"/>
          </w:tcPr>
          <w:p w14:paraId="0FDB94C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id, user_id(FK), chapter_id, operation_id, operation_name, params_json, image_filename, result_type, error_msg, duration_ms, created_at</w:t>
            </w:r>
          </w:p>
        </w:tc>
        <w:tc>
          <w:tcPr>
            <w:tcW w:w="2551" w:type="dxa"/>
            <w:vAlign w:val="center"/>
          </w:tcPr>
          <w:p w14:paraId="5CABA9BA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操作行为日志</w:t>
            </w:r>
          </w:p>
        </w:tc>
      </w:tr>
      <w:tr w14:paraId="5E99AE1B">
        <w:trPr>
          <w:jc w:val="center"/>
        </w:trPr>
        <w:tc>
          <w:tcPr>
            <w:tcW w:w="1701" w:type="dxa"/>
            <w:vAlign w:val="center"/>
          </w:tcPr>
          <w:p w14:paraId="37D9B2A4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ai_analysis_logs</w:t>
            </w:r>
          </w:p>
        </w:tc>
        <w:tc>
          <w:tcPr>
            <w:tcW w:w="4819" w:type="dxa"/>
            <w:vAlign w:val="center"/>
          </w:tcPr>
          <w:p w14:paraId="06A093F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id, user_id(FK), operation_log_id(FK), analysis_content, created_at</w:t>
            </w:r>
          </w:p>
        </w:tc>
        <w:tc>
          <w:tcPr>
            <w:tcW w:w="2551" w:type="dxa"/>
            <w:vAlign w:val="center"/>
          </w:tcPr>
          <w:p w14:paraId="6E2C9E8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AI分析记录</w:t>
            </w:r>
          </w:p>
        </w:tc>
      </w:tr>
      <w:tr w14:paraId="20978E32">
        <w:trPr>
          <w:jc w:val="center"/>
        </w:trPr>
        <w:tc>
          <w:tcPr>
            <w:tcW w:w="1701" w:type="dxa"/>
            <w:vAlign w:val="center"/>
          </w:tcPr>
          <w:p w14:paraId="657EE4C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chapter_comments</w:t>
            </w:r>
          </w:p>
        </w:tc>
        <w:tc>
          <w:tcPr>
            <w:tcW w:w="4819" w:type="dxa"/>
            <w:vAlign w:val="center"/>
          </w:tcPr>
          <w:p w14:paraId="530A952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id, chapter_id, user_id(FK), content, parent_id(自引用FK), is_deleted, created_at</w:t>
            </w:r>
          </w:p>
        </w:tc>
        <w:tc>
          <w:tcPr>
            <w:tcW w:w="2551" w:type="dxa"/>
            <w:vAlign w:val="center"/>
          </w:tcPr>
          <w:p w14:paraId="3C114A8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章节讨论评论</w:t>
            </w:r>
          </w:p>
        </w:tc>
      </w:tr>
    </w:tbl>
    <w:p w14:paraId="015A3B15"/>
    <w:p w14:paraId="408E3074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数据表设计以操作日志为核心，完整记录学生每次操作的参数、结果、耗时与错误信息，为量化分析、AI引导与数据中台提供全量数据支撑。</w:t>
      </w:r>
    </w:p>
    <w:p w14:paraId="4A6CA452">
      <w:pPr>
        <w:spacing w:before="360" w:after="160"/>
      </w:pPr>
      <w:r>
        <w:rPr>
          <w:rFonts w:ascii="黑体" w:hAnsi="黑体" w:eastAsia="黑体"/>
          <w:b/>
          <w:sz w:val="32"/>
        </w:rPr>
        <w:t>六、AI能力集成</w:t>
      </w:r>
    </w:p>
    <w:p w14:paraId="375EE17F">
      <w:pPr>
        <w:spacing w:before="240" w:after="120"/>
      </w:pPr>
      <w:r>
        <w:rPr>
          <w:rFonts w:ascii="楷体" w:hAnsi="楷体" w:eastAsia="楷体"/>
          <w:b/>
          <w:sz w:val="28"/>
        </w:rPr>
        <w:t>6.1 集成架构</w:t>
      </w:r>
    </w:p>
    <w:p w14:paraId="653172E5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平台通过DeepSeek大模型API（OpenAI兼容接口）集成AI能力，API地址与密钥通过环境变量配置（DEEPSEEK_API_BASE / DEEPSEEK_API_KEY），模型采用deepseek-chat。系统提示词将AI定位为“数字图像处理教学平台AI学习助手”，参考教材为冈萨雷斯《数字图像处理》第四版，支持章节/小节/操作/结果概要的上下文感知。</w:t>
      </w:r>
    </w:p>
    <w:p w14:paraId="480AEAA8">
      <w:pPr>
        <w:spacing w:before="240" w:after="120"/>
      </w:pPr>
      <w:r>
        <w:rPr>
          <w:rFonts w:ascii="楷体" w:hAnsi="楷体" w:eastAsia="楷体"/>
          <w:b/>
          <w:sz w:val="28"/>
        </w:rPr>
        <w:t>6.2 三大AI应用场景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835"/>
        <w:gridCol w:w="3118"/>
      </w:tblGrid>
      <w:tr w14:paraId="677DA71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A1141F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场景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993449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触发时机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493F4B2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实现方式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64BB3C9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56B6F8E4">
        <w:trPr>
          <w:jc w:val="center"/>
        </w:trPr>
        <w:tc>
          <w:tcPr>
            <w:tcW w:w="1417" w:type="dxa"/>
            <w:vAlign w:val="center"/>
          </w:tcPr>
          <w:p w14:paraId="2F7C19B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主动分析</w:t>
            </w:r>
          </w:p>
        </w:tc>
        <w:tc>
          <w:tcPr>
            <w:tcW w:w="1701" w:type="dxa"/>
            <w:vAlign w:val="center"/>
          </w:tcPr>
          <w:p w14:paraId="48A41CF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操作成功</w:t>
            </w:r>
          </w:p>
        </w:tc>
        <w:tc>
          <w:tcPr>
            <w:tcW w:w="2835" w:type="dxa"/>
            <w:vAlign w:val="center"/>
          </w:tcPr>
          <w:p w14:paraId="3AB1A9F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非流式调用，基于量化指标生成</w:t>
            </w:r>
          </w:p>
        </w:tc>
        <w:tc>
          <w:tcPr>
            <w:tcW w:w="3118" w:type="dxa"/>
            <w:vAlign w:val="center"/>
          </w:tcPr>
          <w:p w14:paraId="08755AA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效果评价/参数分析/改进建议/知识推荐</w:t>
            </w:r>
          </w:p>
        </w:tc>
      </w:tr>
      <w:tr w14:paraId="2E2CF58E">
        <w:trPr>
          <w:jc w:val="center"/>
        </w:trPr>
        <w:tc>
          <w:tcPr>
            <w:tcW w:w="1417" w:type="dxa"/>
            <w:vAlign w:val="center"/>
          </w:tcPr>
          <w:p w14:paraId="64830E87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错误引导</w:t>
            </w:r>
          </w:p>
        </w:tc>
        <w:tc>
          <w:tcPr>
            <w:tcW w:w="1701" w:type="dxa"/>
            <w:vAlign w:val="center"/>
          </w:tcPr>
          <w:p w14:paraId="74263924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操作异常</w:t>
            </w:r>
          </w:p>
        </w:tc>
        <w:tc>
          <w:tcPr>
            <w:tcW w:w="2835" w:type="dxa"/>
            <w:vAlign w:val="center"/>
          </w:tcPr>
          <w:p w14:paraId="24EB966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错误中文化映射+AI生成</w:t>
            </w:r>
          </w:p>
        </w:tc>
        <w:tc>
          <w:tcPr>
            <w:tcW w:w="3118" w:type="dxa"/>
            <w:vAlign w:val="center"/>
          </w:tcPr>
          <w:p w14:paraId="2667BE9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问题诊断/操作建议/理论支撑</w:t>
            </w:r>
          </w:p>
        </w:tc>
      </w:tr>
      <w:tr w14:paraId="1D5097E6">
        <w:trPr>
          <w:jc w:val="center"/>
        </w:trPr>
        <w:tc>
          <w:tcPr>
            <w:tcW w:w="1417" w:type="dxa"/>
            <w:vAlign w:val="center"/>
          </w:tcPr>
          <w:p w14:paraId="733B0AF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对话助手</w:t>
            </w:r>
          </w:p>
        </w:tc>
        <w:tc>
          <w:tcPr>
            <w:tcW w:w="1701" w:type="dxa"/>
            <w:vAlign w:val="center"/>
          </w:tcPr>
          <w:p w14:paraId="2EB87097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随时提问</w:t>
            </w:r>
          </w:p>
        </w:tc>
        <w:tc>
          <w:tcPr>
            <w:tcW w:w="2835" w:type="dxa"/>
            <w:vAlign w:val="center"/>
          </w:tcPr>
          <w:p w14:paraId="6F01060A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SSE流式响应，保留最近10轮历史</w:t>
            </w:r>
          </w:p>
        </w:tc>
        <w:tc>
          <w:tcPr>
            <w:tcW w:w="3118" w:type="dxa"/>
            <w:vAlign w:val="center"/>
          </w:tcPr>
          <w:p w14:paraId="31F97B1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上下文感知的多轮智能问答</w:t>
            </w:r>
          </w:p>
        </w:tc>
      </w:tr>
    </w:tbl>
    <w:p w14:paraId="6F17FDB4"/>
    <w:p w14:paraId="2109AF19">
      <w:pPr>
        <w:spacing w:before="240" w:after="120"/>
      </w:pPr>
      <w:r>
        <w:rPr>
          <w:rFonts w:ascii="楷体" w:hAnsi="楷体" w:eastAsia="楷体"/>
          <w:b/>
          <w:sz w:val="28"/>
        </w:rPr>
        <w:t>6.3 工程化设计</w:t>
      </w:r>
    </w:p>
    <w:p w14:paraId="59C9554F">
      <w:pPr>
        <w:spacing w:line="360" w:lineRule="auto"/>
        <w:ind w:left="480"/>
      </w:pPr>
      <w:r>
        <w:rPr>
          <w:rFonts w:ascii="仿宋" w:hAnsi="仿宋" w:eastAsia="仿宋"/>
          <w:sz w:val="24"/>
        </w:rPr>
        <w:t>流式响应：对话接口采用SSE（text/event-stream）逐chunk转发，前端marked.js实时渲染；</w:t>
      </w:r>
    </w:p>
    <w:p w14:paraId="1E0095C2">
      <w:pPr>
        <w:spacing w:line="360" w:lineRule="auto"/>
        <w:ind w:left="480"/>
      </w:pPr>
      <w:r>
        <w:rPr>
          <w:rFonts w:ascii="仿宋" w:hAnsi="仿宋" w:eastAsia="仿宋"/>
          <w:sz w:val="24"/>
        </w:rPr>
        <w:t>缓存策略：主动分析采用MD5缓存，相同操作与参数组合不重复调用API，控制成本；</w:t>
      </w:r>
    </w:p>
    <w:p w14:paraId="0C43201D">
      <w:pPr>
        <w:spacing w:line="360" w:lineRule="auto"/>
        <w:ind w:left="480"/>
      </w:pPr>
      <w:r>
        <w:rPr>
          <w:rFonts w:ascii="仿宋" w:hAnsi="仿宋" w:eastAsia="仿宋"/>
          <w:sz w:val="24"/>
        </w:rPr>
        <w:t>超时控制：非流式调用设置15秒超时，保障教学场景响应稳定性；</w:t>
      </w:r>
    </w:p>
    <w:p w14:paraId="2F5CD44A">
      <w:pPr>
        <w:spacing w:line="360" w:lineRule="auto"/>
        <w:ind w:left="480"/>
      </w:pPr>
      <w:r>
        <w:rPr>
          <w:rFonts w:ascii="仿宋" w:hAnsi="仿宋" w:eastAsia="仿宋"/>
          <w:sz w:val="24"/>
        </w:rPr>
        <w:t>降级容错：API不可用时返回明确提示，不影响平台基础教学功能。</w:t>
      </w:r>
    </w:p>
    <w:p w14:paraId="6C3E28F8">
      <w:pPr>
        <w:spacing w:before="360" w:after="160"/>
      </w:pPr>
      <w:r>
        <w:rPr>
          <w:rFonts w:ascii="黑体" w:hAnsi="黑体" w:eastAsia="黑体"/>
          <w:b/>
          <w:sz w:val="32"/>
        </w:rPr>
        <w:t>七、部署架构</w:t>
      </w:r>
    </w:p>
    <w:p w14:paraId="6EF608F6">
      <w:pPr>
        <w:spacing w:before="240" w:after="120"/>
      </w:pPr>
      <w:r>
        <w:rPr>
          <w:rFonts w:ascii="楷体" w:hAnsi="楷体" w:eastAsia="楷体"/>
          <w:b/>
          <w:sz w:val="28"/>
        </w:rPr>
        <w:t>7.1 容器化部署</w:t>
      </w:r>
    </w:p>
    <w:p w14:paraId="2B521E71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平台采用Docker Compose双容器编排，应用容器与隧道容器解耦运行：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1417"/>
        <w:gridCol w:w="2551"/>
      </w:tblGrid>
      <w:tr w14:paraId="757AAF06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FFD3F4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服务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0DC367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镜像/构建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5015686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端口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5BCEF3E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B14D0C5">
        <w:trPr>
          <w:jc w:val="center"/>
        </w:trPr>
        <w:tc>
          <w:tcPr>
            <w:tcW w:w="1701" w:type="dxa"/>
            <w:vAlign w:val="center"/>
          </w:tcPr>
          <w:p w14:paraId="6BC1176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dip</w:t>
            </w:r>
          </w:p>
        </w:tc>
        <w:tc>
          <w:tcPr>
            <w:tcW w:w="3402" w:type="dxa"/>
            <w:vAlign w:val="center"/>
          </w:tcPr>
          <w:p w14:paraId="4E9732A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本地构建（python:3.11-slim）</w:t>
            </w:r>
          </w:p>
        </w:tc>
        <w:tc>
          <w:tcPr>
            <w:tcW w:w="1417" w:type="dxa"/>
            <w:vAlign w:val="center"/>
          </w:tcPr>
          <w:p w14:paraId="3B46FB42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9527:9527</w:t>
            </w:r>
          </w:p>
        </w:tc>
        <w:tc>
          <w:tcPr>
            <w:tcW w:w="2551" w:type="dxa"/>
            <w:vAlign w:val="center"/>
          </w:tcPr>
          <w:p w14:paraId="64E8B58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Flask应用，挂载data/与images/数据卷</w:t>
            </w:r>
          </w:p>
        </w:tc>
      </w:tr>
      <w:tr w14:paraId="749E9C33">
        <w:trPr>
          <w:jc w:val="center"/>
        </w:trPr>
        <w:tc>
          <w:tcPr>
            <w:tcW w:w="1701" w:type="dxa"/>
            <w:vAlign w:val="center"/>
          </w:tcPr>
          <w:p w14:paraId="55A23149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cloudflared</w:t>
            </w:r>
          </w:p>
        </w:tc>
        <w:tc>
          <w:tcPr>
            <w:tcW w:w="3402" w:type="dxa"/>
            <w:vAlign w:val="center"/>
          </w:tcPr>
          <w:p w14:paraId="31B793D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cloudflare/cloudflared:latest</w:t>
            </w:r>
          </w:p>
        </w:tc>
        <w:tc>
          <w:tcPr>
            <w:tcW w:w="1417" w:type="dxa"/>
            <w:vAlign w:val="center"/>
          </w:tcPr>
          <w:p w14:paraId="23369DE4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—</w:t>
            </w:r>
          </w:p>
        </w:tc>
        <w:tc>
          <w:tcPr>
            <w:tcW w:w="2551" w:type="dxa"/>
            <w:vAlign w:val="center"/>
          </w:tcPr>
          <w:p w14:paraId="4FFFA82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Cloudflare Tunnel，依赖dip健康后启动</w:t>
            </w:r>
          </w:p>
        </w:tc>
      </w:tr>
    </w:tbl>
    <w:p w14:paraId="5B6357D7"/>
    <w:p w14:paraId="67409EB0">
      <w:pPr>
        <w:spacing w:before="240" w:after="120"/>
      </w:pPr>
      <w:r>
        <w:rPr>
          <w:rFonts w:ascii="楷体" w:hAnsi="楷体" w:eastAsia="楷体"/>
          <w:b/>
          <w:sz w:val="28"/>
        </w:rPr>
        <w:t>7.2 网络拓扑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6B1418B5">
        <w:trPr>
          <w:jc w:val="center"/>
        </w:trPr>
        <w:tc>
          <w:tcPr>
            <w:tcW w:w="9066" w:type="dxa"/>
            <w:shd w:val="clear" w:color="auto" w:fill="E2EFDA"/>
            <w:vAlign w:val="center"/>
          </w:tcPr>
          <w:p w14:paraId="604F82BF">
            <w:pPr>
              <w:spacing w:before="40" w:after="40" w:line="288" w:lineRule="auto"/>
              <w:jc w:val="center"/>
            </w:pPr>
            <w:r>
              <w:rPr>
                <w:rFonts w:ascii="仿宋" w:hAnsi="仿宋" w:eastAsia="仿宋"/>
                <w:b w:val="0"/>
                <w:sz w:val="22"/>
              </w:rPr>
              <w:t>用户浏览器 ──HTTPS──▶ Cloudflare边缘节点 ──HTTP──▶ cloudflared隧道 ──▶ Flask:9527</w:t>
            </w:r>
          </w:p>
        </w:tc>
      </w:tr>
    </w:tbl>
    <w:p w14:paraId="5F596054"/>
    <w:p w14:paraId="26165E49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平台通过Cloudflare Tunnel建立安全隧道，公网域名dip.likangle.top指向内网9527端口，SSL模式为Flexible（浏览器与Cloudflare间HTTPS加密，Cloudflare与源站间HTTP），并开启“始终使用HTTPS”。整体架构无Nginx中间层，链路极简。</w:t>
      </w:r>
    </w:p>
    <w:p w14:paraId="1F2BD6DC">
      <w:pPr>
        <w:spacing w:before="240" w:after="120"/>
      </w:pPr>
      <w:r>
        <w:rPr>
          <w:rFonts w:ascii="楷体" w:hAnsi="楷体" w:eastAsia="楷体"/>
          <w:b/>
          <w:sz w:val="28"/>
        </w:rPr>
        <w:t>7.3 部署环境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0C93DC11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292D03C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19A894A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0985757">
        <w:trPr>
          <w:jc w:val="center"/>
        </w:trPr>
        <w:tc>
          <w:tcPr>
            <w:tcW w:w="1984" w:type="dxa"/>
            <w:vAlign w:val="center"/>
          </w:tcPr>
          <w:p w14:paraId="186301F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部署平台</w:t>
            </w:r>
          </w:p>
        </w:tc>
        <w:tc>
          <w:tcPr>
            <w:tcW w:w="7087" w:type="dxa"/>
            <w:vAlign w:val="center"/>
          </w:tcPr>
          <w:p w14:paraId="4C85589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飞牛NAS（fnOS，Debian基）</w:t>
            </w:r>
          </w:p>
        </w:tc>
      </w:tr>
      <w:tr w14:paraId="5D38288D">
        <w:trPr>
          <w:jc w:val="center"/>
        </w:trPr>
        <w:tc>
          <w:tcPr>
            <w:tcW w:w="1984" w:type="dxa"/>
            <w:vAlign w:val="center"/>
          </w:tcPr>
          <w:p w14:paraId="3ADB151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部署路径</w:t>
            </w:r>
          </w:p>
        </w:tc>
        <w:tc>
          <w:tcPr>
            <w:tcW w:w="7087" w:type="dxa"/>
            <w:vAlign w:val="center"/>
          </w:tcPr>
          <w:p w14:paraId="15AEFDC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/vol1/1000/docker/dip</w:t>
            </w:r>
          </w:p>
        </w:tc>
      </w:tr>
      <w:tr w14:paraId="098029D7">
        <w:trPr>
          <w:jc w:val="center"/>
        </w:trPr>
        <w:tc>
          <w:tcPr>
            <w:tcW w:w="1984" w:type="dxa"/>
            <w:vAlign w:val="center"/>
          </w:tcPr>
          <w:p w14:paraId="5923F598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数据持久化</w:t>
            </w:r>
          </w:p>
        </w:tc>
        <w:tc>
          <w:tcPr>
            <w:tcW w:w="7087" w:type="dxa"/>
            <w:vAlign w:val="center"/>
          </w:tcPr>
          <w:p w14:paraId="1E34728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./data（SQLite数据库）、./images（图像文件）</w:t>
            </w:r>
          </w:p>
        </w:tc>
      </w:tr>
      <w:tr w14:paraId="1DD81FFF">
        <w:trPr>
          <w:jc w:val="center"/>
        </w:trPr>
        <w:tc>
          <w:tcPr>
            <w:tcW w:w="1984" w:type="dxa"/>
            <w:vAlign w:val="center"/>
          </w:tcPr>
          <w:p w14:paraId="2A74BCC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健康检查</w:t>
            </w:r>
          </w:p>
        </w:tc>
        <w:tc>
          <w:tcPr>
            <w:tcW w:w="7087" w:type="dxa"/>
            <w:vAlign w:val="center"/>
          </w:tcPr>
          <w:p w14:paraId="3368281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每5秒探测根路径，失败自动重启</w:t>
            </w:r>
          </w:p>
        </w:tc>
      </w:tr>
    </w:tbl>
    <w:p w14:paraId="5E18FDC5"/>
    <w:p w14:paraId="544B037B">
      <w:pPr>
        <w:spacing w:before="360" w:after="160"/>
      </w:pPr>
      <w:r>
        <w:rPr>
          <w:rFonts w:ascii="黑体" w:hAnsi="黑体" w:eastAsia="黑体"/>
          <w:b/>
          <w:sz w:val="32"/>
        </w:rPr>
        <w:t>八、工程结构与代码规模</w:t>
      </w:r>
    </w:p>
    <w:p w14:paraId="3C41DC4A">
      <w:pPr>
        <w:spacing w:before="240" w:after="120"/>
      </w:pPr>
      <w:r>
        <w:rPr>
          <w:rFonts w:ascii="楷体" w:hAnsi="楷体" w:eastAsia="楷体"/>
          <w:b/>
          <w:sz w:val="28"/>
        </w:rPr>
        <w:t>8.1 目录结构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63A4846"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3D41FCAA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文件/目录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73882CA5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/>
                <w:sz w:val="21"/>
              </w:rPr>
              <w:t>职责</w:t>
            </w:r>
          </w:p>
        </w:tc>
      </w:tr>
      <w:tr w14:paraId="3EC225A2">
        <w:trPr>
          <w:jc w:val="center"/>
        </w:trPr>
        <w:tc>
          <w:tcPr>
            <w:tcW w:w="2268" w:type="dxa"/>
            <w:vAlign w:val="center"/>
          </w:tcPr>
          <w:p w14:paraId="1EB87EC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app.py</w:t>
            </w:r>
          </w:p>
        </w:tc>
        <w:tc>
          <w:tcPr>
            <w:tcW w:w="6803" w:type="dxa"/>
            <w:vAlign w:val="center"/>
          </w:tcPr>
          <w:p w14:paraId="3FF1279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主应用：图像处理算法、路由、AI集成（3226行）</w:t>
            </w:r>
          </w:p>
        </w:tc>
      </w:tr>
      <w:tr w14:paraId="50C457B9">
        <w:trPr>
          <w:jc w:val="center"/>
        </w:trPr>
        <w:tc>
          <w:tcPr>
            <w:tcW w:w="2268" w:type="dxa"/>
            <w:vAlign w:val="center"/>
          </w:tcPr>
          <w:p w14:paraId="51348E53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auth_route.py</w:t>
            </w:r>
          </w:p>
        </w:tc>
        <w:tc>
          <w:tcPr>
            <w:tcW w:w="6803" w:type="dxa"/>
            <w:vAlign w:val="center"/>
          </w:tcPr>
          <w:p w14:paraId="7769D9D4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认证/用户/班级/仪表盘/讨论区（1161行）</w:t>
            </w:r>
          </w:p>
        </w:tc>
      </w:tr>
      <w:tr w14:paraId="15F1B667">
        <w:trPr>
          <w:jc w:val="center"/>
        </w:trPr>
        <w:tc>
          <w:tcPr>
            <w:tcW w:w="2268" w:type="dxa"/>
            <w:vAlign w:val="center"/>
          </w:tcPr>
          <w:p w14:paraId="69AE3932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theory_route.py</w:t>
            </w:r>
          </w:p>
        </w:tc>
        <w:tc>
          <w:tcPr>
            <w:tcW w:w="6803" w:type="dxa"/>
            <w:vAlign w:val="center"/>
          </w:tcPr>
          <w:p w14:paraId="41F3268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理论教学路由：公式/步骤/参数库（1240行）</w:t>
            </w:r>
          </w:p>
        </w:tc>
      </w:tr>
      <w:tr w14:paraId="70FD7126">
        <w:trPr>
          <w:jc w:val="center"/>
        </w:trPr>
        <w:tc>
          <w:tcPr>
            <w:tcW w:w="2268" w:type="dxa"/>
            <w:vAlign w:val="center"/>
          </w:tcPr>
          <w:p w14:paraId="779302CD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db.py</w:t>
            </w:r>
          </w:p>
        </w:tc>
        <w:tc>
          <w:tcPr>
            <w:tcW w:w="6803" w:type="dxa"/>
            <w:vAlign w:val="center"/>
          </w:tcPr>
          <w:p w14:paraId="6495B63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SQLite数据库封装（116行）</w:t>
            </w:r>
          </w:p>
        </w:tc>
      </w:tr>
      <w:tr w14:paraId="262F8169">
        <w:trPr>
          <w:jc w:val="center"/>
        </w:trPr>
        <w:tc>
          <w:tcPr>
            <w:tcW w:w="2268" w:type="dxa"/>
            <w:vAlign w:val="center"/>
          </w:tcPr>
          <w:p w14:paraId="432ABCE6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static/</w:t>
            </w:r>
          </w:p>
        </w:tc>
        <w:tc>
          <w:tcPr>
            <w:tcW w:w="6803" w:type="dxa"/>
            <w:vAlign w:val="center"/>
          </w:tcPr>
          <w:p w14:paraId="55748D91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前端资源：script.js(2455行)、compare.js(501行)、ai_sidebar.js(355行)、样式(1611行)</w:t>
            </w:r>
          </w:p>
        </w:tc>
      </w:tr>
      <w:tr w14:paraId="29B1398D">
        <w:trPr>
          <w:jc w:val="center"/>
        </w:trPr>
        <w:tc>
          <w:tcPr>
            <w:tcW w:w="2268" w:type="dxa"/>
            <w:vAlign w:val="center"/>
          </w:tcPr>
          <w:p w14:paraId="668AD69C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templates/</w:t>
            </w:r>
          </w:p>
        </w:tc>
        <w:tc>
          <w:tcPr>
            <w:tcW w:w="6803" w:type="dxa"/>
            <w:vAlign w:val="center"/>
          </w:tcPr>
          <w:p w14:paraId="3FB0D2EF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7个Jinja2模板，含chapter_detail.html(2002行)、dashboard.html(1294行)</w:t>
            </w:r>
          </w:p>
        </w:tc>
      </w:tr>
      <w:tr w14:paraId="6B2C1FCD">
        <w:trPr>
          <w:jc w:val="center"/>
        </w:trPr>
        <w:tc>
          <w:tcPr>
            <w:tcW w:w="2268" w:type="dxa"/>
            <w:vAlign w:val="center"/>
          </w:tcPr>
          <w:p w14:paraId="11A8E522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data/</w:t>
            </w:r>
          </w:p>
        </w:tc>
        <w:tc>
          <w:tcPr>
            <w:tcW w:w="6803" w:type="dxa"/>
            <w:vAlign w:val="center"/>
          </w:tcPr>
          <w:p w14:paraId="75327E5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SQLite数据库文件</w:t>
            </w:r>
          </w:p>
        </w:tc>
      </w:tr>
      <w:tr w14:paraId="65DD353C">
        <w:trPr>
          <w:jc w:val="center"/>
        </w:trPr>
        <w:tc>
          <w:tcPr>
            <w:tcW w:w="2268" w:type="dxa"/>
            <w:vAlign w:val="center"/>
          </w:tcPr>
          <w:p w14:paraId="1C380CC0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images/cases/</w:t>
            </w:r>
          </w:p>
        </w:tc>
        <w:tc>
          <w:tcPr>
            <w:tcW w:w="6803" w:type="dxa"/>
            <w:vAlign w:val="center"/>
          </w:tcPr>
          <w:p w14:paraId="70CF645B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14张工程案例图</w:t>
            </w:r>
          </w:p>
        </w:tc>
      </w:tr>
      <w:tr w14:paraId="4E00CE95">
        <w:trPr>
          <w:jc w:val="center"/>
        </w:trPr>
        <w:tc>
          <w:tcPr>
            <w:tcW w:w="2268" w:type="dxa"/>
            <w:vAlign w:val="center"/>
          </w:tcPr>
          <w:p w14:paraId="0F924707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ppt/</w:t>
            </w:r>
          </w:p>
        </w:tc>
        <w:tc>
          <w:tcPr>
            <w:tcW w:w="6803" w:type="dxa"/>
            <w:vAlign w:val="center"/>
          </w:tcPr>
          <w:p w14:paraId="7E1464A2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12章教学课件</w:t>
            </w:r>
          </w:p>
        </w:tc>
      </w:tr>
      <w:tr w14:paraId="67413A52">
        <w:trPr>
          <w:jc w:val="center"/>
        </w:trPr>
        <w:tc>
          <w:tcPr>
            <w:tcW w:w="2268" w:type="dxa"/>
            <w:vAlign w:val="center"/>
          </w:tcPr>
          <w:p w14:paraId="3E5CC687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ssl/</w:t>
            </w:r>
          </w:p>
        </w:tc>
        <w:tc>
          <w:tcPr>
            <w:tcW w:w="6803" w:type="dxa"/>
            <w:vAlign w:val="center"/>
          </w:tcPr>
          <w:p w14:paraId="11638A2E">
            <w:pPr>
              <w:spacing w:before="40" w:after="40" w:line="288" w:lineRule="auto"/>
              <w:jc w:val="left"/>
            </w:pPr>
            <w:r>
              <w:rPr>
                <w:rFonts w:ascii="仿宋" w:hAnsi="仿宋" w:eastAsia="仿宋"/>
                <w:b w:val="0"/>
                <w:sz w:val="21"/>
              </w:rPr>
              <w:t>本地SSL证书</w:t>
            </w:r>
          </w:p>
        </w:tc>
      </w:tr>
    </w:tbl>
    <w:p w14:paraId="72A0A669"/>
    <w:p w14:paraId="749FF0C2">
      <w:pPr>
        <w:spacing w:before="240" w:after="120"/>
      </w:pPr>
      <w:r>
        <w:rPr>
          <w:rFonts w:ascii="楷体" w:hAnsi="楷体" w:eastAsia="楷体"/>
          <w:b/>
          <w:sz w:val="28"/>
        </w:rPr>
        <w:t>8.2 代码规模</w:t>
      </w:r>
    </w:p>
    <w:p w14:paraId="15AF73C1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平台后端Python代码约5760行，前端JavaScript约3311行，HTML模板约4271行，CSS样式约1611行，合计约14953行。代码结构清晰、模块职责单一，具备良好的可维护性与可扩展性。</w:t>
      </w:r>
    </w:p>
    <w:p w14:paraId="22F806A7">
      <w:pPr>
        <w:spacing w:before="360" w:after="160"/>
      </w:pPr>
      <w:r>
        <w:rPr>
          <w:rFonts w:ascii="黑体" w:hAnsi="黑体" w:eastAsia="黑体"/>
          <w:b/>
          <w:sz w:val="32"/>
        </w:rPr>
        <w:t>九、总结与展望</w:t>
      </w:r>
    </w:p>
    <w:p w14:paraId="4E636047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数字图像处理教学平台以“轻量化架构+AI深度嵌入”为设计主线，实现了从传统“教师讲、学生练”到“AI赋能、数据驱动”的教学模式升级。平台技术架构具备以下优势：一是分层清晰、耦合度低，便于功能扩展；二是AI能力通过API层解耦，模型可平滑替换；三是部署极简、成本可控，适合资源有限的高校快速落地。</w:t>
      </w:r>
    </w:p>
    <w:p w14:paraId="08C43B50">
      <w:pPr>
        <w:spacing w:line="360" w:lineRule="auto"/>
        <w:ind w:firstLine="480"/>
      </w:pPr>
      <w:r>
        <w:rPr>
          <w:rFonts w:ascii="仿宋" w:hAnsi="仿宋" w:eastAsia="仿宋"/>
          <w:sz w:val="24"/>
        </w:rPr>
        <w:t>后续将在以下方向持续演进：一是深化个性化学习路径的智能推荐；二是将平台架构与AI引导体系向信号处理、计算机视觉等相关课程迁移推广；三是探索多模态教学资源（视频、实验数据）的AI融合应用，持续提升“AI+高等教育”改革成效。</w:t>
      </w:r>
    </w:p>
    <w:p w14:paraId="39F84B7C">
      <w:pPr>
        <w:jc w:val="left"/>
      </w:pPr>
      <w:bookmarkStart w:id="0" w:name="_GoBack"/>
      <w:bookmarkEnd w:id="0"/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63F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仿宋" w:hAnsi="仿宋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Lee</cp:lastModifiedBy>
  <dcterms:modified xsi:type="dcterms:W3CDTF">2026-08-16T16:52:56Z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3c34538b0f644dd2c1e0d3386e48f558_bf1272d4994f11f1a98a525400f8a581","ReservedCode1":"B5eBAD7h4eAbs5kXUuHBKYX0iwz5hOkiR/O/qN5oxD/0xNX+vrXyHceBA8HBigUvK2AgfMrUfrX6NI248WOgm3rZ7lP1BuhBltfUkcHgscxMLqJ6rT9IZI6Lu+LY9j/52HsCQpjVxXF15U6Mcqw9fvJeGYT+qUvqxTeZhaPyvZhR3UHTc0Nhr4VbVrA=","ContentPropagator":"001191440300708461136T1XGW3","PropagateID":"3c34538b0f644dd2c1e0d3386e48f558_bf1272d4994f11f1a98a525400f8a581","ReservedCode2":"B5eBAD7h4eAbs5kXUuHBKYX0iwz5hOkiR/O/qN5oxD/0xNX+vrXyHceBA8HBigUvK2AgfMrUfrX6NI248WOgm3rZ7lP1BuhBltfUkcHgscxMLqJ6rT9IZI6Lu+LY9j/52HsCQpjVxXF15U6Mcqw9fvJeGYT+qUvqxTeZhaPyvZhR3UHTc0Nhr4VbVrA=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DE70DC24A5FEDE96687A816A0D32D055_42</vt:lpwstr>
  </property>
</Properties>
</file>