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195" w:rsidRDefault="00873195" w:rsidP="00873195">
      <w:proofErr w:type="spellStart"/>
      <w:r>
        <w:t>prot</w:t>
      </w:r>
      <w:proofErr w:type="spellEnd"/>
    </w:p>
    <w:p w:rsidR="00873195" w:rsidRDefault="00873195" w:rsidP="00873195">
      <w:r w:rsidRPr="00873195">
        <w:rPr>
          <w:highlight w:val="darkGreen"/>
        </w:rPr>
        <w:t>TP</w:t>
      </w:r>
      <w:r>
        <w:t>:</w:t>
      </w:r>
      <w:r w:rsidR="005E0A14">
        <w:t xml:space="preserve"> 10</w:t>
      </w:r>
    </w:p>
    <w:p w:rsidR="00873195" w:rsidRDefault="00873195" w:rsidP="00873195">
      <w:r w:rsidRPr="00873195">
        <w:rPr>
          <w:highlight w:val="red"/>
        </w:rPr>
        <w:t>FP</w:t>
      </w:r>
      <w:r>
        <w:t>:</w:t>
      </w:r>
      <w:r w:rsidR="005E0A14">
        <w:t xml:space="preserve"> 2</w:t>
      </w:r>
    </w:p>
    <w:p w:rsidR="00873195" w:rsidRDefault="00873195" w:rsidP="00873195">
      <w:r w:rsidRPr="00873195">
        <w:rPr>
          <w:highlight w:val="darkRed"/>
        </w:rPr>
        <w:t>FN</w:t>
      </w:r>
      <w:r>
        <w:t>:</w:t>
      </w:r>
    </w:p>
    <w:p w:rsidR="00873195" w:rsidRDefault="00873195" w:rsidP="00873195">
      <w:proofErr w:type="spellStart"/>
      <w:r>
        <w:t>lyso</w:t>
      </w:r>
      <w:proofErr w:type="spellEnd"/>
    </w:p>
    <w:p w:rsidR="00873195" w:rsidRPr="00873195" w:rsidRDefault="00873195" w:rsidP="00873195">
      <w:pPr>
        <w:rPr>
          <w:lang w:val="en-US"/>
        </w:rPr>
      </w:pPr>
      <w:r w:rsidRPr="00873195">
        <w:rPr>
          <w:highlight w:val="green"/>
          <w:lang w:val="en-US"/>
        </w:rPr>
        <w:t>TP</w:t>
      </w:r>
      <w:r w:rsidRPr="00873195">
        <w:rPr>
          <w:lang w:val="en-US"/>
        </w:rPr>
        <w:t xml:space="preserve">: </w:t>
      </w:r>
      <w:r w:rsidR="005E0A14">
        <w:rPr>
          <w:lang w:val="en-US"/>
        </w:rPr>
        <w:t>7</w:t>
      </w:r>
    </w:p>
    <w:p w:rsidR="00873195" w:rsidRPr="00873195" w:rsidRDefault="00873195" w:rsidP="00873195">
      <w:pPr>
        <w:rPr>
          <w:lang w:val="en-US"/>
        </w:rPr>
      </w:pPr>
      <w:r w:rsidRPr="00873195">
        <w:rPr>
          <w:highlight w:val="magenta"/>
          <w:lang w:val="en-US"/>
        </w:rPr>
        <w:t>FP</w:t>
      </w:r>
      <w:r w:rsidRPr="00873195">
        <w:rPr>
          <w:lang w:val="en-US"/>
        </w:rPr>
        <w:t>:</w:t>
      </w:r>
    </w:p>
    <w:p w:rsidR="00873195" w:rsidRPr="00873195" w:rsidRDefault="00873195" w:rsidP="00873195">
      <w:pPr>
        <w:rPr>
          <w:lang w:val="en-US"/>
        </w:rPr>
      </w:pPr>
      <w:r w:rsidRPr="00873195">
        <w:rPr>
          <w:highlight w:val="darkMagenta"/>
          <w:lang w:val="en-US"/>
        </w:rPr>
        <w:t>FN</w:t>
      </w:r>
      <w:r w:rsidRPr="00873195">
        <w:rPr>
          <w:lang w:val="en-US"/>
        </w:rPr>
        <w:t>:</w:t>
      </w:r>
      <w:bookmarkStart w:id="0" w:name="_GoBack"/>
      <w:bookmarkEnd w:id="0"/>
    </w:p>
    <w:p w:rsidR="00F34E21" w:rsidRDefault="00873195" w:rsidP="00873195">
      <w:pPr>
        <w:rPr>
          <w:lang w:val="en-US"/>
        </w:rPr>
      </w:pPr>
      <w:r w:rsidRPr="00873195">
        <w:rPr>
          <w:lang w:val="en-US"/>
        </w:rPr>
        <w:t>Podocyte [</w:t>
      </w:r>
      <w:proofErr w:type="spellStart"/>
      <w:r w:rsidRPr="00873195">
        <w:rPr>
          <w:highlight w:val="green"/>
          <w:lang w:val="en-US"/>
        </w:rPr>
        <w:t>apoptosis</w:t>
      </w:r>
      <w:r w:rsidRPr="00873195">
        <w:rPr>
          <w:lang w:val="en-US"/>
        </w:rPr>
        <w:t>:LYSO</w:t>
      </w:r>
      <w:proofErr w:type="spellEnd"/>
      <w:r w:rsidRPr="00873195">
        <w:rPr>
          <w:lang w:val="en-US"/>
        </w:rPr>
        <w:t>] is considered as the important element that promotes the development and progress of membranous nephropathy (MN). Unfortunately, the underlying mechanism of podocytes [</w:t>
      </w:r>
      <w:proofErr w:type="spellStart"/>
      <w:r w:rsidRPr="00873195">
        <w:rPr>
          <w:highlight w:val="green"/>
          <w:lang w:val="en-US"/>
        </w:rPr>
        <w:t>apoptosis</w:t>
      </w:r>
      <w:r w:rsidRPr="00873195">
        <w:rPr>
          <w:lang w:val="en-US"/>
        </w:rPr>
        <w:t>:LYSO</w:t>
      </w:r>
      <w:proofErr w:type="spellEnd"/>
      <w:r w:rsidRPr="00873195">
        <w:rPr>
          <w:lang w:val="en-US"/>
        </w:rPr>
        <w:t xml:space="preserve">] in MN remains elusive. We compared the renal expressions of miR-130a-5p and M-type </w:t>
      </w:r>
      <w:r w:rsidRPr="008955F2">
        <w:rPr>
          <w:highlight w:val="darkGreen"/>
          <w:lang w:val="en-US"/>
        </w:rPr>
        <w:t>[</w:t>
      </w:r>
      <w:proofErr w:type="spellStart"/>
      <w:r w:rsidRPr="008955F2">
        <w:rPr>
          <w:highlight w:val="darkGreen"/>
          <w:lang w:val="en-US"/>
        </w:rPr>
        <w:t>phospholipase:PROT</w:t>
      </w:r>
      <w:proofErr w:type="spellEnd"/>
      <w:r w:rsidRPr="000C57CD">
        <w:rPr>
          <w:lang w:val="en-US"/>
        </w:rPr>
        <w:t>] [</w:t>
      </w:r>
      <w:r w:rsidRPr="008955F2">
        <w:rPr>
          <w:highlight w:val="darkGreen"/>
          <w:lang w:val="en-US"/>
        </w:rPr>
        <w:t>A2:PROT]</w:t>
      </w:r>
      <w:r w:rsidRPr="00873195">
        <w:rPr>
          <w:lang w:val="en-US"/>
        </w:rPr>
        <w:t xml:space="preserve"> receptor ([</w:t>
      </w:r>
      <w:r w:rsidRPr="008955F2">
        <w:rPr>
          <w:highlight w:val="darkGreen"/>
          <w:lang w:val="en-US"/>
        </w:rPr>
        <w:t>PLA2R:PROT</w:t>
      </w:r>
      <w:r w:rsidRPr="00873195">
        <w:rPr>
          <w:lang w:val="en-US"/>
        </w:rPr>
        <w:t xml:space="preserve">]) between MN patients (n = 30) and 30 controls by </w:t>
      </w:r>
      <w:proofErr w:type="spellStart"/>
      <w:r w:rsidRPr="00873195">
        <w:rPr>
          <w:lang w:val="en-US"/>
        </w:rPr>
        <w:t>qRT</w:t>
      </w:r>
      <w:proofErr w:type="spellEnd"/>
      <w:r w:rsidRPr="00873195">
        <w:rPr>
          <w:lang w:val="en-US"/>
        </w:rPr>
        <w:t>-</w:t>
      </w:r>
      <w:r w:rsidRPr="008955F2">
        <w:rPr>
          <w:highlight w:val="red"/>
          <w:lang w:val="en-US"/>
        </w:rPr>
        <w:t>[PCR:PROT]</w:t>
      </w:r>
      <w:r w:rsidRPr="00873195">
        <w:rPr>
          <w:lang w:val="en-US"/>
        </w:rPr>
        <w:t xml:space="preserve"> and western blot, respectively. The podocyte damage model in vitro was established by [</w:t>
      </w:r>
      <w:r w:rsidRPr="008955F2">
        <w:rPr>
          <w:highlight w:val="darkGreen"/>
          <w:lang w:val="en-US"/>
        </w:rPr>
        <w:t>angiotensin II:PROT</w:t>
      </w:r>
      <w:r w:rsidRPr="00873195">
        <w:rPr>
          <w:lang w:val="en-US"/>
        </w:rPr>
        <w:t>] ([</w:t>
      </w:r>
      <w:r w:rsidRPr="008955F2">
        <w:rPr>
          <w:highlight w:val="darkGreen"/>
          <w:lang w:val="en-US"/>
        </w:rPr>
        <w:t>Ang II:PROT</w:t>
      </w:r>
      <w:r w:rsidRPr="00873195">
        <w:rPr>
          <w:lang w:val="en-US"/>
        </w:rPr>
        <w:t>], 100 nmol/L) exposure for 24 h. Interaction between miR-130a-5p and [</w:t>
      </w:r>
      <w:r w:rsidRPr="008955F2">
        <w:rPr>
          <w:highlight w:val="darkGreen"/>
          <w:lang w:val="en-US"/>
        </w:rPr>
        <w:t>PLA2R:PROT</w:t>
      </w:r>
      <w:r w:rsidRPr="00873195">
        <w:rPr>
          <w:lang w:val="en-US"/>
        </w:rPr>
        <w:t>] was determined using dual</w:t>
      </w:r>
      <w:r w:rsidRPr="008955F2">
        <w:rPr>
          <w:highlight w:val="red"/>
          <w:lang w:val="en-US"/>
        </w:rPr>
        <w:t xml:space="preserve">-[luciferase reporter </w:t>
      </w:r>
      <w:proofErr w:type="spellStart"/>
      <w:r w:rsidRPr="008955F2">
        <w:rPr>
          <w:highlight w:val="red"/>
          <w:lang w:val="en-US"/>
        </w:rPr>
        <w:t>gene:PROT</w:t>
      </w:r>
      <w:proofErr w:type="spellEnd"/>
      <w:r w:rsidRPr="008955F2">
        <w:rPr>
          <w:highlight w:val="red"/>
          <w:lang w:val="en-US"/>
        </w:rPr>
        <w:t>]</w:t>
      </w:r>
      <w:r w:rsidRPr="00873195">
        <w:rPr>
          <w:lang w:val="en-US"/>
        </w:rPr>
        <w:t xml:space="preserve"> assay. MN mice were induced by intravenous injection of </w:t>
      </w:r>
      <w:proofErr w:type="spellStart"/>
      <w:r w:rsidRPr="00873195">
        <w:rPr>
          <w:lang w:val="en-US"/>
        </w:rPr>
        <w:t>cBSA</w:t>
      </w:r>
      <w:proofErr w:type="spellEnd"/>
      <w:r w:rsidRPr="00873195">
        <w:rPr>
          <w:lang w:val="en-US"/>
        </w:rPr>
        <w:t xml:space="preserve">. In this study, miR-130a-5p expression was significantly decreased both in the renal biopsy specimens from MN patients and podocyte cell line AB8/13 following stimulation of </w:t>
      </w:r>
      <w:r w:rsidRPr="005E0A14">
        <w:rPr>
          <w:highlight w:val="darkGreen"/>
          <w:lang w:val="en-US"/>
        </w:rPr>
        <w:t>[Ang II:PROT].</w:t>
      </w:r>
      <w:r w:rsidRPr="00873195">
        <w:rPr>
          <w:lang w:val="en-US"/>
        </w:rPr>
        <w:t xml:space="preserve"> Overexpressed miR-130a-5p in AB8/13 cells significantly attenuated the </w:t>
      </w:r>
      <w:r w:rsidRPr="005E0A14">
        <w:rPr>
          <w:highlight w:val="darkGreen"/>
          <w:lang w:val="en-US"/>
        </w:rPr>
        <w:t>[Ang II:PROT]</w:t>
      </w:r>
      <w:r w:rsidRPr="00873195">
        <w:rPr>
          <w:lang w:val="en-US"/>
        </w:rPr>
        <w:t xml:space="preserve"> induced</w:t>
      </w:r>
      <w:r w:rsidRPr="005E0A14">
        <w:rPr>
          <w:highlight w:val="green"/>
          <w:lang w:val="en-US"/>
        </w:rPr>
        <w:t>-[</w:t>
      </w:r>
      <w:proofErr w:type="spellStart"/>
      <w:r w:rsidRPr="005E0A14">
        <w:rPr>
          <w:highlight w:val="green"/>
          <w:lang w:val="en-US"/>
        </w:rPr>
        <w:t>apoptosis:LYSO</w:t>
      </w:r>
      <w:proofErr w:type="spellEnd"/>
      <w:r w:rsidRPr="005E0A14">
        <w:rPr>
          <w:highlight w:val="green"/>
          <w:lang w:val="en-US"/>
        </w:rPr>
        <w:t>]</w:t>
      </w:r>
      <w:r w:rsidRPr="00873195">
        <w:rPr>
          <w:lang w:val="en-US"/>
        </w:rPr>
        <w:t xml:space="preserve"> in vitro. In contrast, down-regulated miR-130a-5p induced podocyte </w:t>
      </w:r>
      <w:r w:rsidRPr="005E0A14">
        <w:rPr>
          <w:highlight w:val="green"/>
          <w:lang w:val="en-US"/>
        </w:rPr>
        <w:t>[</w:t>
      </w:r>
      <w:proofErr w:type="spellStart"/>
      <w:r w:rsidRPr="005E0A14">
        <w:rPr>
          <w:highlight w:val="green"/>
          <w:lang w:val="en-US"/>
        </w:rPr>
        <w:t>apoptosis:LYSO</w:t>
      </w:r>
      <w:proofErr w:type="spellEnd"/>
      <w:r w:rsidRPr="005E0A14">
        <w:rPr>
          <w:highlight w:val="green"/>
          <w:lang w:val="en-US"/>
        </w:rPr>
        <w:t>].</w:t>
      </w:r>
      <w:r w:rsidRPr="00873195">
        <w:rPr>
          <w:lang w:val="en-US"/>
        </w:rPr>
        <w:t xml:space="preserve"> </w:t>
      </w:r>
      <w:r w:rsidRPr="005E0A14">
        <w:rPr>
          <w:highlight w:val="darkGreen"/>
          <w:lang w:val="en-US"/>
        </w:rPr>
        <w:t>[PLA2R:PROT]</w:t>
      </w:r>
      <w:r w:rsidRPr="00873195">
        <w:rPr>
          <w:lang w:val="en-US"/>
        </w:rPr>
        <w:t xml:space="preserve"> was identified as the target of miR-130a-5p in AB8/13 cells. And up-regulated or down-regulated [</w:t>
      </w:r>
      <w:r w:rsidRPr="005E0A14">
        <w:rPr>
          <w:highlight w:val="darkGreen"/>
          <w:lang w:val="en-US"/>
        </w:rPr>
        <w:t>PLA2R</w:t>
      </w:r>
      <w:r w:rsidRPr="00873195">
        <w:rPr>
          <w:lang w:val="en-US"/>
        </w:rPr>
        <w:t xml:space="preserve">:PROT] could obviously attenuate the effect of miR-130a-5p overexpression or knockdown on the </w:t>
      </w:r>
      <w:r w:rsidRPr="005E0A14">
        <w:rPr>
          <w:highlight w:val="green"/>
          <w:lang w:val="en-US"/>
        </w:rPr>
        <w:t>[</w:t>
      </w:r>
      <w:proofErr w:type="spellStart"/>
      <w:r w:rsidRPr="005E0A14">
        <w:rPr>
          <w:highlight w:val="green"/>
          <w:lang w:val="en-US"/>
        </w:rPr>
        <w:t>apoptosis:LYSO</w:t>
      </w:r>
      <w:proofErr w:type="spellEnd"/>
      <w:r w:rsidRPr="005E0A14">
        <w:rPr>
          <w:highlight w:val="green"/>
          <w:lang w:val="en-US"/>
        </w:rPr>
        <w:t>]</w:t>
      </w:r>
      <w:r w:rsidRPr="00873195">
        <w:rPr>
          <w:lang w:val="en-US"/>
        </w:rPr>
        <w:t xml:space="preserve"> of AB8/13 cells. Furthermore, it was also observed that overexpressed miR-130a-5p by miR-130a-5p </w:t>
      </w:r>
      <w:proofErr w:type="spellStart"/>
      <w:r w:rsidRPr="00873195">
        <w:rPr>
          <w:lang w:val="en-US"/>
        </w:rPr>
        <w:t>agomir</w:t>
      </w:r>
      <w:proofErr w:type="spellEnd"/>
      <w:r w:rsidRPr="00873195">
        <w:rPr>
          <w:lang w:val="en-US"/>
        </w:rPr>
        <w:t xml:space="preserve"> could obviously alleviate renal injury in MN mice. In conclusion, decreased miR-130a-5p was contributed to the pathological mechanism of MN through increasing [</w:t>
      </w:r>
      <w:r w:rsidRPr="005E0A14">
        <w:rPr>
          <w:highlight w:val="green"/>
          <w:lang w:val="en-US"/>
        </w:rPr>
        <w:t>PLA2R:PROT</w:t>
      </w:r>
      <w:r w:rsidRPr="00873195">
        <w:rPr>
          <w:lang w:val="en-US"/>
        </w:rPr>
        <w:t xml:space="preserve">] expression, which induced podocyte </w:t>
      </w:r>
      <w:r w:rsidRPr="008955F2">
        <w:rPr>
          <w:highlight w:val="green"/>
          <w:lang w:val="en-US"/>
        </w:rPr>
        <w:t>[</w:t>
      </w:r>
      <w:proofErr w:type="spellStart"/>
      <w:r w:rsidRPr="008955F2">
        <w:rPr>
          <w:highlight w:val="green"/>
          <w:lang w:val="en-US"/>
        </w:rPr>
        <w:t>apoptosis:LYSO</w:t>
      </w:r>
      <w:proofErr w:type="spellEnd"/>
      <w:r w:rsidRPr="008955F2">
        <w:rPr>
          <w:highlight w:val="green"/>
          <w:lang w:val="en-US"/>
        </w:rPr>
        <w:t>].</w:t>
      </w:r>
      <w:r w:rsidRPr="00873195">
        <w:rPr>
          <w:lang w:val="en-US"/>
        </w:rPr>
        <w:t xml:space="preserve"> </w:t>
      </w:r>
    </w:p>
    <w:p w:rsidR="005E0A14" w:rsidRDefault="005E0A14" w:rsidP="00873195">
      <w:pPr>
        <w:rPr>
          <w:lang w:val="en-US"/>
        </w:rPr>
      </w:pPr>
    </w:p>
    <w:p w:rsidR="005E0A14" w:rsidRDefault="005E0A14" w:rsidP="005E0A14">
      <w:proofErr w:type="spellStart"/>
      <w:r>
        <w:t>prot</w:t>
      </w:r>
      <w:proofErr w:type="spellEnd"/>
    </w:p>
    <w:p w:rsidR="005E0A14" w:rsidRDefault="005E0A14" w:rsidP="005E0A14">
      <w:r w:rsidRPr="00873195">
        <w:rPr>
          <w:highlight w:val="darkGreen"/>
        </w:rPr>
        <w:t>TP</w:t>
      </w:r>
      <w:r>
        <w:t xml:space="preserve">: </w:t>
      </w:r>
      <w:r w:rsidR="001033E8">
        <w:t>7</w:t>
      </w:r>
    </w:p>
    <w:p w:rsidR="005E0A14" w:rsidRDefault="005E0A14" w:rsidP="005E0A14">
      <w:r w:rsidRPr="00873195">
        <w:rPr>
          <w:highlight w:val="red"/>
        </w:rPr>
        <w:t>FP</w:t>
      </w:r>
      <w:r>
        <w:t xml:space="preserve">: </w:t>
      </w:r>
      <w:r w:rsidR="001033E8">
        <w:t xml:space="preserve"> 2</w:t>
      </w:r>
    </w:p>
    <w:p w:rsidR="005E0A14" w:rsidRDefault="005E0A14" w:rsidP="005E0A14">
      <w:r w:rsidRPr="00873195">
        <w:rPr>
          <w:highlight w:val="darkRed"/>
        </w:rPr>
        <w:t>FN</w:t>
      </w:r>
      <w:r>
        <w:t>:</w:t>
      </w:r>
      <w:r w:rsidR="001033E8">
        <w:t xml:space="preserve"> 1</w:t>
      </w:r>
    </w:p>
    <w:p w:rsidR="005E0A14" w:rsidRDefault="005E0A14" w:rsidP="005E0A14">
      <w:proofErr w:type="spellStart"/>
      <w:r>
        <w:t>lyso</w:t>
      </w:r>
      <w:proofErr w:type="spellEnd"/>
    </w:p>
    <w:p w:rsidR="005E0A14" w:rsidRPr="005E0A14" w:rsidRDefault="005E0A14" w:rsidP="005E0A14">
      <w:r w:rsidRPr="005E0A14">
        <w:rPr>
          <w:highlight w:val="green"/>
        </w:rPr>
        <w:t>TP</w:t>
      </w:r>
      <w:r w:rsidRPr="005E0A14">
        <w:t xml:space="preserve">: </w:t>
      </w:r>
      <w:r w:rsidR="001033E8">
        <w:t>1</w:t>
      </w:r>
    </w:p>
    <w:p w:rsidR="005E0A14" w:rsidRPr="00873195" w:rsidRDefault="005E0A14" w:rsidP="005E0A14">
      <w:pPr>
        <w:rPr>
          <w:lang w:val="en-US"/>
        </w:rPr>
      </w:pPr>
      <w:r w:rsidRPr="00873195">
        <w:rPr>
          <w:highlight w:val="magenta"/>
          <w:lang w:val="en-US"/>
        </w:rPr>
        <w:t>FP</w:t>
      </w:r>
      <w:r w:rsidRPr="00873195">
        <w:rPr>
          <w:lang w:val="en-US"/>
        </w:rPr>
        <w:t>:</w:t>
      </w:r>
      <w:r w:rsidR="001033E8">
        <w:rPr>
          <w:lang w:val="en-US"/>
        </w:rPr>
        <w:t xml:space="preserve"> 0</w:t>
      </w:r>
    </w:p>
    <w:p w:rsidR="005E0A14" w:rsidRPr="00873195" w:rsidRDefault="005E0A14" w:rsidP="005E0A14">
      <w:pPr>
        <w:rPr>
          <w:lang w:val="en-US"/>
        </w:rPr>
      </w:pPr>
      <w:r w:rsidRPr="00873195">
        <w:rPr>
          <w:highlight w:val="darkMagenta"/>
          <w:lang w:val="en-US"/>
        </w:rPr>
        <w:t>FN</w:t>
      </w:r>
      <w:r w:rsidRPr="00873195">
        <w:rPr>
          <w:lang w:val="en-US"/>
        </w:rPr>
        <w:t>:</w:t>
      </w:r>
      <w:r w:rsidR="001033E8">
        <w:rPr>
          <w:lang w:val="en-US"/>
        </w:rPr>
        <w:t xml:space="preserve"> 0</w:t>
      </w:r>
    </w:p>
    <w:p w:rsidR="005E0A14" w:rsidRDefault="005E0A14" w:rsidP="00873195">
      <w:pPr>
        <w:rPr>
          <w:lang w:val="en-US"/>
        </w:rPr>
      </w:pPr>
    </w:p>
    <w:p w:rsidR="005E0A14" w:rsidRPr="005E0A14" w:rsidRDefault="005E0A14" w:rsidP="005E0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 w:rsidRPr="005E0A14">
        <w:rPr>
          <w:rFonts w:eastAsia="Times New Roman" w:cstheme="minorHAnsi"/>
          <w:color w:val="000000"/>
          <w:lang w:val="en-US" w:eastAsia="sv-SE"/>
        </w:rPr>
        <w:lastRenderedPageBreak/>
        <w:t xml:space="preserve">4. Rottlerin as a natural agent, which is isolated from </w:t>
      </w:r>
      <w:proofErr w:type="spellStart"/>
      <w:r w:rsidRPr="005E0A14">
        <w:rPr>
          <w:rFonts w:eastAsia="Times New Roman" w:cstheme="minorHAnsi"/>
          <w:color w:val="000000"/>
          <w:lang w:val="en-US" w:eastAsia="sv-SE"/>
        </w:rPr>
        <w:t>Mallotus</w:t>
      </w:r>
      <w:proofErr w:type="spellEnd"/>
      <w:r w:rsidRPr="005E0A14">
        <w:rPr>
          <w:rFonts w:eastAsia="Times New Roman" w:cstheme="minorHAnsi"/>
          <w:color w:val="000000"/>
          <w:lang w:val="en-US" w:eastAsia="sv-SE"/>
        </w:rPr>
        <w:t xml:space="preserve"> </w:t>
      </w:r>
      <w:proofErr w:type="spellStart"/>
      <w:r w:rsidRPr="005E0A14">
        <w:rPr>
          <w:rFonts w:eastAsia="Times New Roman" w:cstheme="minorHAnsi"/>
          <w:color w:val="000000"/>
          <w:lang w:val="en-US" w:eastAsia="sv-SE"/>
        </w:rPr>
        <w:t>philippinensis</w:t>
      </w:r>
      <w:proofErr w:type="spellEnd"/>
      <w:r w:rsidRPr="005E0A14">
        <w:rPr>
          <w:rFonts w:eastAsia="Times New Roman" w:cstheme="minorHAnsi"/>
          <w:color w:val="000000"/>
          <w:lang w:val="en-US" w:eastAsia="sv-SE"/>
        </w:rPr>
        <w:t xml:space="preserve">, has been identified to play a critical role in tumor inhibition. However, the molecular mechanism of rottlerin-mediated anti-tumor activity is still ambiguous. It has been reported that </w:t>
      </w:r>
      <w:r w:rsidRPr="005E0A14">
        <w:rPr>
          <w:rFonts w:eastAsia="Times New Roman" w:cstheme="minorHAnsi"/>
          <w:color w:val="000000"/>
          <w:highlight w:val="darkGreen"/>
          <w:lang w:val="en-US" w:eastAsia="sv-SE"/>
        </w:rPr>
        <w:t>[EZH2:PROT]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exhibits oncogenic functions in a variety of human cancers. Therefore, inhibition of </w:t>
      </w:r>
      <w:r w:rsidRPr="005E0A14">
        <w:rPr>
          <w:rFonts w:eastAsia="Times New Roman" w:cstheme="minorHAnsi"/>
          <w:color w:val="000000"/>
          <w:highlight w:val="darkGreen"/>
          <w:lang w:val="en-US" w:eastAsia="sv-SE"/>
        </w:rPr>
        <w:t>[EZH2:PROT]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could be a promising strategy for the treatment of human cancers. In this study, we aim to explore whether rottlerin could inhibit tumorigenesis via suppression of </w:t>
      </w:r>
      <w:r w:rsidRPr="005E0A14">
        <w:rPr>
          <w:rFonts w:eastAsia="Times New Roman" w:cstheme="minorHAnsi"/>
          <w:color w:val="000000"/>
          <w:highlight w:val="darkGreen"/>
          <w:lang w:val="en-US" w:eastAsia="sv-SE"/>
        </w:rPr>
        <w:t>[EZH2:PROT]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in prostate cancer cells. Multiple approaches such as FACS, </w:t>
      </w:r>
      <w:proofErr w:type="spellStart"/>
      <w:r w:rsidRPr="005E0A14">
        <w:rPr>
          <w:rFonts w:eastAsia="Times New Roman" w:cstheme="minorHAnsi"/>
          <w:color w:val="000000"/>
          <w:lang w:val="en-US" w:eastAsia="sv-SE"/>
        </w:rPr>
        <w:t>Transwell</w:t>
      </w:r>
      <w:proofErr w:type="spellEnd"/>
      <w:r w:rsidRPr="005E0A14">
        <w:rPr>
          <w:rFonts w:eastAsia="Times New Roman" w:cstheme="minorHAnsi"/>
          <w:color w:val="000000"/>
          <w:lang w:val="en-US" w:eastAsia="sv-SE"/>
        </w:rPr>
        <w:t xml:space="preserve"> invasion assay, </w:t>
      </w:r>
      <w:r w:rsidRPr="005E0A14">
        <w:rPr>
          <w:rFonts w:eastAsia="Times New Roman" w:cstheme="minorHAnsi"/>
          <w:color w:val="000000"/>
          <w:highlight w:val="red"/>
          <w:lang w:val="en-US" w:eastAsia="sv-SE"/>
        </w:rPr>
        <w:t>[RT:PROT]</w:t>
      </w:r>
      <w:r w:rsidRPr="005E0A14">
        <w:rPr>
          <w:rFonts w:eastAsia="Times New Roman" w:cstheme="minorHAnsi"/>
          <w:color w:val="000000"/>
          <w:lang w:val="en-US" w:eastAsia="sv-SE"/>
        </w:rPr>
        <w:t>-[</w:t>
      </w:r>
      <w:r w:rsidRPr="005E0A14">
        <w:rPr>
          <w:rFonts w:eastAsia="Times New Roman" w:cstheme="minorHAnsi"/>
          <w:color w:val="000000"/>
          <w:highlight w:val="red"/>
          <w:lang w:val="en-US" w:eastAsia="sv-SE"/>
        </w:rPr>
        <w:t>PCR:PROT],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Western blotting, and transfection were performed to determine our aim. We found that rottlerin treatment led to inhibition of cell growth, migration and invasion, but induction of </w:t>
      </w:r>
      <w:r w:rsidRPr="005E0A14">
        <w:rPr>
          <w:rFonts w:eastAsia="Times New Roman" w:cstheme="minorHAnsi"/>
          <w:color w:val="000000"/>
          <w:highlight w:val="green"/>
          <w:lang w:val="en-US" w:eastAsia="sv-SE"/>
        </w:rPr>
        <w:t>[</w:t>
      </w:r>
      <w:proofErr w:type="spellStart"/>
      <w:r w:rsidRPr="005E0A14">
        <w:rPr>
          <w:rFonts w:eastAsia="Times New Roman" w:cstheme="minorHAnsi"/>
          <w:color w:val="000000"/>
          <w:highlight w:val="green"/>
          <w:lang w:val="en-US" w:eastAsia="sv-SE"/>
        </w:rPr>
        <w:t>apoptosis:LYSO</w:t>
      </w:r>
      <w:proofErr w:type="spellEnd"/>
      <w:r w:rsidRPr="005E0A14">
        <w:rPr>
          <w:rFonts w:eastAsia="Times New Roman" w:cstheme="minorHAnsi"/>
          <w:color w:val="000000"/>
          <w:highlight w:val="green"/>
          <w:lang w:val="en-US" w:eastAsia="sv-SE"/>
        </w:rPr>
        <w:t>]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in prostate cancer cells. Importantly, we defined that rottlerin decreased the expression of </w:t>
      </w:r>
      <w:r w:rsidRPr="005E0A14">
        <w:rPr>
          <w:rFonts w:eastAsia="Times New Roman" w:cstheme="minorHAnsi"/>
          <w:color w:val="000000"/>
          <w:highlight w:val="darkGreen"/>
          <w:lang w:val="en-US" w:eastAsia="sv-SE"/>
        </w:rPr>
        <w:t>[EZH2:PROT]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and </w:t>
      </w:r>
      <w:r w:rsidRPr="005E0A14">
        <w:rPr>
          <w:rFonts w:eastAsia="Times New Roman" w:cstheme="minorHAnsi"/>
          <w:color w:val="000000"/>
          <w:highlight w:val="darkRed"/>
          <w:lang w:val="en-US" w:eastAsia="sv-SE"/>
        </w:rPr>
        <w:t>H3K27me3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in prostate cancer cells. Moreover, overexpression of </w:t>
      </w:r>
      <w:r w:rsidRPr="005E0A14">
        <w:rPr>
          <w:rFonts w:eastAsia="Times New Roman" w:cstheme="minorHAnsi"/>
          <w:color w:val="000000"/>
          <w:highlight w:val="darkGreen"/>
          <w:lang w:val="en-US" w:eastAsia="sv-SE"/>
        </w:rPr>
        <w:t>[EZH2:PROT]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abrogated the rottlerin-induced inhibition of cell growth, migration, and invasion in prostate cancer cells. Consistently, down-regulation of </w:t>
      </w:r>
      <w:r w:rsidRPr="005E0A14">
        <w:rPr>
          <w:rFonts w:eastAsia="Times New Roman" w:cstheme="minorHAnsi"/>
          <w:color w:val="000000"/>
          <w:highlight w:val="darkGreen"/>
          <w:lang w:val="en-US" w:eastAsia="sv-SE"/>
        </w:rPr>
        <w:t>[EZH2:PROT]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enhanced rottlerin-triggered anti-tumor function. Collectively, our work demonstrated that rottlerin exerted its tumor suppressive function via inhibition of </w:t>
      </w:r>
      <w:r w:rsidRPr="005E0A14">
        <w:rPr>
          <w:rFonts w:eastAsia="Times New Roman" w:cstheme="minorHAnsi"/>
          <w:color w:val="000000"/>
          <w:highlight w:val="darkGreen"/>
          <w:lang w:val="en-US" w:eastAsia="sv-SE"/>
        </w:rPr>
        <w:t>[EZH2:PROT]</w:t>
      </w:r>
      <w:r w:rsidRPr="005E0A14">
        <w:rPr>
          <w:rFonts w:eastAsia="Times New Roman" w:cstheme="minorHAnsi"/>
          <w:color w:val="000000"/>
          <w:lang w:val="en-US" w:eastAsia="sv-SE"/>
        </w:rPr>
        <w:t xml:space="preserve"> expression in prostate cancer cells. Our findings indicated that rottlerin might be a potential therapeutic compound for treating patients with prostate cancer. </w:t>
      </w:r>
    </w:p>
    <w:p w:rsidR="005E0A14" w:rsidRDefault="005E0A14" w:rsidP="00873195">
      <w:pPr>
        <w:rPr>
          <w:lang w:val="en-US"/>
        </w:rPr>
      </w:pPr>
    </w:p>
    <w:p w:rsidR="008C1BC2" w:rsidRDefault="008C1BC2" w:rsidP="00873195">
      <w:pPr>
        <w:rPr>
          <w:lang w:val="en-US"/>
        </w:rPr>
      </w:pPr>
    </w:p>
    <w:p w:rsidR="008C1BC2" w:rsidRDefault="008C1BC2" w:rsidP="008C1BC2">
      <w:proofErr w:type="spellStart"/>
      <w:r>
        <w:t>prot</w:t>
      </w:r>
      <w:proofErr w:type="spellEnd"/>
    </w:p>
    <w:p w:rsidR="008C1BC2" w:rsidRDefault="008C1BC2" w:rsidP="008C1BC2">
      <w:r w:rsidRPr="00873195">
        <w:rPr>
          <w:highlight w:val="darkGreen"/>
        </w:rPr>
        <w:t>TP</w:t>
      </w:r>
      <w:r>
        <w:t xml:space="preserve">: </w:t>
      </w:r>
      <w:r w:rsidR="00501690">
        <w:t>3</w:t>
      </w:r>
    </w:p>
    <w:p w:rsidR="008C1BC2" w:rsidRDefault="008C1BC2" w:rsidP="008C1BC2">
      <w:r w:rsidRPr="00873195">
        <w:rPr>
          <w:highlight w:val="red"/>
        </w:rPr>
        <w:t>FP</w:t>
      </w:r>
      <w:r>
        <w:t xml:space="preserve">: </w:t>
      </w:r>
      <w:r w:rsidR="00501690">
        <w:t>0</w:t>
      </w:r>
    </w:p>
    <w:p w:rsidR="008C1BC2" w:rsidRDefault="008C1BC2" w:rsidP="008C1BC2">
      <w:r w:rsidRPr="00873195">
        <w:rPr>
          <w:highlight w:val="darkRed"/>
        </w:rPr>
        <w:t>FN</w:t>
      </w:r>
      <w:r>
        <w:t xml:space="preserve">: </w:t>
      </w:r>
      <w:r w:rsidR="00501690">
        <w:t>4</w:t>
      </w:r>
    </w:p>
    <w:p w:rsidR="008C1BC2" w:rsidRDefault="008C1BC2" w:rsidP="008C1BC2">
      <w:proofErr w:type="spellStart"/>
      <w:r>
        <w:t>lyso</w:t>
      </w:r>
      <w:proofErr w:type="spellEnd"/>
    </w:p>
    <w:p w:rsidR="008C1BC2" w:rsidRPr="005E0A14" w:rsidRDefault="008C1BC2" w:rsidP="008C1BC2">
      <w:r w:rsidRPr="005E0A14">
        <w:rPr>
          <w:highlight w:val="green"/>
        </w:rPr>
        <w:t>TP</w:t>
      </w:r>
      <w:r w:rsidRPr="005E0A14">
        <w:t xml:space="preserve">: </w:t>
      </w:r>
      <w:r w:rsidR="00501690">
        <w:t>7</w:t>
      </w:r>
    </w:p>
    <w:p w:rsidR="008C1BC2" w:rsidRPr="00873195" w:rsidRDefault="008C1BC2" w:rsidP="008C1BC2">
      <w:pPr>
        <w:rPr>
          <w:lang w:val="en-US"/>
        </w:rPr>
      </w:pPr>
      <w:r w:rsidRPr="00873195">
        <w:rPr>
          <w:highlight w:val="magenta"/>
          <w:lang w:val="en-US"/>
        </w:rPr>
        <w:t>FP</w:t>
      </w:r>
      <w:r w:rsidRPr="00873195">
        <w:rPr>
          <w:lang w:val="en-US"/>
        </w:rPr>
        <w:t>:</w:t>
      </w:r>
      <w:r>
        <w:rPr>
          <w:lang w:val="en-US"/>
        </w:rPr>
        <w:t xml:space="preserve"> </w:t>
      </w:r>
      <w:r w:rsidR="00501690">
        <w:rPr>
          <w:lang w:val="en-US"/>
        </w:rPr>
        <w:t>0</w:t>
      </w:r>
    </w:p>
    <w:p w:rsidR="008C1BC2" w:rsidRPr="00873195" w:rsidRDefault="008C1BC2" w:rsidP="008C1BC2">
      <w:pPr>
        <w:rPr>
          <w:lang w:val="en-US"/>
        </w:rPr>
      </w:pPr>
      <w:r w:rsidRPr="00873195">
        <w:rPr>
          <w:highlight w:val="darkMagenta"/>
          <w:lang w:val="en-US"/>
        </w:rPr>
        <w:t>FN</w:t>
      </w:r>
      <w:r w:rsidRPr="00873195">
        <w:rPr>
          <w:lang w:val="en-US"/>
        </w:rPr>
        <w:t>:</w:t>
      </w:r>
      <w:r>
        <w:rPr>
          <w:lang w:val="en-US"/>
        </w:rPr>
        <w:t xml:space="preserve"> </w:t>
      </w:r>
      <w:r w:rsidR="00501690">
        <w:rPr>
          <w:lang w:val="en-US"/>
        </w:rPr>
        <w:t>3</w:t>
      </w:r>
    </w:p>
    <w:p w:rsidR="008C1BC2" w:rsidRDefault="008C1BC2" w:rsidP="00873195">
      <w:pPr>
        <w:rPr>
          <w:lang w:val="en-US"/>
        </w:rPr>
      </w:pPr>
    </w:p>
    <w:p w:rsidR="008C1BC2" w:rsidRDefault="008C1BC2" w:rsidP="00873195">
      <w:pPr>
        <w:rPr>
          <w:lang w:val="en-US"/>
        </w:rPr>
      </w:pPr>
      <w:r w:rsidRPr="008C1BC2">
        <w:rPr>
          <w:lang w:val="en-US"/>
        </w:rPr>
        <w:t xml:space="preserve">6. Dendrites function as the primary sites for synaptic input and integration with impairments in dendritic arborization being associated with dysfunctional neuronal circuitry. Post-mitotic neurons require high levels of basal </w:t>
      </w:r>
      <w:r w:rsidRPr="00501690">
        <w:rPr>
          <w:highlight w:val="green"/>
          <w:lang w:val="en-US"/>
        </w:rPr>
        <w:t>[</w:t>
      </w:r>
      <w:proofErr w:type="spellStart"/>
      <w:r w:rsidRPr="00501690">
        <w:rPr>
          <w:highlight w:val="green"/>
          <w:lang w:val="en-US"/>
        </w:rPr>
        <w:t>autophagy:LYSO</w:t>
      </w:r>
      <w:proofErr w:type="spellEnd"/>
      <w:r w:rsidRPr="00501690">
        <w:rPr>
          <w:highlight w:val="green"/>
          <w:lang w:val="en-US"/>
        </w:rPr>
        <w:t>]</w:t>
      </w:r>
      <w:r w:rsidRPr="008C1BC2">
        <w:rPr>
          <w:lang w:val="en-US"/>
        </w:rPr>
        <w:t xml:space="preserve"> to clear cytotoxic materials and autophagic dysfunction under native or cellular stress conditions has been linked to neuronal </w:t>
      </w:r>
      <w:r w:rsidRPr="00501690">
        <w:rPr>
          <w:highlight w:val="green"/>
          <w:lang w:val="en-US"/>
        </w:rPr>
        <w:t xml:space="preserve">[cell </w:t>
      </w:r>
      <w:proofErr w:type="spellStart"/>
      <w:r w:rsidRPr="00501690">
        <w:rPr>
          <w:highlight w:val="green"/>
          <w:lang w:val="en-US"/>
        </w:rPr>
        <w:t>death:LYSO</w:t>
      </w:r>
      <w:proofErr w:type="spellEnd"/>
      <w:r w:rsidRPr="00501690">
        <w:rPr>
          <w:highlight w:val="green"/>
          <w:lang w:val="en-US"/>
        </w:rPr>
        <w:t>]</w:t>
      </w:r>
      <w:r w:rsidRPr="008C1BC2">
        <w:rPr>
          <w:lang w:val="en-US"/>
        </w:rPr>
        <w:t xml:space="preserve"> as well as axo-dendritic degeneration. However, relatively little is known regarding the developmental role of basal </w:t>
      </w:r>
      <w:r w:rsidRPr="00501690">
        <w:rPr>
          <w:highlight w:val="green"/>
          <w:lang w:val="en-US"/>
        </w:rPr>
        <w:t>[</w:t>
      </w:r>
      <w:proofErr w:type="spellStart"/>
      <w:r w:rsidRPr="00501690">
        <w:rPr>
          <w:highlight w:val="green"/>
          <w:lang w:val="en-US"/>
        </w:rPr>
        <w:t>autophagy:LYSO</w:t>
      </w:r>
      <w:proofErr w:type="spellEnd"/>
      <w:r w:rsidRPr="00501690">
        <w:rPr>
          <w:highlight w:val="green"/>
          <w:lang w:val="en-US"/>
        </w:rPr>
        <w:t>]</w:t>
      </w:r>
      <w:r w:rsidRPr="008C1BC2">
        <w:rPr>
          <w:lang w:val="en-US"/>
        </w:rPr>
        <w:t xml:space="preserve"> in directing aspects of dendritic arborization or the mechanisms by which the autophagic machinery may be transcriptionally regulated to promote dendritic diversification. We demonstrate that </w:t>
      </w:r>
      <w:r w:rsidRPr="00501690">
        <w:rPr>
          <w:highlight w:val="green"/>
          <w:lang w:val="en-US"/>
        </w:rPr>
        <w:t>[</w:t>
      </w:r>
      <w:proofErr w:type="spellStart"/>
      <w:r w:rsidRPr="00501690">
        <w:rPr>
          <w:highlight w:val="green"/>
          <w:lang w:val="en-US"/>
        </w:rPr>
        <w:t>autophagy:LYSO</w:t>
      </w:r>
      <w:proofErr w:type="spellEnd"/>
      <w:r w:rsidRPr="00501690">
        <w:rPr>
          <w:highlight w:val="green"/>
          <w:lang w:val="en-US"/>
        </w:rPr>
        <w:t>]-</w:t>
      </w:r>
      <w:r w:rsidRPr="008C1BC2">
        <w:rPr>
          <w:lang w:val="en-US"/>
        </w:rPr>
        <w:t>related (</w:t>
      </w:r>
      <w:proofErr w:type="spellStart"/>
      <w:r w:rsidRPr="008C1BC2">
        <w:rPr>
          <w:lang w:val="en-US"/>
        </w:rPr>
        <w:t>Atg</w:t>
      </w:r>
      <w:proofErr w:type="spellEnd"/>
      <w:r w:rsidRPr="008C1BC2">
        <w:rPr>
          <w:lang w:val="en-US"/>
        </w:rPr>
        <w:t xml:space="preserve">) genes are positively regulated by the </w:t>
      </w:r>
      <w:r w:rsidRPr="00501690">
        <w:rPr>
          <w:highlight w:val="darkGreen"/>
          <w:lang w:val="en-US"/>
        </w:rPr>
        <w:t xml:space="preserve">[homeodomain transcription </w:t>
      </w:r>
      <w:proofErr w:type="spellStart"/>
      <w:r w:rsidRPr="00501690">
        <w:rPr>
          <w:highlight w:val="darkGreen"/>
          <w:lang w:val="en-US"/>
        </w:rPr>
        <w:t>factor:PROT</w:t>
      </w:r>
      <w:proofErr w:type="spellEnd"/>
      <w:r w:rsidRPr="00501690">
        <w:rPr>
          <w:highlight w:val="darkGreen"/>
          <w:lang w:val="en-US"/>
        </w:rPr>
        <w:t>]</w:t>
      </w:r>
      <w:r w:rsidRPr="008C1BC2">
        <w:rPr>
          <w:lang w:val="en-US"/>
        </w:rPr>
        <w:t xml:space="preserve"> Cut, and that basal </w:t>
      </w:r>
      <w:r w:rsidRPr="00501690">
        <w:rPr>
          <w:highlight w:val="green"/>
          <w:lang w:val="en-US"/>
        </w:rPr>
        <w:t>[</w:t>
      </w:r>
      <w:proofErr w:type="spellStart"/>
      <w:r w:rsidRPr="00501690">
        <w:rPr>
          <w:highlight w:val="green"/>
          <w:lang w:val="en-US"/>
        </w:rPr>
        <w:t>autophagy:LYSO</w:t>
      </w:r>
      <w:proofErr w:type="spellEnd"/>
      <w:r w:rsidRPr="00501690">
        <w:rPr>
          <w:highlight w:val="green"/>
          <w:lang w:val="en-US"/>
        </w:rPr>
        <w:t>]</w:t>
      </w:r>
      <w:r w:rsidRPr="008C1BC2">
        <w:rPr>
          <w:lang w:val="en-US"/>
        </w:rPr>
        <w:t xml:space="preserve"> functions as a downstream effector pathway for Cut-mediated dendritic terminal branching in Drosophila </w:t>
      </w:r>
      <w:proofErr w:type="spellStart"/>
      <w:r w:rsidRPr="008C1BC2">
        <w:rPr>
          <w:lang w:val="en-US"/>
        </w:rPr>
        <w:t>multidendritic</w:t>
      </w:r>
      <w:proofErr w:type="spellEnd"/>
      <w:r w:rsidRPr="008C1BC2">
        <w:rPr>
          <w:lang w:val="en-US"/>
        </w:rPr>
        <w:t xml:space="preserve"> (md) sensory neurons. Further, loss of function analyses </w:t>
      </w:r>
      <w:proofErr w:type="gramStart"/>
      <w:r w:rsidRPr="008C1BC2">
        <w:rPr>
          <w:lang w:val="en-US"/>
        </w:rPr>
        <w:t>implicate</w:t>
      </w:r>
      <w:proofErr w:type="gramEnd"/>
      <w:r w:rsidRPr="008C1BC2">
        <w:rPr>
          <w:lang w:val="en-US"/>
        </w:rPr>
        <w:t xml:space="preserve"> </w:t>
      </w:r>
      <w:proofErr w:type="spellStart"/>
      <w:r w:rsidRPr="008C1BC2">
        <w:rPr>
          <w:lang w:val="en-US"/>
        </w:rPr>
        <w:t>Atg</w:t>
      </w:r>
      <w:proofErr w:type="spellEnd"/>
      <w:r w:rsidRPr="008C1BC2">
        <w:rPr>
          <w:lang w:val="en-US"/>
        </w:rPr>
        <w:t xml:space="preserve"> genes in promoting cell type-specific dendritic arborization and terminal branching, while gain of function studies suggest that excessive </w:t>
      </w:r>
      <w:r w:rsidRPr="00501690">
        <w:rPr>
          <w:highlight w:val="green"/>
          <w:lang w:val="en-US"/>
        </w:rPr>
        <w:t>[</w:t>
      </w:r>
      <w:proofErr w:type="spellStart"/>
      <w:r w:rsidRPr="00501690">
        <w:rPr>
          <w:highlight w:val="green"/>
          <w:lang w:val="en-US"/>
        </w:rPr>
        <w:t>autophagy:LYSO</w:t>
      </w:r>
      <w:proofErr w:type="spellEnd"/>
      <w:r w:rsidRPr="00501690">
        <w:rPr>
          <w:highlight w:val="green"/>
          <w:lang w:val="en-US"/>
        </w:rPr>
        <w:t>]</w:t>
      </w:r>
      <w:r w:rsidRPr="008C1BC2">
        <w:rPr>
          <w:lang w:val="en-US"/>
        </w:rPr>
        <w:t xml:space="preserve"> leads to dramatic reductions in dendritic complexity. We demonstrate that the </w:t>
      </w:r>
      <w:r w:rsidRPr="00501690">
        <w:rPr>
          <w:highlight w:val="darkRed"/>
          <w:lang w:val="en-US"/>
        </w:rPr>
        <w:t>Atg1 initiator kinase</w:t>
      </w:r>
      <w:r w:rsidRPr="008C1BC2">
        <w:rPr>
          <w:lang w:val="en-US"/>
        </w:rPr>
        <w:t xml:space="preserve"> interacts with the </w:t>
      </w:r>
      <w:r w:rsidRPr="00501690">
        <w:rPr>
          <w:highlight w:val="darkRed"/>
          <w:lang w:val="en-US"/>
        </w:rPr>
        <w:t>dual leucine zipper kinase</w:t>
      </w:r>
      <w:r w:rsidRPr="008C1BC2">
        <w:rPr>
          <w:lang w:val="en-US"/>
        </w:rPr>
        <w:t xml:space="preserve"> </w:t>
      </w:r>
      <w:r w:rsidRPr="00501690">
        <w:rPr>
          <w:highlight w:val="darkGreen"/>
          <w:lang w:val="en-US"/>
        </w:rPr>
        <w:t>([DLK:PROT])</w:t>
      </w:r>
      <w:r w:rsidRPr="008C1BC2">
        <w:rPr>
          <w:lang w:val="en-US"/>
        </w:rPr>
        <w:t xml:space="preserve"> pathway by negatively regulating the </w:t>
      </w:r>
      <w:r w:rsidRPr="00501690">
        <w:rPr>
          <w:highlight w:val="darkGreen"/>
          <w:lang w:val="en-US"/>
        </w:rPr>
        <w:t xml:space="preserve">[E3 ubiquitin </w:t>
      </w:r>
      <w:proofErr w:type="spellStart"/>
      <w:r w:rsidRPr="00501690">
        <w:rPr>
          <w:highlight w:val="darkGreen"/>
          <w:lang w:val="en-US"/>
        </w:rPr>
        <w:t>ligase:PROT</w:t>
      </w:r>
      <w:proofErr w:type="spellEnd"/>
      <w:r w:rsidRPr="00501690">
        <w:rPr>
          <w:highlight w:val="darkGreen"/>
          <w:lang w:val="en-US"/>
        </w:rPr>
        <w:t>]</w:t>
      </w:r>
      <w:r w:rsidRPr="008C1BC2">
        <w:rPr>
          <w:lang w:val="en-US"/>
        </w:rPr>
        <w:t xml:space="preserve"> </w:t>
      </w:r>
      <w:proofErr w:type="spellStart"/>
      <w:r w:rsidRPr="008C1BC2">
        <w:rPr>
          <w:lang w:val="en-US"/>
        </w:rPr>
        <w:t>Highwire</w:t>
      </w:r>
      <w:proofErr w:type="spellEnd"/>
      <w:r w:rsidRPr="008C1BC2">
        <w:rPr>
          <w:lang w:val="en-US"/>
        </w:rPr>
        <w:t xml:space="preserve"> and positively regulating the </w:t>
      </w:r>
      <w:r w:rsidRPr="00501690">
        <w:rPr>
          <w:highlight w:val="darkRed"/>
          <w:lang w:val="en-US"/>
        </w:rPr>
        <w:t>MAPKKK</w:t>
      </w:r>
      <w:r w:rsidRPr="008C1BC2">
        <w:rPr>
          <w:lang w:val="en-US"/>
        </w:rPr>
        <w:t xml:space="preserve"> Wallenda. Finally, </w:t>
      </w:r>
      <w:r w:rsidRPr="00501690">
        <w:rPr>
          <w:highlight w:val="darkMagenta"/>
          <w:lang w:val="en-US"/>
        </w:rPr>
        <w:t>autophagic</w:t>
      </w:r>
      <w:r w:rsidRPr="008C1BC2">
        <w:rPr>
          <w:lang w:val="en-US"/>
        </w:rPr>
        <w:t xml:space="preserve"> induction partially rescues dendritic </w:t>
      </w:r>
      <w:r w:rsidRPr="00501690">
        <w:rPr>
          <w:highlight w:val="darkMagenta"/>
          <w:lang w:val="en-US"/>
        </w:rPr>
        <w:lastRenderedPageBreak/>
        <w:t>atrophy</w:t>
      </w:r>
      <w:r w:rsidRPr="008C1BC2">
        <w:rPr>
          <w:lang w:val="en-US"/>
        </w:rPr>
        <w:t xml:space="preserve"> defects observed in a model of polyglutamine toxicity. Collectively, these studies implicate transcriptional control of basal [</w:t>
      </w:r>
      <w:proofErr w:type="spellStart"/>
      <w:r w:rsidRPr="00501690">
        <w:rPr>
          <w:highlight w:val="green"/>
          <w:lang w:val="en-US"/>
        </w:rPr>
        <w:t>autophagy:LYSO</w:t>
      </w:r>
      <w:proofErr w:type="spellEnd"/>
      <w:r w:rsidRPr="00501690">
        <w:rPr>
          <w:highlight w:val="green"/>
          <w:lang w:val="en-US"/>
        </w:rPr>
        <w:t>]</w:t>
      </w:r>
      <w:r w:rsidRPr="008C1BC2">
        <w:rPr>
          <w:lang w:val="en-US"/>
        </w:rPr>
        <w:t xml:space="preserve"> in directing dendritic terminal branching and demonstrate the importance of homeostatic control of </w:t>
      </w:r>
      <w:r w:rsidRPr="00501690">
        <w:rPr>
          <w:highlight w:val="darkMagenta"/>
          <w:lang w:val="en-US"/>
        </w:rPr>
        <w:t>autophagic</w:t>
      </w:r>
      <w:r w:rsidRPr="008C1BC2">
        <w:rPr>
          <w:lang w:val="en-US"/>
        </w:rPr>
        <w:t xml:space="preserve"> levels for dendritic arbor complexity under native or cellular stress conditions.</w:t>
      </w:r>
    </w:p>
    <w:p w:rsidR="00501690" w:rsidRDefault="00501690" w:rsidP="00873195">
      <w:pPr>
        <w:rPr>
          <w:lang w:val="en-US"/>
        </w:rPr>
      </w:pPr>
    </w:p>
    <w:p w:rsidR="006E09F0" w:rsidRDefault="006E09F0" w:rsidP="006E09F0">
      <w:proofErr w:type="spellStart"/>
      <w:r>
        <w:t>prot</w:t>
      </w:r>
      <w:proofErr w:type="spellEnd"/>
    </w:p>
    <w:p w:rsidR="006E09F0" w:rsidRDefault="006E09F0" w:rsidP="006E09F0">
      <w:r w:rsidRPr="00873195">
        <w:rPr>
          <w:highlight w:val="darkGreen"/>
        </w:rPr>
        <w:t>TP</w:t>
      </w:r>
      <w:r>
        <w:t xml:space="preserve">: </w:t>
      </w:r>
      <w:r w:rsidR="0075723A">
        <w:t>30</w:t>
      </w:r>
    </w:p>
    <w:p w:rsidR="006E09F0" w:rsidRDefault="006E09F0" w:rsidP="006E09F0">
      <w:r w:rsidRPr="00873195">
        <w:rPr>
          <w:highlight w:val="red"/>
        </w:rPr>
        <w:t>FP</w:t>
      </w:r>
      <w:r>
        <w:t xml:space="preserve">: </w:t>
      </w:r>
      <w:r w:rsidR="007D4426">
        <w:t>0</w:t>
      </w:r>
    </w:p>
    <w:p w:rsidR="006E09F0" w:rsidRDefault="006E09F0" w:rsidP="006E09F0">
      <w:r w:rsidRPr="00873195">
        <w:rPr>
          <w:highlight w:val="darkRed"/>
        </w:rPr>
        <w:t>FN</w:t>
      </w:r>
      <w:r>
        <w:t xml:space="preserve">: </w:t>
      </w:r>
      <w:r w:rsidR="007D4426">
        <w:t>5</w:t>
      </w:r>
    </w:p>
    <w:p w:rsidR="006E09F0" w:rsidRDefault="006E09F0" w:rsidP="006E09F0">
      <w:proofErr w:type="spellStart"/>
      <w:r>
        <w:t>lyso</w:t>
      </w:r>
      <w:proofErr w:type="spellEnd"/>
    </w:p>
    <w:p w:rsidR="006E09F0" w:rsidRPr="005E0A14" w:rsidRDefault="006E09F0" w:rsidP="006E09F0">
      <w:r w:rsidRPr="005E0A14">
        <w:rPr>
          <w:highlight w:val="green"/>
        </w:rPr>
        <w:t>TP</w:t>
      </w:r>
      <w:r w:rsidRPr="005E0A14">
        <w:t xml:space="preserve">: </w:t>
      </w:r>
      <w:r w:rsidR="007D4426">
        <w:t>1</w:t>
      </w:r>
    </w:p>
    <w:p w:rsidR="006E09F0" w:rsidRPr="00873195" w:rsidRDefault="006E09F0" w:rsidP="006E09F0">
      <w:pPr>
        <w:rPr>
          <w:lang w:val="en-US"/>
        </w:rPr>
      </w:pPr>
      <w:r w:rsidRPr="00873195">
        <w:rPr>
          <w:highlight w:val="magenta"/>
          <w:lang w:val="en-US"/>
        </w:rPr>
        <w:t>FP</w:t>
      </w:r>
      <w:r w:rsidRPr="00873195">
        <w:rPr>
          <w:lang w:val="en-US"/>
        </w:rPr>
        <w:t>:</w:t>
      </w:r>
      <w:r>
        <w:rPr>
          <w:lang w:val="en-US"/>
        </w:rPr>
        <w:t xml:space="preserve"> </w:t>
      </w:r>
      <w:r w:rsidR="007D4426">
        <w:rPr>
          <w:lang w:val="en-US"/>
        </w:rPr>
        <w:t>0</w:t>
      </w:r>
    </w:p>
    <w:p w:rsidR="006E09F0" w:rsidRDefault="006E09F0" w:rsidP="00873195">
      <w:pPr>
        <w:rPr>
          <w:lang w:val="en-US"/>
        </w:rPr>
      </w:pPr>
      <w:r w:rsidRPr="00873195">
        <w:rPr>
          <w:highlight w:val="darkMagenta"/>
          <w:lang w:val="en-US"/>
        </w:rPr>
        <w:t>FN</w:t>
      </w:r>
      <w:r w:rsidRPr="00873195">
        <w:rPr>
          <w:lang w:val="en-US"/>
        </w:rPr>
        <w:t>:</w:t>
      </w:r>
      <w:r>
        <w:rPr>
          <w:lang w:val="en-US"/>
        </w:rPr>
        <w:t xml:space="preserve"> </w:t>
      </w:r>
      <w:r w:rsidR="007D4426">
        <w:rPr>
          <w:lang w:val="en-US"/>
        </w:rPr>
        <w:t>0</w:t>
      </w:r>
    </w:p>
    <w:p w:rsidR="00501690" w:rsidRDefault="00501690" w:rsidP="00873195">
      <w:pPr>
        <w:rPr>
          <w:lang w:val="en-US"/>
        </w:rPr>
      </w:pPr>
    </w:p>
    <w:p w:rsidR="00501690" w:rsidRPr="00873195" w:rsidRDefault="006E09F0" w:rsidP="00873195">
      <w:pPr>
        <w:rPr>
          <w:lang w:val="en-US"/>
        </w:rPr>
      </w:pPr>
      <w:r w:rsidRPr="006E09F0">
        <w:rPr>
          <w:lang w:val="en-US"/>
        </w:rPr>
        <w:t xml:space="preserve">9. Mast cells and Kupffer cells secrete </w:t>
      </w:r>
      <w:r w:rsidRPr="006E09F0">
        <w:rPr>
          <w:highlight w:val="darkRed"/>
          <w:lang w:val="en-US"/>
        </w:rPr>
        <w:t>interleukin (IL)-1β</w:t>
      </w:r>
      <w:r w:rsidRPr="006E09F0">
        <w:rPr>
          <w:lang w:val="en-US"/>
        </w:rPr>
        <w:t>, [</w:t>
      </w:r>
      <w:proofErr w:type="spellStart"/>
      <w:r w:rsidRPr="006E09F0">
        <w:rPr>
          <w:highlight w:val="darkGreen"/>
          <w:lang w:val="en-US"/>
        </w:rPr>
        <w:t>interferon:PROT</w:t>
      </w:r>
      <w:proofErr w:type="spellEnd"/>
      <w:r w:rsidRPr="006E09F0">
        <w:rPr>
          <w:highlight w:val="darkGreen"/>
          <w:lang w:val="en-US"/>
        </w:rPr>
        <w:t>]</w:t>
      </w:r>
      <w:r w:rsidRPr="006E09F0">
        <w:rPr>
          <w:lang w:val="en-US"/>
        </w:rPr>
        <w:t xml:space="preserve"> </w:t>
      </w:r>
      <w:r w:rsidRPr="006E09F0">
        <w:rPr>
          <w:highlight w:val="darkGreen"/>
          <w:lang w:val="en-US"/>
        </w:rPr>
        <w:t>([IFN:PROT])-γ</w:t>
      </w:r>
      <w:r w:rsidRPr="006E09F0">
        <w:rPr>
          <w:lang w:val="en-US"/>
        </w:rPr>
        <w:t xml:space="preserve">, and </w:t>
      </w:r>
      <w:r w:rsidRPr="006E09F0">
        <w:rPr>
          <w:highlight w:val="darkGreen"/>
          <w:lang w:val="en-US"/>
        </w:rPr>
        <w:t>[tumor [</w:t>
      </w:r>
      <w:proofErr w:type="spellStart"/>
      <w:r w:rsidRPr="006E09F0">
        <w:rPr>
          <w:highlight w:val="green"/>
          <w:lang w:val="en-US"/>
        </w:rPr>
        <w:t>necrosis</w:t>
      </w:r>
      <w:r w:rsidRPr="006E09F0">
        <w:rPr>
          <w:highlight w:val="darkGreen"/>
          <w:lang w:val="en-US"/>
        </w:rPr>
        <w:t>:LYSO</w:t>
      </w:r>
      <w:proofErr w:type="spellEnd"/>
      <w:r w:rsidRPr="006E09F0">
        <w:rPr>
          <w:highlight w:val="darkGreen"/>
          <w:lang w:val="en-US"/>
        </w:rPr>
        <w:t xml:space="preserve">] </w:t>
      </w:r>
      <w:proofErr w:type="spellStart"/>
      <w:r w:rsidRPr="006E09F0">
        <w:rPr>
          <w:highlight w:val="darkGreen"/>
          <w:lang w:val="en-US"/>
        </w:rPr>
        <w:t>factor:PROT</w:t>
      </w:r>
      <w:proofErr w:type="spellEnd"/>
      <w:r w:rsidRPr="006E09F0">
        <w:rPr>
          <w:lang w:val="en-US"/>
        </w:rPr>
        <w:t xml:space="preserve">] </w:t>
      </w:r>
      <w:r w:rsidRPr="006E09F0">
        <w:rPr>
          <w:highlight w:val="darkGreen"/>
          <w:lang w:val="en-US"/>
        </w:rPr>
        <w:t>([TNF:PROT])-α</w:t>
      </w:r>
      <w:r w:rsidRPr="006E09F0">
        <w:rPr>
          <w:lang w:val="en-US"/>
        </w:rPr>
        <w:t xml:space="preserve">, which stimulate excess nitric oxide (NO) producing-inducible NO synthase </w:t>
      </w:r>
      <w:r w:rsidRPr="006E09F0">
        <w:rPr>
          <w:highlight w:val="darkGreen"/>
          <w:lang w:val="en-US"/>
        </w:rPr>
        <w:t>([</w:t>
      </w:r>
      <w:proofErr w:type="spellStart"/>
      <w:r w:rsidRPr="006E09F0">
        <w:rPr>
          <w:highlight w:val="darkGreen"/>
          <w:lang w:val="en-US"/>
        </w:rPr>
        <w:t>iNOS:PROT</w:t>
      </w:r>
      <w:proofErr w:type="spellEnd"/>
      <w:r w:rsidRPr="006E09F0">
        <w:rPr>
          <w:highlight w:val="darkGreen"/>
          <w:lang w:val="en-US"/>
        </w:rPr>
        <w:t>])</w:t>
      </w:r>
      <w:r w:rsidRPr="006E09F0">
        <w:rPr>
          <w:lang w:val="en-US"/>
        </w:rPr>
        <w:t xml:space="preserve">. Unlike Kupffer cells, </w:t>
      </w:r>
      <w:r w:rsidRPr="006E09F0">
        <w:rPr>
          <w:highlight w:val="darkGreen"/>
          <w:lang w:val="en-US"/>
        </w:rPr>
        <w:t>[immunoglobulin E:PROT]-</w:t>
      </w:r>
      <w:r w:rsidRPr="006E09F0">
        <w:rPr>
          <w:lang w:val="en-US"/>
        </w:rPr>
        <w:t xml:space="preserve">sensitized mast cells elicit sustained NO production. We investigated the participation of mast cell-released NO and cytokine-derived </w:t>
      </w:r>
      <w:r w:rsidRPr="0075723A">
        <w:rPr>
          <w:highlight w:val="darkGreen"/>
          <w:lang w:val="en-US"/>
        </w:rPr>
        <w:t>[</w:t>
      </w:r>
      <w:proofErr w:type="spellStart"/>
      <w:r w:rsidRPr="0075723A">
        <w:rPr>
          <w:highlight w:val="darkGreen"/>
          <w:lang w:val="en-US"/>
        </w:rPr>
        <w:t>iNOS:PROT</w:t>
      </w:r>
      <w:proofErr w:type="spellEnd"/>
      <w:r w:rsidRPr="0075723A">
        <w:rPr>
          <w:highlight w:val="darkGreen"/>
          <w:lang w:val="en-US"/>
        </w:rPr>
        <w:t>]</w:t>
      </w:r>
      <w:r w:rsidRPr="006E09F0">
        <w:rPr>
          <w:lang w:val="en-US"/>
        </w:rPr>
        <w:t xml:space="preserve"> activation in type 1 allergy-suppressed hepatic cytochrome </w:t>
      </w:r>
      <w:r w:rsidRPr="0075723A">
        <w:rPr>
          <w:highlight w:val="darkGreen"/>
          <w:lang w:val="en-US"/>
        </w:rPr>
        <w:t>[P450:PROT]</w:t>
      </w:r>
      <w:r w:rsidRPr="006E09F0">
        <w:rPr>
          <w:lang w:val="en-US"/>
        </w:rPr>
        <w:t xml:space="preserve"> </w:t>
      </w:r>
      <w:r w:rsidRPr="0075723A">
        <w:rPr>
          <w:highlight w:val="darkGreen"/>
          <w:lang w:val="en-US"/>
        </w:rPr>
        <w:t>([CYP:PROT])</w:t>
      </w:r>
      <w:r w:rsidRPr="006E09F0">
        <w:rPr>
          <w:lang w:val="en-US"/>
        </w:rPr>
        <w:t xml:space="preserve"> metabolism. Aminoguanidine, a selective </w:t>
      </w:r>
      <w:r w:rsidRPr="0075723A">
        <w:rPr>
          <w:highlight w:val="darkGreen"/>
          <w:lang w:val="en-US"/>
        </w:rPr>
        <w:t>[</w:t>
      </w:r>
      <w:proofErr w:type="spellStart"/>
      <w:r w:rsidRPr="0075723A">
        <w:rPr>
          <w:highlight w:val="darkGreen"/>
          <w:lang w:val="en-US"/>
        </w:rPr>
        <w:t>iNOS:PROT</w:t>
      </w:r>
      <w:proofErr w:type="spellEnd"/>
      <w:r w:rsidRPr="0075723A">
        <w:rPr>
          <w:highlight w:val="darkGreen"/>
          <w:lang w:val="en-US"/>
        </w:rPr>
        <w:t>]</w:t>
      </w:r>
      <w:r w:rsidRPr="006E09F0">
        <w:rPr>
          <w:lang w:val="en-US"/>
        </w:rPr>
        <w:t xml:space="preserve"> inhibitor, completely suppressed serum nitrate plus nitrite (NOx) concentrations after primary and secondary sensitization of ICR mice and markedly attenuated allergy-suppressed hepatic </w:t>
      </w:r>
      <w:r w:rsidRPr="0075723A">
        <w:rPr>
          <w:highlight w:val="darkGreen"/>
          <w:lang w:val="en-US"/>
        </w:rPr>
        <w:t>[CYP1A2:PROT],</w:t>
      </w:r>
      <w:r w:rsidRPr="006E09F0">
        <w:rPr>
          <w:lang w:val="en-US"/>
        </w:rPr>
        <w:t xml:space="preserve"> </w:t>
      </w:r>
      <w:r w:rsidRPr="0075723A">
        <w:rPr>
          <w:highlight w:val="darkRed"/>
          <w:lang w:val="en-US"/>
        </w:rPr>
        <w:t>CYP2C</w:t>
      </w:r>
      <w:r w:rsidRPr="006E09F0">
        <w:rPr>
          <w:lang w:val="en-US"/>
        </w:rPr>
        <w:t xml:space="preserve">, </w:t>
      </w:r>
      <w:r w:rsidRPr="0075723A">
        <w:rPr>
          <w:highlight w:val="darkGreen"/>
          <w:lang w:val="en-US"/>
        </w:rPr>
        <w:t>[CYP2E1:PROT]</w:t>
      </w:r>
      <w:r w:rsidRPr="006E09F0">
        <w:rPr>
          <w:lang w:val="en-US"/>
        </w:rPr>
        <w:t xml:space="preserve">, and </w:t>
      </w:r>
      <w:r w:rsidRPr="0075723A">
        <w:rPr>
          <w:highlight w:val="darkRed"/>
          <w:lang w:val="en-US"/>
        </w:rPr>
        <w:t>CYP3A</w:t>
      </w:r>
      <w:r w:rsidRPr="006E09F0">
        <w:rPr>
          <w:lang w:val="en-US"/>
        </w:rPr>
        <w:t xml:space="preserve"> activities. In the liver, primary and secondary sensitization enhanced </w:t>
      </w:r>
      <w:r w:rsidRPr="0075723A">
        <w:rPr>
          <w:highlight w:val="darkGreen"/>
          <w:lang w:val="en-US"/>
        </w:rPr>
        <w:t>[</w:t>
      </w:r>
      <w:proofErr w:type="spellStart"/>
      <w:r w:rsidRPr="0075723A">
        <w:rPr>
          <w:highlight w:val="darkGreen"/>
          <w:lang w:val="en-US"/>
        </w:rPr>
        <w:t>iNOS:PROT</w:t>
      </w:r>
      <w:proofErr w:type="spellEnd"/>
      <w:r w:rsidRPr="0075723A">
        <w:rPr>
          <w:highlight w:val="darkGreen"/>
          <w:lang w:val="en-US"/>
        </w:rPr>
        <w:t>]-</w:t>
      </w:r>
      <w:r w:rsidRPr="006E09F0">
        <w:rPr>
          <w:lang w:val="en-US"/>
        </w:rPr>
        <w:t xml:space="preserve">stimulating </w:t>
      </w:r>
      <w:r w:rsidRPr="0075723A">
        <w:rPr>
          <w:highlight w:val="darkGreen"/>
          <w:lang w:val="en-US"/>
        </w:rPr>
        <w:t>[IFN:PROT]-γ</w:t>
      </w:r>
      <w:r w:rsidRPr="006E09F0">
        <w:rPr>
          <w:lang w:val="en-US"/>
        </w:rPr>
        <w:t xml:space="preserve"> (5-15-fold) and </w:t>
      </w:r>
      <w:r w:rsidRPr="0075723A">
        <w:rPr>
          <w:highlight w:val="darkGreen"/>
          <w:lang w:val="en-US"/>
        </w:rPr>
        <w:t>[TNF:PROT]-α</w:t>
      </w:r>
      <w:r w:rsidRPr="006E09F0">
        <w:rPr>
          <w:lang w:val="en-US"/>
        </w:rPr>
        <w:t xml:space="preserve"> (3-5-fold) mRNA levels </w:t>
      </w:r>
      <w:r w:rsidRPr="00D46A63">
        <w:rPr>
          <w:lang w:val="en-US"/>
        </w:rPr>
        <w:t xml:space="preserve">more than </w:t>
      </w:r>
      <w:r w:rsidRPr="0075723A">
        <w:rPr>
          <w:highlight w:val="darkGreen"/>
          <w:lang w:val="en-US"/>
        </w:rPr>
        <w:t>[IL-1:PROT]β</w:t>
      </w:r>
      <w:r w:rsidRPr="006E09F0">
        <w:rPr>
          <w:lang w:val="en-US"/>
        </w:rPr>
        <w:t xml:space="preserve"> (2-fold) </w:t>
      </w:r>
      <w:r w:rsidRPr="00D46A63">
        <w:rPr>
          <w:lang w:val="en-US"/>
        </w:rPr>
        <w:t xml:space="preserve">and </w:t>
      </w:r>
      <w:r w:rsidRPr="0075723A">
        <w:rPr>
          <w:highlight w:val="darkGreen"/>
          <w:lang w:val="en-US"/>
        </w:rPr>
        <w:t>[F4:PROT]</w:t>
      </w:r>
      <w:r w:rsidRPr="00D46A63">
        <w:rPr>
          <w:lang w:val="en-US"/>
        </w:rPr>
        <w:t>/80</w:t>
      </w:r>
      <w:r w:rsidRPr="006E09F0">
        <w:rPr>
          <w:lang w:val="en-US"/>
        </w:rPr>
        <w:t xml:space="preserve">-positive Kupffer cell (2-fold) mRNA levels. When mast cell-deficient (-/-) mice were sensitized, hepatic </w:t>
      </w:r>
      <w:r w:rsidRPr="0075723A">
        <w:rPr>
          <w:highlight w:val="darkGreen"/>
          <w:lang w:val="en-US"/>
        </w:rPr>
        <w:t>[CYP:PROT]</w:t>
      </w:r>
      <w:r w:rsidRPr="006E09F0">
        <w:rPr>
          <w:lang w:val="en-US"/>
        </w:rPr>
        <w:t xml:space="preserve"> activities were not suppressed. Serum NOx levels in the sensitized -/- mice were similar with those in saline-treated ICR and -/- mice. In the liver of -/- mice, secondary sensitization markedly enhanced mRNA expression of </w:t>
      </w:r>
      <w:r w:rsidRPr="0075723A">
        <w:rPr>
          <w:highlight w:val="darkGreen"/>
          <w:lang w:val="en-US"/>
        </w:rPr>
        <w:t>[</w:t>
      </w:r>
      <w:proofErr w:type="spellStart"/>
      <w:r w:rsidRPr="0075723A">
        <w:rPr>
          <w:highlight w:val="darkGreen"/>
          <w:lang w:val="en-US"/>
        </w:rPr>
        <w:t>iNOS:PROT</w:t>
      </w:r>
      <w:proofErr w:type="spellEnd"/>
      <w:r w:rsidRPr="0075723A">
        <w:rPr>
          <w:highlight w:val="darkGreen"/>
          <w:lang w:val="en-US"/>
        </w:rPr>
        <w:t>]</w:t>
      </w:r>
      <w:r w:rsidRPr="006E09F0">
        <w:rPr>
          <w:lang w:val="en-US"/>
        </w:rPr>
        <w:t xml:space="preserve"> (20-fold), </w:t>
      </w:r>
      <w:r w:rsidRPr="0075723A">
        <w:rPr>
          <w:highlight w:val="darkGreen"/>
          <w:lang w:val="en-US"/>
        </w:rPr>
        <w:t>[IFN:PROT]-</w:t>
      </w:r>
      <w:r w:rsidRPr="006E09F0">
        <w:rPr>
          <w:lang w:val="en-US"/>
        </w:rPr>
        <w:t xml:space="preserve">γ (15-fold), and </w:t>
      </w:r>
      <w:r w:rsidRPr="0075723A">
        <w:rPr>
          <w:highlight w:val="darkGreen"/>
          <w:lang w:val="en-US"/>
        </w:rPr>
        <w:t>[TNF:PROT]-α</w:t>
      </w:r>
      <w:r w:rsidRPr="006E09F0">
        <w:rPr>
          <w:lang w:val="en-US"/>
        </w:rPr>
        <w:t xml:space="preserve"> (3-fold). However, hepatic total </w:t>
      </w:r>
      <w:r w:rsidRPr="0075723A">
        <w:rPr>
          <w:highlight w:val="darkGreen"/>
          <w:lang w:val="en-US"/>
        </w:rPr>
        <w:t>[NOS:PROT]</w:t>
      </w:r>
      <w:r w:rsidRPr="006E09F0">
        <w:rPr>
          <w:lang w:val="en-US"/>
        </w:rPr>
        <w:t xml:space="preserve"> activities in -/- mice were not significantly different between saline treatment and sensitization. Similarly, primary and secondary ICR mice did not significantly enhance total </w:t>
      </w:r>
      <w:r w:rsidRPr="0075723A">
        <w:rPr>
          <w:highlight w:val="darkGreen"/>
          <w:lang w:val="en-US"/>
        </w:rPr>
        <w:t>[NOS:PROT]</w:t>
      </w:r>
      <w:r w:rsidRPr="006E09F0">
        <w:rPr>
          <w:lang w:val="en-US"/>
        </w:rPr>
        <w:t xml:space="preserve"> activities in the liver and hepatocytes. The total </w:t>
      </w:r>
      <w:r w:rsidRPr="0075723A">
        <w:rPr>
          <w:highlight w:val="darkGreen"/>
          <w:lang w:val="en-US"/>
        </w:rPr>
        <w:t>[NOS:PROT]</w:t>
      </w:r>
      <w:r w:rsidRPr="006E09F0">
        <w:rPr>
          <w:lang w:val="en-US"/>
        </w:rPr>
        <w:t xml:space="preserve"> activities observed did not relate to the high levels of </w:t>
      </w:r>
      <w:r w:rsidRPr="0075723A">
        <w:rPr>
          <w:highlight w:val="darkGreen"/>
          <w:lang w:val="en-US"/>
        </w:rPr>
        <w:t>[</w:t>
      </w:r>
      <w:proofErr w:type="spellStart"/>
      <w:r w:rsidRPr="0075723A">
        <w:rPr>
          <w:highlight w:val="darkGreen"/>
          <w:lang w:val="en-US"/>
        </w:rPr>
        <w:t>iNOS:PROT</w:t>
      </w:r>
      <w:proofErr w:type="spellEnd"/>
      <w:r w:rsidRPr="0075723A">
        <w:rPr>
          <w:highlight w:val="darkGreen"/>
          <w:lang w:val="en-US"/>
        </w:rPr>
        <w:t>]</w:t>
      </w:r>
      <w:r w:rsidRPr="006E09F0">
        <w:rPr>
          <w:lang w:val="en-US"/>
        </w:rPr>
        <w:t xml:space="preserve">, </w:t>
      </w:r>
      <w:r w:rsidRPr="0075723A">
        <w:rPr>
          <w:highlight w:val="darkGreen"/>
          <w:lang w:val="en-US"/>
        </w:rPr>
        <w:t>[IFN:PROT]-γ</w:t>
      </w:r>
      <w:r w:rsidRPr="006E09F0">
        <w:rPr>
          <w:lang w:val="en-US"/>
        </w:rPr>
        <w:t xml:space="preserve">, and </w:t>
      </w:r>
      <w:r w:rsidRPr="0075723A">
        <w:rPr>
          <w:highlight w:val="darkGreen"/>
          <w:lang w:val="en-US"/>
        </w:rPr>
        <w:t>[TNF:PROT]-α</w:t>
      </w:r>
      <w:r w:rsidRPr="006E09F0">
        <w:rPr>
          <w:lang w:val="en-US"/>
        </w:rPr>
        <w:t xml:space="preserve"> mRNA in the liver. Hepatic </w:t>
      </w:r>
      <w:r w:rsidRPr="0075723A">
        <w:rPr>
          <w:highlight w:val="darkGreen"/>
          <w:lang w:val="en-US"/>
        </w:rPr>
        <w:t>[</w:t>
      </w:r>
      <w:proofErr w:type="spellStart"/>
      <w:r w:rsidRPr="0075723A">
        <w:rPr>
          <w:highlight w:val="darkGreen"/>
          <w:lang w:val="en-US"/>
        </w:rPr>
        <w:t>c-kit:PROT</w:t>
      </w:r>
      <w:proofErr w:type="spellEnd"/>
      <w:r w:rsidRPr="0075723A">
        <w:rPr>
          <w:highlight w:val="darkGreen"/>
          <w:lang w:val="en-US"/>
        </w:rPr>
        <w:t>]-</w:t>
      </w:r>
      <w:r w:rsidRPr="006E09F0">
        <w:rPr>
          <w:lang w:val="en-US"/>
        </w:rPr>
        <w:t xml:space="preserve">positive mast cells in sensitized ICR mice were maintained at control levels. Therefore, our data suggest that mast cell-released NO participates in type 1 allergy-suppressed </w:t>
      </w:r>
      <w:r w:rsidRPr="0075723A">
        <w:rPr>
          <w:highlight w:val="darkGreen"/>
          <w:lang w:val="en-US"/>
        </w:rPr>
        <w:t>[CYP1A2:PROT],</w:t>
      </w:r>
      <w:r w:rsidRPr="006E09F0">
        <w:rPr>
          <w:lang w:val="en-US"/>
        </w:rPr>
        <w:t xml:space="preserve"> </w:t>
      </w:r>
      <w:r w:rsidRPr="0075723A">
        <w:rPr>
          <w:highlight w:val="darkRed"/>
          <w:lang w:val="en-US"/>
        </w:rPr>
        <w:t>CYP2C</w:t>
      </w:r>
      <w:r w:rsidRPr="006E09F0">
        <w:rPr>
          <w:lang w:val="en-US"/>
        </w:rPr>
        <w:t xml:space="preserve">, </w:t>
      </w:r>
      <w:r w:rsidRPr="0075723A">
        <w:rPr>
          <w:highlight w:val="darkGreen"/>
          <w:lang w:val="en-US"/>
        </w:rPr>
        <w:t>[CYP2E1:PROT]</w:t>
      </w:r>
      <w:r w:rsidRPr="006E09F0">
        <w:rPr>
          <w:lang w:val="en-US"/>
        </w:rPr>
        <w:t xml:space="preserve">, and </w:t>
      </w:r>
      <w:r w:rsidRPr="0075723A">
        <w:rPr>
          <w:highlight w:val="darkRed"/>
          <w:lang w:val="en-US"/>
        </w:rPr>
        <w:t>CYP3A</w:t>
      </w:r>
      <w:r w:rsidRPr="006E09F0">
        <w:rPr>
          <w:lang w:val="en-US"/>
        </w:rPr>
        <w:t xml:space="preserve"> metabolism.</w:t>
      </w:r>
    </w:p>
    <w:sectPr w:rsidR="00501690" w:rsidRPr="0087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95"/>
    <w:rsid w:val="000771D2"/>
    <w:rsid w:val="000C57CD"/>
    <w:rsid w:val="001033E8"/>
    <w:rsid w:val="00417D23"/>
    <w:rsid w:val="00501690"/>
    <w:rsid w:val="005E0A14"/>
    <w:rsid w:val="006E09F0"/>
    <w:rsid w:val="0075723A"/>
    <w:rsid w:val="007D4426"/>
    <w:rsid w:val="00873195"/>
    <w:rsid w:val="008955F2"/>
    <w:rsid w:val="008C1BC2"/>
    <w:rsid w:val="00A07562"/>
    <w:rsid w:val="00CA5712"/>
    <w:rsid w:val="00D46A63"/>
    <w:rsid w:val="00D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BC9F"/>
  <w15:chartTrackingRefBased/>
  <w15:docId w15:val="{6E0DFBDE-3C99-42F0-B446-E359FA69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E0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E0A14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1167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Palmqvist Sjövall</dc:creator>
  <cp:keywords/>
  <dc:description/>
  <cp:lastModifiedBy>Anna Palmqvist Sjövall</cp:lastModifiedBy>
  <cp:revision>4</cp:revision>
  <dcterms:created xsi:type="dcterms:W3CDTF">2019-05-27T09:38:00Z</dcterms:created>
  <dcterms:modified xsi:type="dcterms:W3CDTF">2019-05-27T15:35:00Z</dcterms:modified>
</cp:coreProperties>
</file>